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宋体" w:eastAsia="方正小标宋简体" w:cs="Times New Roman"/>
          <w:sz w:val="44"/>
          <w:szCs w:val="44"/>
          <w:lang w:val="en-US" w:eastAsia="zh-CN"/>
        </w:rPr>
      </w:pPr>
      <w:bookmarkStart w:id="0" w:name="_GoBack"/>
      <w:r>
        <w:rPr>
          <w:rFonts w:hint="eastAsia" w:ascii="方正小标宋简体" w:hAnsi="方正小标宋简体" w:eastAsia="方正小标宋简体" w:cs="方正小标宋简体"/>
          <w:b w:val="0"/>
          <w:bCs w:val="0"/>
          <w:i w:val="0"/>
          <w:caps w:val="0"/>
          <w:color w:val="000000" w:themeColor="text1"/>
          <w:spacing w:val="0"/>
          <w:sz w:val="44"/>
          <w:szCs w:val="44"/>
          <w:shd w:val="clear" w:fill="FFFFFF"/>
          <w:lang w:val="en-US" w:eastAsia="zh-CN"/>
          <w14:textFill>
            <w14:solidFill>
              <w14:schemeClr w14:val="tx1"/>
            </w14:solidFill>
          </w14:textFill>
        </w:rPr>
        <w:t>绥滨县北山</w:t>
      </w:r>
      <w: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t>乡人民政府</w:t>
      </w:r>
    </w:p>
    <w:p>
      <w:pPr>
        <w:spacing w:line="640" w:lineRule="exact"/>
        <w:jc w:val="center"/>
        <w:rPr>
          <w:rFonts w:hint="eastAsia" w:ascii="方正小标宋简体" w:hAnsi="宋体" w:eastAsia="方正小标宋简体" w:cs="Times New Roman"/>
          <w:sz w:val="40"/>
          <w:szCs w:val="44"/>
          <w:lang w:val="en-US" w:eastAsia="zh-CN"/>
        </w:rPr>
      </w:pPr>
      <w:r>
        <w:rPr>
          <w:rFonts w:hint="eastAsia" w:ascii="方正小标宋简体" w:hAnsi="宋体" w:eastAsia="方正小标宋简体" w:cs="Times New Roman"/>
          <w:sz w:val="44"/>
          <w:szCs w:val="44"/>
          <w:lang w:val="en-US" w:eastAsia="zh-CN"/>
        </w:rPr>
        <w:t>2023年政府信息公开工作年度报告</w:t>
      </w:r>
    </w:p>
    <w:bookmarkEnd w:id="0"/>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北山乡坚持以习近平新时代中国特色社会主义思想为指导，</w:t>
      </w:r>
      <w:r>
        <w:rPr>
          <w:rFonts w:hint="eastAsia" w:ascii="仿宋_GB2312" w:hAnsi="仿宋_GB2312" w:eastAsia="仿宋_GB2312" w:cs="仿宋_GB2312"/>
          <w:i w:val="0"/>
          <w:caps w:val="0"/>
          <w:color w:val="auto"/>
          <w:spacing w:val="0"/>
          <w:sz w:val="32"/>
          <w:szCs w:val="32"/>
          <w:shd w:val="clear" w:fill="FFFFFF"/>
          <w:lang w:eastAsia="zh-CN"/>
        </w:rPr>
        <w:t>严格落实</w:t>
      </w:r>
      <w:r>
        <w:rPr>
          <w:rFonts w:hint="eastAsia" w:ascii="仿宋_GB2312" w:hAnsi="仿宋_GB2312" w:eastAsia="仿宋_GB2312" w:cs="仿宋_GB2312"/>
          <w:i w:val="0"/>
          <w:caps w:val="0"/>
          <w:color w:val="auto"/>
          <w:spacing w:val="0"/>
          <w:sz w:val="32"/>
          <w:szCs w:val="32"/>
          <w:shd w:val="clear" w:fill="FFFFFF"/>
        </w:rPr>
        <w:t>《中华人民共和国政府信息公开条例》</w:t>
      </w:r>
      <w:r>
        <w:rPr>
          <w:rFonts w:hint="eastAsia" w:ascii="仿宋_GB2312" w:hAnsi="仿宋_GB2312" w:eastAsia="仿宋_GB2312" w:cs="仿宋_GB2312"/>
          <w:i w:val="0"/>
          <w:caps w:val="0"/>
          <w:color w:val="auto"/>
          <w:spacing w:val="0"/>
          <w:sz w:val="32"/>
          <w:szCs w:val="32"/>
          <w:shd w:val="clear" w:fill="FFFFFF"/>
          <w:lang w:eastAsia="zh-CN"/>
        </w:rPr>
        <w:t>第五十条规定</w:t>
      </w:r>
      <w:r>
        <w:rPr>
          <w:rFonts w:hint="eastAsia" w:ascii="仿宋_GB2312" w:hAnsi="仿宋_GB2312" w:eastAsia="仿宋_GB2312" w:cs="仿宋_GB2312"/>
          <w:i w:val="0"/>
          <w:caps w:val="0"/>
          <w:color w:val="auto"/>
          <w:spacing w:val="0"/>
          <w:sz w:val="32"/>
          <w:szCs w:val="32"/>
          <w:shd w:val="clear" w:fill="FFFFFF"/>
        </w:rPr>
        <w:t>，由</w:t>
      </w:r>
      <w:r>
        <w:rPr>
          <w:rFonts w:hint="eastAsia" w:ascii="仿宋_GB2312" w:hAnsi="仿宋_GB2312" w:eastAsia="仿宋_GB2312" w:cs="仿宋_GB2312"/>
          <w:i w:val="0"/>
          <w:caps w:val="0"/>
          <w:color w:val="auto"/>
          <w:spacing w:val="0"/>
          <w:sz w:val="32"/>
          <w:szCs w:val="32"/>
          <w:shd w:val="clear" w:fill="FFFFFF"/>
          <w:lang w:eastAsia="zh-CN"/>
        </w:rPr>
        <w:t>绥滨县</w:t>
      </w:r>
      <w:r>
        <w:rPr>
          <w:rFonts w:hint="eastAsia" w:ascii="仿宋_GB2312" w:hAnsi="仿宋_GB2312" w:eastAsia="仿宋_GB2312" w:cs="仿宋_GB2312"/>
          <w:i w:val="0"/>
          <w:caps w:val="0"/>
          <w:color w:val="auto"/>
          <w:spacing w:val="0"/>
          <w:sz w:val="32"/>
          <w:szCs w:val="32"/>
          <w:shd w:val="clear" w:fill="FFFFFF"/>
          <w:lang w:val="en-US" w:eastAsia="zh-CN"/>
        </w:rPr>
        <w:t>北山</w:t>
      </w:r>
      <w:r>
        <w:rPr>
          <w:rFonts w:hint="eastAsia" w:ascii="仿宋_GB2312" w:hAnsi="仿宋_GB2312" w:eastAsia="仿宋_GB2312" w:cs="仿宋_GB2312"/>
          <w:i w:val="0"/>
          <w:caps w:val="0"/>
          <w:color w:val="auto"/>
          <w:spacing w:val="0"/>
          <w:sz w:val="32"/>
          <w:szCs w:val="32"/>
          <w:shd w:val="clear" w:fill="FFFFFF"/>
        </w:rPr>
        <w:t>乡政府完成</w:t>
      </w:r>
      <w:r>
        <w:rPr>
          <w:rFonts w:hint="eastAsia" w:ascii="仿宋_GB2312" w:hAnsi="仿宋_GB2312" w:eastAsia="仿宋_GB2312" w:cs="仿宋_GB2312"/>
          <w:i w:val="0"/>
          <w:caps w:val="0"/>
          <w:color w:val="auto"/>
          <w:spacing w:val="0"/>
          <w:sz w:val="32"/>
          <w:szCs w:val="32"/>
          <w:shd w:val="clear" w:fill="FFFFFF"/>
          <w:lang w:eastAsia="zh-CN"/>
        </w:rPr>
        <w:t>年度报告</w:t>
      </w:r>
      <w:r>
        <w:rPr>
          <w:rFonts w:hint="eastAsia" w:ascii="仿宋_GB2312" w:hAnsi="仿宋_GB2312" w:eastAsia="仿宋_GB2312" w:cs="仿宋_GB2312"/>
          <w:i w:val="0"/>
          <w:caps w:val="0"/>
          <w:color w:val="auto"/>
          <w:spacing w:val="0"/>
          <w:sz w:val="32"/>
          <w:szCs w:val="32"/>
          <w:shd w:val="clear" w:fill="FFFFFF"/>
        </w:rPr>
        <w:t>编制。本年度报告数据的统计期限为20</w:t>
      </w:r>
      <w:r>
        <w:rPr>
          <w:rFonts w:hint="eastAsia" w:ascii="仿宋_GB2312" w:hAnsi="仿宋_GB2312" w:eastAsia="仿宋_GB2312" w:cs="仿宋_GB2312"/>
          <w:i w:val="0"/>
          <w:caps w:val="0"/>
          <w:color w:val="auto"/>
          <w:spacing w:val="0"/>
          <w:sz w:val="32"/>
          <w:szCs w:val="32"/>
          <w:shd w:val="clear" w:fill="FFFFFF"/>
          <w:lang w:val="en-US" w:eastAsia="zh-CN"/>
        </w:rPr>
        <w:t>23</w:t>
      </w:r>
      <w:r>
        <w:rPr>
          <w:rFonts w:hint="eastAsia" w:ascii="仿宋_GB2312" w:hAnsi="仿宋_GB2312" w:eastAsia="仿宋_GB2312" w:cs="仿宋_GB2312"/>
          <w:i w:val="0"/>
          <w:caps w:val="0"/>
          <w:color w:val="auto"/>
          <w:spacing w:val="0"/>
          <w:sz w:val="32"/>
          <w:szCs w:val="32"/>
          <w:shd w:val="clear" w:fill="FFFFFF"/>
        </w:rPr>
        <w:t>年1月1日至20</w:t>
      </w:r>
      <w:r>
        <w:rPr>
          <w:rFonts w:hint="eastAsia" w:ascii="仿宋_GB2312" w:hAnsi="仿宋_GB2312" w:eastAsia="仿宋_GB2312" w:cs="仿宋_GB2312"/>
          <w:i w:val="0"/>
          <w:caps w:val="0"/>
          <w:color w:val="auto"/>
          <w:spacing w:val="0"/>
          <w:sz w:val="32"/>
          <w:szCs w:val="32"/>
          <w:shd w:val="clear" w:fill="FFFFFF"/>
          <w:lang w:val="en-US" w:eastAsia="zh-CN"/>
        </w:rPr>
        <w:t>23</w:t>
      </w:r>
      <w:r>
        <w:rPr>
          <w:rFonts w:hint="eastAsia" w:ascii="仿宋_GB2312" w:hAnsi="仿宋_GB2312" w:eastAsia="仿宋_GB2312" w:cs="仿宋_GB2312"/>
          <w:i w:val="0"/>
          <w:caps w:val="0"/>
          <w:color w:val="auto"/>
          <w:spacing w:val="0"/>
          <w:sz w:val="32"/>
          <w:szCs w:val="32"/>
          <w:shd w:val="clear" w:fill="FFFFFF"/>
        </w:rPr>
        <w:t>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eastAsia="zh-CN"/>
        </w:rPr>
        <w:t>总体情况</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山乡按照县政府政务公开工作的统一部署，加大重点领域主动公开力度，加强政策解读回应，规范推进申请工作，强化指导监督，进一步做细做实政务公开工作，持续推行依法行政工作，畅通群众民主沟通渠道和机关干部的服务群众意识，密切党群关系，不断深化效能。现就今年来我乡政务公开工作总结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eastAsia="zh-CN"/>
        </w:rPr>
        <w:t>（一）主动公开方面。</w:t>
      </w:r>
      <w:r>
        <w:rPr>
          <w:rFonts w:hint="eastAsia" w:ascii="仿宋_GB2312" w:hAnsi="仿宋_GB2312" w:eastAsia="仿宋_GB2312" w:cs="仿宋_GB2312"/>
          <w:b w:val="0"/>
          <w:bCs w:val="0"/>
          <w:sz w:val="32"/>
          <w:szCs w:val="32"/>
          <w:lang w:val="en-US" w:eastAsia="zh-CN"/>
        </w:rPr>
        <w:t>积极推进信息公开，</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w:t>
      </w:r>
      <w:r>
        <w:rPr>
          <w:rFonts w:hint="eastAsia" w:ascii="仿宋_GB2312" w:hAnsi="仿宋_GB2312" w:eastAsia="仿宋_GB2312" w:cs="仿宋_GB2312"/>
          <w:sz w:val="32"/>
          <w:szCs w:val="32"/>
          <w:lang w:eastAsia="zh-CN"/>
        </w:rPr>
        <w:t>，乡党政办</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sz w:val="32"/>
          <w:szCs w:val="32"/>
          <w:lang w:val="en-US" w:eastAsia="zh-CN"/>
        </w:rPr>
        <w:t>“掌上绥滨”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北山宣传</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微信公众号、便民服务窗口、公示栏等方式</w:t>
      </w:r>
      <w:r>
        <w:rPr>
          <w:rFonts w:hint="eastAsia" w:ascii="仿宋_GB2312" w:hAnsi="仿宋_GB2312" w:eastAsia="仿宋_GB2312" w:cs="仿宋_GB2312"/>
          <w:sz w:val="32"/>
          <w:szCs w:val="32"/>
        </w:rPr>
        <w:t>主动公开信息</w:t>
      </w:r>
      <w:r>
        <w:rPr>
          <w:rFonts w:hint="eastAsia" w:ascii="仿宋_GB2312" w:hAnsi="仿宋_GB2312" w:eastAsia="仿宋_GB2312" w:cs="仿宋_GB2312"/>
          <w:sz w:val="32"/>
          <w:szCs w:val="32"/>
          <w:lang w:val="en-US" w:eastAsia="zh-CN"/>
        </w:rPr>
        <w:t>80余</w:t>
      </w:r>
      <w:r>
        <w:rPr>
          <w:rFonts w:hint="eastAsia" w:ascii="仿宋_GB2312" w:hAnsi="仿宋_GB2312" w:eastAsia="仿宋_GB2312" w:cs="仿宋_GB2312"/>
          <w:sz w:val="32"/>
          <w:szCs w:val="32"/>
          <w:lang w:eastAsia="zh-CN"/>
        </w:rPr>
        <w:t>条，其中在微信公众号公开累计</w:t>
      </w:r>
      <w:r>
        <w:rPr>
          <w:rFonts w:hint="eastAsia" w:ascii="仿宋_GB2312" w:hAnsi="仿宋_GB2312" w:eastAsia="仿宋_GB2312" w:cs="仿宋_GB2312"/>
          <w:sz w:val="32"/>
          <w:szCs w:val="32"/>
          <w:lang w:val="en-US" w:eastAsia="zh-CN"/>
        </w:rPr>
        <w:t>67条，便民窗口、公示栏公示20余条涉及民生类信息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通过黑龙江省龙头新闻、鹤岗融媒公开黑土地保护和改善人居环境方面的信息各</w:t>
      </w:r>
      <w:r>
        <w:rPr>
          <w:rFonts w:hint="eastAsia" w:ascii="仿宋_GB2312" w:hAnsi="仿宋_GB2312" w:eastAsia="仿宋_GB2312" w:cs="仿宋_GB2312"/>
          <w:sz w:val="32"/>
          <w:szCs w:val="32"/>
          <w:lang w:val="en-US" w:eastAsia="zh-CN"/>
        </w:rPr>
        <w:t>1篇，</w:t>
      </w:r>
      <w:r>
        <w:rPr>
          <w:rFonts w:hint="eastAsia" w:ascii="仿宋_GB2312" w:hAnsi="仿宋_GB2312" w:eastAsia="仿宋_GB2312" w:cs="仿宋_GB2312"/>
          <w:b w:val="0"/>
          <w:bCs w:val="0"/>
          <w:sz w:val="32"/>
          <w:szCs w:val="32"/>
          <w:lang w:val="en-US" w:eastAsia="zh-CN"/>
        </w:rPr>
        <w:t>本年度共发放宣传图版60余个，宣传手册700余本，宣传单4000余张，电子大屏幕宣传50余条。把辖区居民关注度高的民生和社会救助、惠民惠农、发展规划、项目推进、依法行政、春耕生产、农业生产补贴、畜牧业发展、人居环境整治、国土绿化、企业营商环境、征兵宣传、退役军人保障等方面的信息进行依法公开，也加大了信息公开力度，增强政府工作透明度和公信力。我们把政务公开与各项日常工作结合起来，建立完善政务公开长效机制。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（二）依申请公开方面。</w:t>
      </w:r>
      <w:r>
        <w:rPr>
          <w:rFonts w:hint="eastAsia" w:ascii="仿宋_GB2312" w:hAnsi="仿宋_GB2312" w:eastAsia="仿宋_GB2312" w:cs="仿宋_GB2312"/>
          <w:sz w:val="32"/>
          <w:szCs w:val="32"/>
        </w:rPr>
        <w:t>我乡202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年度未接到政府信息公开申请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（三）政府信息管理方面。</w:t>
      </w:r>
      <w:r>
        <w:rPr>
          <w:rFonts w:hint="eastAsia" w:ascii="仿宋_GB2312" w:hAnsi="仿宋_GB2312" w:eastAsia="仿宋_GB2312" w:cs="仿宋_GB2312"/>
          <w:b w:val="0"/>
          <w:bCs w:val="0"/>
          <w:sz w:val="32"/>
          <w:szCs w:val="32"/>
          <w:lang w:val="en-US" w:eastAsia="zh-CN"/>
        </w:rPr>
        <w:t>2023年，我乡高度重视政务公开工作，“一把手”亲自抓，落实专人负责政府信息公开工作，做到政务公开工作有领导、有部署、有对策、有成效。同时，严格落实信息发布审核制度，严把信息发布审核关，坚决杜绝涉密信息上网，及时开展自查自纠，确保公民个人隐私或敏感信息不泄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（四）政府信息公开平台建设方面。</w:t>
      </w:r>
      <w:r>
        <w:rPr>
          <w:rFonts w:hint="eastAsia" w:ascii="仿宋_GB2312" w:hAnsi="仿宋_GB2312" w:eastAsia="仿宋_GB2312" w:cs="仿宋_GB2312"/>
          <w:b w:val="0"/>
          <w:bCs w:val="0"/>
          <w:sz w:val="32"/>
          <w:szCs w:val="32"/>
          <w:lang w:val="en-US" w:eastAsia="zh-CN"/>
        </w:rPr>
        <w:t>一是强化宣传教育培训，在机关干部例会上组织机关干部学习《中华人民共和国政府信息公开条例》和中央、省、市、县关于政务公开工作相关要求。二是筑牢线上传播途径建设，依托绥滨县人民政府网站作为政务公开第一平台及本乡微信公众号公开政府信息，向社会公开群众关切的事项，解决群众急难愁盼的问题。三是做好线下阵地建设，充分利用会议文件、标语、展板、宣传栏等信息公开形式，使群众便捷、快速、直接地了解政府信息公开内容，不断提升信息公开工作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lang w:val="en-US" w:eastAsia="zh-CN"/>
        </w:rPr>
        <w:t>（五）监督保障方面。</w:t>
      </w:r>
      <w:r>
        <w:rPr>
          <w:rFonts w:hint="eastAsia" w:ascii="仿宋_GB2312" w:hAnsi="仿宋_GB2312" w:eastAsia="仿宋_GB2312" w:cs="仿宋_GB2312"/>
          <w:b w:val="0"/>
          <w:bCs w:val="0"/>
          <w:sz w:val="32"/>
          <w:szCs w:val="32"/>
          <w:lang w:val="en-US" w:eastAsia="zh-CN"/>
        </w:rPr>
        <w:t>一是根据工作需要及时调整政府信息公开工作小组，切实保证政府信息公开工作力量，落实专人负责收集、整理、录入、审核等日常工作，促进政府信息公开工作落到实处。二是突出对政务动态栏目政府信息公开进行规范化，完善保密审查规定，落实政府信息公开。三是定期对信息更新、服务实用性、安全防范等进行自查，发现问题及时整改，以人民为中心，回应社会关切，畅通互动渠道，不断提升政务信息公开工作质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二、主动公开政府信息情况</w:t>
      </w:r>
    </w:p>
    <w:tbl>
      <w:tblPr>
        <w:tblStyle w:val="4"/>
        <w:tblW w:w="8580" w:type="dxa"/>
        <w:jc w:val="center"/>
        <w:shd w:val="clear" w:color="auto" w:fill="FFFFFF" w:themeFill="background1"/>
        <w:tblLayout w:type="fixed"/>
        <w:tblCellMar>
          <w:top w:w="15" w:type="dxa"/>
          <w:left w:w="15" w:type="dxa"/>
          <w:bottom w:w="15" w:type="dxa"/>
          <w:right w:w="15" w:type="dxa"/>
        </w:tblCellMar>
      </w:tblPr>
      <w:tblGrid>
        <w:gridCol w:w="2145"/>
        <w:gridCol w:w="2145"/>
        <w:gridCol w:w="2145"/>
        <w:gridCol w:w="2145"/>
      </w:tblGrid>
      <w:tr>
        <w:tblPrEx>
          <w:shd w:val="clear" w:color="auto" w:fill="FFFFFF" w:themeFill="background1"/>
          <w:tblCellMar>
            <w:top w:w="15" w:type="dxa"/>
            <w:left w:w="15" w:type="dxa"/>
            <w:bottom w:w="15" w:type="dxa"/>
            <w:right w:w="15" w:type="dxa"/>
          </w:tblCellMar>
        </w:tblPrEx>
        <w:trPr>
          <w:trHeight w:val="421" w:hRule="atLeast"/>
          <w:jc w:val="center"/>
        </w:trPr>
        <w:tc>
          <w:tcPr>
            <w:tcW w:w="8580" w:type="dxa"/>
            <w:gridSpan w:val="4"/>
            <w:tcBorders>
              <w:top w:val="single" w:color="auto" w:sz="8" w:space="0"/>
              <w:left w:val="single" w:color="auto" w:sz="8" w:space="0"/>
              <w:bottom w:val="single" w:color="auto" w:sz="8" w:space="0"/>
              <w:right w:val="single" w:color="auto" w:sz="8" w:space="0"/>
            </w:tcBorders>
            <w:shd w:val="clear" w:color="auto" w:fill="B8CCE4" w:themeFill="accent1" w:themeFillTint="66"/>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第二十条第（一）项</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1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w:t>
            </w:r>
            <w:r>
              <w:rPr>
                <w:rFonts w:ascii="Calibri" w:hAnsi="Calibri" w:cs="Calibri" w:eastAsiaTheme="minorEastAsia"/>
                <w:color w:val="auto"/>
                <w:kern w:val="0"/>
                <w:sz w:val="20"/>
                <w:szCs w:val="20"/>
                <w:lang w:val="en-US" w:eastAsia="zh-CN" w:bidi="ar"/>
              </w:rPr>
              <w:t>制</w:t>
            </w:r>
            <w:r>
              <w:rPr>
                <w:rFonts w:hint="eastAsia" w:ascii="宋体" w:hAnsi="宋体" w:eastAsia="宋体" w:cs="宋体"/>
                <w:color w:val="auto"/>
                <w:kern w:val="0"/>
                <w:sz w:val="20"/>
                <w:szCs w:val="20"/>
                <w:lang w:val="en-US" w:eastAsia="zh-CN" w:bidi="ar"/>
              </w:rPr>
              <w:t>发件</w:t>
            </w:r>
            <w:r>
              <w:rPr>
                <w:rFonts w:hint="default" w:ascii="Calibri" w:hAnsi="Calibri" w:cs="Calibri" w:eastAsiaTheme="minorEastAsia"/>
                <w:color w:val="auto"/>
                <w:kern w:val="0"/>
                <w:sz w:val="20"/>
                <w:szCs w:val="20"/>
                <w:lang w:val="en-US" w:eastAsia="zh-CN" w:bidi="ar"/>
              </w:rPr>
              <w:t>数</w:t>
            </w:r>
          </w:p>
        </w:tc>
        <w:tc>
          <w:tcPr>
            <w:tcW w:w="21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1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w:t>
            </w:r>
            <w:r>
              <w:rPr>
                <w:rFonts w:hint="default" w:ascii="Calibri" w:hAnsi="Calibri" w:cs="Calibri" w:eastAsiaTheme="minorEastAsia"/>
                <w:color w:val="auto"/>
                <w:kern w:val="0"/>
                <w:sz w:val="20"/>
                <w:szCs w:val="20"/>
                <w:lang w:val="en-US" w:eastAsia="zh-CN" w:bidi="ar"/>
              </w:rPr>
              <w:t>数</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规章</w:t>
            </w:r>
          </w:p>
        </w:tc>
        <w:tc>
          <w:tcPr>
            <w:tcW w:w="21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1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1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cs="Calibri"/>
                <w:color w:val="auto"/>
                <w:kern w:val="0"/>
                <w:sz w:val="21"/>
                <w:szCs w:val="21"/>
                <w:lang w:val="en-US" w:eastAsia="zh-CN" w:bidi="ar"/>
              </w:rPr>
              <w:t>0</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行政规范性文件</w:t>
            </w:r>
          </w:p>
        </w:tc>
        <w:tc>
          <w:tcPr>
            <w:tcW w:w="21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1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1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cs="Calibri"/>
                <w:color w:val="auto"/>
                <w:kern w:val="0"/>
                <w:sz w:val="21"/>
                <w:szCs w:val="21"/>
                <w:lang w:val="en-US" w:eastAsia="zh-CN" w:bidi="ar"/>
              </w:rPr>
              <w:t>0</w:t>
            </w:r>
          </w:p>
        </w:tc>
      </w:tr>
      <w:tr>
        <w:tblPrEx>
          <w:tblCellMar>
            <w:top w:w="15" w:type="dxa"/>
            <w:left w:w="15" w:type="dxa"/>
            <w:bottom w:w="15" w:type="dxa"/>
            <w:right w:w="15" w:type="dxa"/>
          </w:tblCellMar>
        </w:tblPrEx>
        <w:trPr>
          <w:trHeight w:val="421" w:hRule="atLeast"/>
          <w:jc w:val="center"/>
        </w:trPr>
        <w:tc>
          <w:tcPr>
            <w:tcW w:w="8580" w:type="dxa"/>
            <w:gridSpan w:val="4"/>
            <w:tcBorders>
              <w:top w:val="nil"/>
              <w:left w:val="single" w:color="auto" w:sz="8" w:space="0"/>
              <w:bottom w:val="single" w:color="auto" w:sz="8" w:space="0"/>
              <w:right w:val="single" w:color="auto" w:sz="8" w:space="0"/>
            </w:tcBorders>
            <w:shd w:val="clear" w:color="auto" w:fill="B8CCE4" w:themeFill="accent1" w:themeFillTint="66"/>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64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行政许可</w:t>
            </w:r>
          </w:p>
        </w:tc>
        <w:tc>
          <w:tcPr>
            <w:tcW w:w="64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cs="Calibri"/>
                <w:color w:val="auto"/>
                <w:kern w:val="0"/>
                <w:sz w:val="21"/>
                <w:szCs w:val="21"/>
                <w:lang w:val="en-US" w:eastAsia="zh-CN" w:bidi="ar"/>
              </w:rPr>
              <w:t>0</w:t>
            </w:r>
          </w:p>
        </w:tc>
      </w:tr>
      <w:tr>
        <w:tblPrEx>
          <w:tblCellMar>
            <w:top w:w="15" w:type="dxa"/>
            <w:left w:w="15" w:type="dxa"/>
            <w:bottom w:w="15" w:type="dxa"/>
            <w:right w:w="15" w:type="dxa"/>
          </w:tblCellMar>
        </w:tblPrEx>
        <w:trPr>
          <w:trHeight w:val="421" w:hRule="atLeast"/>
          <w:jc w:val="center"/>
        </w:trPr>
        <w:tc>
          <w:tcPr>
            <w:tcW w:w="8580" w:type="dxa"/>
            <w:gridSpan w:val="4"/>
            <w:tcBorders>
              <w:top w:val="nil"/>
              <w:left w:val="single" w:color="auto" w:sz="8" w:space="0"/>
              <w:bottom w:val="single" w:color="auto" w:sz="8" w:space="0"/>
              <w:right w:val="single" w:color="auto" w:sz="8" w:space="0"/>
            </w:tcBorders>
            <w:shd w:val="clear" w:color="auto" w:fill="B8CCE4" w:themeFill="accent1" w:themeFillTint="66"/>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64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行政处罚</w:t>
            </w:r>
          </w:p>
        </w:tc>
        <w:tc>
          <w:tcPr>
            <w:tcW w:w="64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行政强制</w:t>
            </w:r>
          </w:p>
        </w:tc>
        <w:tc>
          <w:tcPr>
            <w:tcW w:w="64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tblPrEx>
          <w:tblCellMar>
            <w:top w:w="15" w:type="dxa"/>
            <w:left w:w="15" w:type="dxa"/>
            <w:bottom w:w="15" w:type="dxa"/>
            <w:right w:w="15" w:type="dxa"/>
          </w:tblCellMar>
        </w:tblPrEx>
        <w:trPr>
          <w:trHeight w:val="421" w:hRule="atLeast"/>
          <w:jc w:val="center"/>
        </w:trPr>
        <w:tc>
          <w:tcPr>
            <w:tcW w:w="8580" w:type="dxa"/>
            <w:gridSpan w:val="4"/>
            <w:tcBorders>
              <w:top w:val="nil"/>
              <w:left w:val="single" w:color="auto" w:sz="8" w:space="0"/>
              <w:bottom w:val="single" w:color="auto" w:sz="8" w:space="0"/>
              <w:right w:val="single" w:color="auto" w:sz="8" w:space="0"/>
            </w:tcBorders>
            <w:shd w:val="clear" w:color="auto" w:fill="B8CCE4" w:themeFill="accent1" w:themeFillTint="66"/>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tblPrEx>
          <w:tblCellMar>
            <w:top w:w="15" w:type="dxa"/>
            <w:left w:w="15" w:type="dxa"/>
            <w:bottom w:w="15" w:type="dxa"/>
            <w:right w:w="15" w:type="dxa"/>
          </w:tblCellMar>
        </w:tblPrEx>
        <w:trPr>
          <w:trHeight w:val="421"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64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tblPrEx>
          <w:tblCellMar>
            <w:top w:w="15" w:type="dxa"/>
            <w:left w:w="15" w:type="dxa"/>
            <w:bottom w:w="15" w:type="dxa"/>
            <w:right w:w="15" w:type="dxa"/>
          </w:tblCellMar>
        </w:tblPrEx>
        <w:trPr>
          <w:trHeight w:val="466" w:hRule="atLeast"/>
          <w:jc w:val="center"/>
        </w:trPr>
        <w:tc>
          <w:tcPr>
            <w:tcW w:w="21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行政事业性收费</w:t>
            </w:r>
          </w:p>
        </w:tc>
        <w:tc>
          <w:tcPr>
            <w:tcW w:w="64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jc w:val="cente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三、收到和处理政府信息公开申请情况</w:t>
      </w:r>
    </w:p>
    <w:tbl>
      <w:tblPr>
        <w:tblStyle w:val="4"/>
        <w:tblW w:w="868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15" w:type="dxa"/>
          <w:left w:w="15" w:type="dxa"/>
          <w:bottom w:w="15" w:type="dxa"/>
          <w:right w:w="15" w:type="dxa"/>
        </w:tblCellMar>
      </w:tblPr>
      <w:tblGrid>
        <w:gridCol w:w="761"/>
        <w:gridCol w:w="900"/>
        <w:gridCol w:w="2313"/>
        <w:gridCol w:w="717"/>
        <w:gridCol w:w="717"/>
        <w:gridCol w:w="715"/>
        <w:gridCol w:w="717"/>
        <w:gridCol w:w="716"/>
        <w:gridCol w:w="716"/>
        <w:gridCol w:w="4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trHeight w:val="416" w:hRule="atLeast"/>
          <w:jc w:val="center"/>
        </w:trPr>
        <w:tc>
          <w:tcPr>
            <w:tcW w:w="3974"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ascii="楷体" w:hAnsi="楷体" w:eastAsia="楷体" w:cs="楷体"/>
                <w:color w:val="000000"/>
                <w:kern w:val="0"/>
                <w:sz w:val="20"/>
                <w:szCs w:val="20"/>
                <w:lang w:val="en-US" w:eastAsia="zh-CN" w:bidi="ar"/>
              </w:rPr>
              <w:t>（本列数据的勾稽关系为：第一项加第二项之和，等于第三项加第四项之和）</w:t>
            </w:r>
          </w:p>
        </w:tc>
        <w:tc>
          <w:tcPr>
            <w:tcW w:w="4714"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3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color w:val="000000"/>
                <w:sz w:val="24"/>
                <w:szCs w:val="24"/>
              </w:rPr>
            </w:pPr>
          </w:p>
        </w:tc>
        <w:tc>
          <w:tcPr>
            <w:tcW w:w="717"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581"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416"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1" w:hRule="atLeast"/>
          <w:jc w:val="center"/>
        </w:trPr>
        <w:tc>
          <w:tcPr>
            <w:tcW w:w="397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color w:val="000000"/>
                <w:sz w:val="24"/>
                <w:szCs w:val="24"/>
              </w:rPr>
            </w:pPr>
          </w:p>
        </w:tc>
        <w:tc>
          <w:tcPr>
            <w:tcW w:w="717"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企业</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机构</w:t>
            </w:r>
          </w:p>
        </w:tc>
        <w:tc>
          <w:tcPr>
            <w:tcW w:w="717"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71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1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416"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3974"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3974"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三、本年度办理结果</w:t>
            </w:r>
          </w:p>
        </w:tc>
        <w:tc>
          <w:tcPr>
            <w:tcW w:w="321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9"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321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（三）不予公开</w:t>
            </w: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1.属于国家秘密</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2.其他法律行政法规禁止公开</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3.危及“三安全一稳定”</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4.保护第三方合法权益</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5.属于三类内部事务信息</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6.属于四类过程性信息</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7.属于行政执法案卷</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8.属于行政查询事项</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（四）无法提供</w:t>
            </w: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3.补正后申请内容仍不明确</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（五）不予处理</w:t>
            </w: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1.信访举报投诉类申请</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2.重复申请</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3.要求提供公开出版物</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4.无正当理由大量反复申请</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4"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717"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1"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（六）其他处理</w:t>
            </w: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1"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900"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231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3.其他</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6" w:hRule="atLeast"/>
          <w:jc w:val="center"/>
        </w:trPr>
        <w:tc>
          <w:tcPr>
            <w:tcW w:w="761"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p>
        </w:tc>
        <w:tc>
          <w:tcPr>
            <w:tcW w:w="321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（七）总计</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1" w:hRule="atLeast"/>
          <w:jc w:val="center"/>
        </w:trPr>
        <w:tc>
          <w:tcPr>
            <w:tcW w:w="3974"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四、结转下年度继续办理</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41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jc w:val="center"/>
              <w:rPr>
                <w:rFonts w:hint="eastAsia" w:ascii="宋体"/>
                <w:color w:val="000000"/>
                <w:sz w:val="24"/>
                <w:szCs w:val="24"/>
              </w:rPr>
            </w:pPr>
            <w:r>
              <w:rPr>
                <w:rFonts w:hint="eastAsia" w:ascii="Calibri" w:hAnsi="Calibri" w:cs="Calibri"/>
                <w:color w:val="000000"/>
                <w:kern w:val="0"/>
                <w:sz w:val="20"/>
                <w:szCs w:val="20"/>
                <w:lang w:val="en-US" w:eastAsia="zh-CN" w:bidi="ar"/>
              </w:rPr>
              <w:t>0</w:t>
            </w:r>
          </w:p>
        </w:tc>
      </w:tr>
    </w:tbl>
    <w:p>
      <w:pPr>
        <w:numPr>
          <w:ilvl w:val="0"/>
          <w:numId w:val="0"/>
        </w:numPr>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四、政府信息公开行政复议、行政诉讼情况</w:t>
      </w:r>
    </w:p>
    <w:tbl>
      <w:tblPr>
        <w:tblStyle w:val="4"/>
        <w:tblW w:w="89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Layout w:type="fixed"/>
        <w:tblCellMar>
          <w:top w:w="15" w:type="dxa"/>
          <w:left w:w="15" w:type="dxa"/>
          <w:bottom w:w="15" w:type="dxa"/>
          <w:right w:w="15" w:type="dxa"/>
        </w:tblCellMar>
      </w:tblPr>
      <w:tblGrid>
        <w:gridCol w:w="363"/>
        <w:gridCol w:w="498"/>
        <w:gridCol w:w="450"/>
        <w:gridCol w:w="375"/>
        <w:gridCol w:w="762"/>
        <w:gridCol w:w="540"/>
        <w:gridCol w:w="543"/>
        <w:gridCol w:w="510"/>
        <w:gridCol w:w="450"/>
        <w:gridCol w:w="1077"/>
        <w:gridCol w:w="504"/>
        <w:gridCol w:w="489"/>
        <w:gridCol w:w="525"/>
        <w:gridCol w:w="540"/>
        <w:gridCol w:w="13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hemeFill="background1"/>
          <w:tblCellMar>
            <w:top w:w="15" w:type="dxa"/>
            <w:left w:w="15" w:type="dxa"/>
            <w:bottom w:w="15" w:type="dxa"/>
            <w:right w:w="15" w:type="dxa"/>
          </w:tblCellMar>
        </w:tblPrEx>
        <w:trPr>
          <w:jc w:val="center"/>
        </w:trPr>
        <w:tc>
          <w:tcPr>
            <w:tcW w:w="24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行政复议</w:t>
            </w:r>
          </w:p>
        </w:tc>
        <w:tc>
          <w:tcPr>
            <w:tcW w:w="6488"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3"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结果维持</w:t>
            </w:r>
          </w:p>
        </w:tc>
        <w:tc>
          <w:tcPr>
            <w:tcW w:w="49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 纠正</w:t>
            </w:r>
          </w:p>
        </w:tc>
        <w:tc>
          <w:tcPr>
            <w:tcW w:w="45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其他 结果</w:t>
            </w:r>
          </w:p>
        </w:tc>
        <w:tc>
          <w:tcPr>
            <w:tcW w:w="375"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尚未 审结</w:t>
            </w:r>
          </w:p>
        </w:tc>
        <w:tc>
          <w:tcPr>
            <w:tcW w:w="76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总计</w:t>
            </w:r>
          </w:p>
        </w:tc>
        <w:tc>
          <w:tcPr>
            <w:tcW w:w="312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未经复议直接起诉</w:t>
            </w:r>
          </w:p>
        </w:tc>
        <w:tc>
          <w:tcPr>
            <w:tcW w:w="336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3"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49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4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375"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76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color w:val="000000"/>
                <w:sz w:val="24"/>
                <w:szCs w:val="24"/>
              </w:rPr>
            </w:pPr>
          </w:p>
        </w:tc>
        <w:tc>
          <w:tcPr>
            <w:tcW w:w="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 维持</w:t>
            </w:r>
          </w:p>
        </w:tc>
        <w:tc>
          <w:tcPr>
            <w:tcW w:w="5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 纠正</w:t>
            </w:r>
          </w:p>
        </w:tc>
        <w:tc>
          <w:tcPr>
            <w:tcW w:w="5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其他 结果</w:t>
            </w:r>
          </w:p>
        </w:tc>
        <w:tc>
          <w:tcPr>
            <w:tcW w:w="4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尚未 审结</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总计</w:t>
            </w:r>
          </w:p>
        </w:tc>
        <w:tc>
          <w:tcPr>
            <w:tcW w:w="5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 维持</w:t>
            </w:r>
          </w:p>
        </w:tc>
        <w:tc>
          <w:tcPr>
            <w:tcW w:w="48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结果 纠正</w:t>
            </w:r>
          </w:p>
        </w:tc>
        <w:tc>
          <w:tcPr>
            <w:tcW w:w="5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其他 结果</w:t>
            </w:r>
          </w:p>
        </w:tc>
        <w:tc>
          <w:tcPr>
            <w:tcW w:w="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尚未 审结</w:t>
            </w:r>
          </w:p>
        </w:tc>
        <w:tc>
          <w:tcPr>
            <w:tcW w:w="13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3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49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4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3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76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54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4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10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5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48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5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000000"/>
              </w:rPr>
            </w:pPr>
            <w:r>
              <w:rPr>
                <w:rFonts w:hint="eastAsia" w:ascii="Calibri" w:hAnsi="Calibri" w:cs="Calibri"/>
                <w:color w:val="000000"/>
                <w:kern w:val="0"/>
                <w:sz w:val="20"/>
                <w:szCs w:val="20"/>
                <w:lang w:val="en-US" w:eastAsia="zh-CN" w:bidi="ar"/>
              </w:rPr>
              <w:t>0</w:t>
            </w:r>
          </w:p>
        </w:tc>
        <w:tc>
          <w:tcPr>
            <w:tcW w:w="13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color w:val="000000"/>
                <w:sz w:val="24"/>
                <w:szCs w:val="24"/>
              </w:rPr>
            </w:pPr>
            <w:r>
              <w:rPr>
                <w:rFonts w:hint="eastAsia" w:ascii="Calibri" w:hAnsi="Calibri" w:cs="Calibri"/>
                <w:color w:val="000000"/>
                <w:kern w:val="0"/>
                <w:sz w:val="20"/>
                <w:szCs w:val="20"/>
                <w:lang w:val="en-US" w:eastAsia="zh-CN" w:bidi="ar"/>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i w:val="0"/>
          <w:iCs w:val="0"/>
          <w:caps w:val="0"/>
          <w:color w:val="000000"/>
          <w:spacing w:val="0"/>
          <w:sz w:val="32"/>
          <w:szCs w:val="32"/>
          <w:lang w:eastAsia="zh-CN"/>
        </w:rPr>
        <w:t>五、</w:t>
      </w:r>
      <w:r>
        <w:rPr>
          <w:rFonts w:hint="eastAsia" w:ascii="黑体" w:hAnsi="黑体" w:eastAsia="黑体" w:cs="黑体"/>
          <w:b w:val="0"/>
          <w:bCs w:val="0"/>
          <w:i w:val="0"/>
          <w:iCs w:val="0"/>
          <w:caps w:val="0"/>
          <w:color w:val="000000"/>
          <w:spacing w:val="0"/>
          <w:sz w:val="32"/>
          <w:szCs w:val="32"/>
        </w:rPr>
        <w:t>存在的主要问题及改进情况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我乡认真开展政务公开工作，虽然取得一定成绩，但还是存在一些问题。一是更新不及时，报送公开信息需要联系各部门，寻求报送素材，网站信息公开出现滞后性。二是政策解读的渠道形式有待进一步创新，解读质量不高。下一步工作打算：一是及时与各部门联系，要求报送素材，明确素材报送时间，并及时催促，以及时更新。二是创新政策解读方式方法，提升解读质量，新增图文、问答、视频解读等，丰富解读形式，严格把关解读质量，一般由文件起草人提供政策解读文字，加深政策理解。</w:t>
      </w:r>
    </w:p>
    <w:p>
      <w:pPr>
        <w:keepNext w:val="0"/>
        <w:keepLines w:val="0"/>
        <w:pageBreakBefore w:val="0"/>
        <w:kinsoku/>
        <w:wordWrap/>
        <w:overflowPunct/>
        <w:topLinePunct w:val="0"/>
        <w:autoSpaceDE/>
        <w:autoSpaceDN/>
        <w:bidi w:val="0"/>
        <w:adjustRightInd/>
        <w:snapToGrid w:val="0"/>
        <w:spacing w:before="0" w:beforeAutospacing="0" w:afterAutospacing="0" w:line="560" w:lineRule="exact"/>
        <w:ind w:firstLine="640" w:firstLineChars="200"/>
        <w:textAlignment w:val="baseline"/>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eastAsia="zh-CN"/>
        </w:rPr>
        <w:t>六、</w:t>
      </w:r>
      <w:r>
        <w:rPr>
          <w:rFonts w:hint="eastAsia" w:ascii="黑体" w:hAnsi="黑体" w:eastAsia="黑体" w:cs="黑体"/>
          <w:b w:val="0"/>
          <w:bCs w:val="0"/>
          <w:i w:val="0"/>
          <w:iCs w:val="0"/>
          <w:caps w:val="0"/>
          <w:color w:val="000000"/>
          <w:spacing w:val="0"/>
          <w:sz w:val="32"/>
          <w:szCs w:val="32"/>
        </w:rPr>
        <w:t>其他需要报告的事项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rPr>
          <w:rFonts w:hint="default" w:ascii="仿宋" w:hAnsi="仿宋" w:eastAsia="仿宋" w:cs="仿宋"/>
          <w:sz w:val="32"/>
          <w:szCs w:val="32"/>
          <w:lang w:val="en-US"/>
        </w:rPr>
      </w:pPr>
      <w:r>
        <w:rPr>
          <w:rFonts w:hint="eastAsia" w:ascii="仿宋_GB2312" w:hAnsi="仿宋_GB2312" w:eastAsia="仿宋_GB2312" w:cs="仿宋_GB2312"/>
          <w:b w:val="0"/>
          <w:bCs w:val="0"/>
          <w:kern w:val="2"/>
          <w:sz w:val="32"/>
          <w:szCs w:val="32"/>
          <w:lang w:val="en-US" w:eastAsia="zh-CN" w:bidi="ar-SA"/>
        </w:rPr>
        <w:t xml:space="preserve">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18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北山乡人民政府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RkNDgwMmIwNmVjYzIyYjIwYWNlZmZjNDk0ZjIifQ=="/>
  </w:docVars>
  <w:rsids>
    <w:rsidRoot w:val="00000000"/>
    <w:rsid w:val="06E77061"/>
    <w:rsid w:val="076444C8"/>
    <w:rsid w:val="12AD651F"/>
    <w:rsid w:val="14770374"/>
    <w:rsid w:val="173C0FBE"/>
    <w:rsid w:val="24635DDC"/>
    <w:rsid w:val="26C83652"/>
    <w:rsid w:val="32C043F9"/>
    <w:rsid w:val="361D2598"/>
    <w:rsid w:val="365B0F3E"/>
    <w:rsid w:val="371C0798"/>
    <w:rsid w:val="3B903503"/>
    <w:rsid w:val="3D3D4FC4"/>
    <w:rsid w:val="3F55089F"/>
    <w:rsid w:val="3F8D5D83"/>
    <w:rsid w:val="406B0314"/>
    <w:rsid w:val="419929E5"/>
    <w:rsid w:val="43A37781"/>
    <w:rsid w:val="462D0D9D"/>
    <w:rsid w:val="469B16B6"/>
    <w:rsid w:val="474A4FD1"/>
    <w:rsid w:val="492A0025"/>
    <w:rsid w:val="54A64FEA"/>
    <w:rsid w:val="5B4147D2"/>
    <w:rsid w:val="5B60555B"/>
    <w:rsid w:val="65126A13"/>
    <w:rsid w:val="652A3152"/>
    <w:rsid w:val="69164275"/>
    <w:rsid w:val="6BAA566B"/>
    <w:rsid w:val="7CBC6FAC"/>
    <w:rsid w:val="7D7D04EA"/>
    <w:rsid w:val="7E30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autoRedefine/>
    <w:qFormat/>
    <w:uiPriority w:val="0"/>
  </w:style>
  <w:style w:type="table" w:default="1" w:styleId="4">
    <w:name w:val="Normal Table"/>
    <w:autoRedefine/>
    <w:qFormat/>
    <w:uiPriority w:val="0"/>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rPr>
      <w:rFonts w:hint="eastAsia"/>
      <w:sz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2351</Words>
  <Characters>2408</Characters>
  <Paragraphs>401</Paragraphs>
  <TotalTime>14</TotalTime>
  <ScaleCrop>false</ScaleCrop>
  <LinksUpToDate>false</LinksUpToDate>
  <CharactersWithSpaces>2486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2022-01-06T01:45:00Z</dcterms:created>
  <dc:creator>Administrator</dc:creator>
  <cp:lastModifiedBy>A </cp:lastModifiedBy>
  <cp:lastPrinted>2022-01-13T02:49:00Z</cp:lastPrinted>
  <dcterms:modified xsi:type="dcterms:W3CDTF">2024-01-29T02:44:27Z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A75A51A07F6A44A7A8749CA06745F254_13</vt:lpwstr>
  </property>
</Properties>
</file>