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“十四五”人力资源和社会保障</w:t>
      </w:r>
    </w:p>
    <w:p>
      <w:pPr>
        <w:jc w:val="center"/>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就业和社会保障专项发展规划</w:t>
      </w:r>
    </w:p>
    <w:p>
      <w:pPr>
        <w:jc w:val="center"/>
        <w:rPr>
          <w:rFonts w:ascii="方正小标宋简体" w:hAnsi="方正小标宋简体" w:eastAsia="方正小标宋简体" w:cs="方正小标宋简体"/>
          <w:sz w:val="56"/>
          <w:szCs w:val="56"/>
        </w:rPr>
      </w:pPr>
    </w:p>
    <w:p>
      <w:pPr>
        <w:jc w:val="center"/>
        <w:rPr>
          <w:rFonts w:ascii="方正小标宋简体" w:hAnsi="方正小标宋简体" w:eastAsia="方正小标宋简体" w:cs="方正小标宋简体"/>
          <w:sz w:val="56"/>
          <w:szCs w:val="56"/>
        </w:rPr>
      </w:pPr>
    </w:p>
    <w:p>
      <w:pPr>
        <w:jc w:val="center"/>
        <w:rPr>
          <w:rFonts w:ascii="方正小标宋简体" w:hAnsi="方正小标宋简体" w:eastAsia="方正小标宋简体" w:cs="方正小标宋简体"/>
          <w:sz w:val="56"/>
          <w:szCs w:val="56"/>
        </w:rPr>
      </w:pPr>
    </w:p>
    <w:p>
      <w:pPr>
        <w:jc w:val="center"/>
        <w:rPr>
          <w:rFonts w:ascii="方正小标宋简体" w:hAnsi="方正小标宋简体" w:eastAsia="方正小标宋简体" w:cs="方正小标宋简体"/>
          <w:sz w:val="56"/>
          <w:szCs w:val="56"/>
        </w:rPr>
      </w:pPr>
    </w:p>
    <w:p>
      <w:pPr>
        <w:jc w:val="center"/>
        <w:rPr>
          <w:rFonts w:ascii="方正小标宋简体" w:hAnsi="方正小标宋简体" w:eastAsia="方正小标宋简体" w:cs="方正小标宋简体"/>
          <w:sz w:val="56"/>
          <w:szCs w:val="56"/>
        </w:rPr>
      </w:pPr>
    </w:p>
    <w:p>
      <w:pPr>
        <w:jc w:val="center"/>
        <w:rPr>
          <w:rFonts w:ascii="方正小标宋简体" w:hAnsi="方正小标宋简体" w:eastAsia="方正小标宋简体" w:cs="方正小标宋简体"/>
          <w:sz w:val="56"/>
          <w:szCs w:val="56"/>
        </w:rPr>
      </w:pPr>
    </w:p>
    <w:p>
      <w:pPr>
        <w:jc w:val="center"/>
        <w:rPr>
          <w:rFonts w:ascii="宋体" w:hAnsi="宋体" w:eastAsia="宋体" w:cs="宋体"/>
          <w:sz w:val="40"/>
          <w:szCs w:val="40"/>
        </w:rPr>
      </w:pPr>
      <w:r>
        <w:rPr>
          <w:rFonts w:hint="eastAsia" w:ascii="宋体" w:hAnsi="宋体" w:eastAsia="宋体" w:cs="宋体"/>
          <w:sz w:val="40"/>
          <w:szCs w:val="40"/>
        </w:rPr>
        <w:t>人力资源和</w:t>
      </w:r>
      <w:r>
        <w:rPr>
          <w:rFonts w:hint="eastAsia" w:ascii="宋体" w:hAnsi="宋体" w:eastAsia="宋体" w:cs="宋体"/>
          <w:sz w:val="40"/>
          <w:szCs w:val="40"/>
          <w:lang w:val="en-US" w:eastAsia="zh-CN"/>
        </w:rPr>
        <w:t>社</w:t>
      </w:r>
      <w:r>
        <w:rPr>
          <w:rFonts w:hint="eastAsia" w:ascii="宋体" w:hAnsi="宋体" w:eastAsia="宋体" w:cs="宋体"/>
          <w:sz w:val="40"/>
          <w:szCs w:val="40"/>
        </w:rPr>
        <w:t>会保障局</w:t>
      </w:r>
    </w:p>
    <w:p>
      <w:pPr>
        <w:jc w:val="center"/>
        <w:rPr>
          <w:rFonts w:ascii="宋体" w:hAnsi="宋体" w:eastAsia="宋体" w:cs="宋体"/>
          <w:sz w:val="40"/>
          <w:szCs w:val="40"/>
        </w:rPr>
      </w:pPr>
      <w:r>
        <w:rPr>
          <w:rFonts w:hint="eastAsia" w:ascii="宋体" w:hAnsi="宋体" w:eastAsia="宋体" w:cs="宋体"/>
          <w:sz w:val="40"/>
          <w:szCs w:val="40"/>
        </w:rPr>
        <w:t>202</w:t>
      </w:r>
      <w:r>
        <w:rPr>
          <w:rFonts w:hint="eastAsia" w:ascii="宋体" w:hAnsi="宋体" w:eastAsia="宋体" w:cs="宋体"/>
          <w:sz w:val="40"/>
          <w:szCs w:val="40"/>
          <w:lang w:val="en-US" w:eastAsia="zh-CN"/>
        </w:rPr>
        <w:t>1</w:t>
      </w:r>
      <w:r>
        <w:rPr>
          <w:rFonts w:hint="eastAsia" w:ascii="宋体" w:hAnsi="宋体" w:eastAsia="宋体" w:cs="宋体"/>
          <w:sz w:val="40"/>
          <w:szCs w:val="40"/>
        </w:rPr>
        <w:t>年</w:t>
      </w:r>
      <w:r>
        <w:rPr>
          <w:rFonts w:hint="eastAsia" w:ascii="宋体" w:hAnsi="宋体" w:eastAsia="宋体" w:cs="宋体"/>
          <w:sz w:val="40"/>
          <w:szCs w:val="40"/>
          <w:lang w:val="en-US" w:eastAsia="zh-CN"/>
        </w:rPr>
        <w:t>7</w:t>
      </w:r>
      <w:r>
        <w:rPr>
          <w:rFonts w:hint="eastAsia" w:ascii="宋体" w:hAnsi="宋体" w:eastAsia="宋体" w:cs="宋体"/>
          <w:sz w:val="40"/>
          <w:szCs w:val="40"/>
        </w:rPr>
        <w:t>月</w:t>
      </w:r>
      <w:r>
        <w:rPr>
          <w:rFonts w:hint="eastAsia" w:ascii="宋体" w:hAnsi="宋体" w:eastAsia="宋体" w:cs="宋体"/>
          <w:sz w:val="40"/>
          <w:szCs w:val="40"/>
          <w:lang w:val="en-US" w:eastAsia="zh-CN"/>
        </w:rPr>
        <w:t>28</w:t>
      </w:r>
      <w:r>
        <w:rPr>
          <w:rFonts w:hint="eastAsia" w:ascii="宋体" w:hAnsi="宋体" w:eastAsia="宋体" w:cs="宋体"/>
          <w:sz w:val="40"/>
          <w:szCs w:val="40"/>
        </w:rPr>
        <w:t>日</w:t>
      </w:r>
    </w:p>
    <w:p>
      <w:pPr>
        <w:jc w:val="center"/>
        <w:rPr>
          <w:rFonts w:ascii="方正小标宋简体" w:hAnsi="方正小标宋简体" w:eastAsia="方正小标宋简体" w:cs="方正小标宋简体"/>
          <w:sz w:val="44"/>
          <w:szCs w:val="44"/>
        </w:rPr>
        <w:sectPr>
          <w:pgSz w:w="11906" w:h="16838"/>
          <w:pgMar w:top="2098" w:right="1474" w:bottom="1984" w:left="1587" w:header="851" w:footer="992" w:gutter="0"/>
          <w:pgNumType w:fmt="numberInDash"/>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sdt>
      <w:sdtPr>
        <w:rPr>
          <w:rFonts w:ascii="宋体" w:hAnsi="宋体" w:eastAsia="宋体"/>
          <w:kern w:val="0"/>
          <w:sz w:val="20"/>
          <w:szCs w:val="20"/>
        </w:rPr>
        <w:id w:val="147476742"/>
        <w:docPartObj>
          <w:docPartGallery w:val="Table of Contents"/>
          <w:docPartUnique/>
        </w:docPartObj>
      </w:sdtPr>
      <w:sdtEndPr>
        <w:rPr>
          <w:rFonts w:ascii="宋体" w:hAnsi="宋体" w:eastAsia="宋体"/>
          <w:kern w:val="0"/>
          <w:sz w:val="20"/>
          <w:szCs w:val="20"/>
        </w:rPr>
      </w:sdtEndPr>
      <w:sdtContent>
        <w:p>
          <w:pPr>
            <w:jc w:val="center"/>
          </w:pPr>
          <w:bookmarkStart w:id="0" w:name="_Toc4286_WPSOffice_Type3"/>
        </w:p>
        <w:p>
          <w:pPr>
            <w:pStyle w:val="10"/>
            <w:tabs>
              <w:tab w:val="right" w:leader="dot" w:pos="8845"/>
            </w:tabs>
            <w:rPr>
              <w:rFonts w:eastAsia="仿宋_GB2312"/>
              <w:sz w:val="32"/>
            </w:rPr>
          </w:pPr>
          <w:r>
            <w:fldChar w:fldCharType="begin"/>
          </w:r>
          <w:r>
            <w:instrText xml:space="preserve"> HYPERLINK \l "_Toc4286_WPSOffice_Level1" </w:instrText>
          </w:r>
          <w:r>
            <w:fldChar w:fldCharType="separate"/>
          </w:r>
          <w:r>
            <w:rPr>
              <w:rFonts w:hint="eastAsia" w:ascii="黑体" w:hAnsi="黑体" w:eastAsia="仿宋_GB2312" w:cs="黑体"/>
              <w:sz w:val="32"/>
            </w:rPr>
            <w:t>一、“十三五”取得成效</w:t>
          </w:r>
          <w:r>
            <w:rPr>
              <w:rFonts w:eastAsia="仿宋_GB2312"/>
              <w:sz w:val="32"/>
            </w:rPr>
            <w:tab/>
          </w:r>
          <w:bookmarkStart w:id="1" w:name="_Toc4286_WPSOffice_Level1Page"/>
          <w:r>
            <w:rPr>
              <w:rFonts w:eastAsia="仿宋_GB2312"/>
              <w:sz w:val="32"/>
            </w:rPr>
            <w:t>1</w:t>
          </w:r>
          <w:bookmarkEnd w:id="1"/>
          <w:r>
            <w:rPr>
              <w:rFonts w:eastAsia="仿宋_GB2312"/>
              <w:sz w:val="32"/>
            </w:rPr>
            <w:fldChar w:fldCharType="end"/>
          </w:r>
        </w:p>
        <w:p>
          <w:pPr>
            <w:pStyle w:val="11"/>
            <w:tabs>
              <w:tab w:val="right" w:leader="dot" w:pos="8845"/>
            </w:tabs>
            <w:ind w:left="420"/>
            <w:rPr>
              <w:rFonts w:eastAsia="仿宋_GB2312"/>
              <w:sz w:val="32"/>
            </w:rPr>
          </w:pPr>
          <w:r>
            <w:fldChar w:fldCharType="begin"/>
          </w:r>
          <w:r>
            <w:instrText xml:space="preserve"> HYPERLINK \l "_Toc4286_WPSOffice_Level2" </w:instrText>
          </w:r>
          <w:r>
            <w:fldChar w:fldCharType="separate"/>
          </w:r>
          <w:r>
            <w:rPr>
              <w:rFonts w:hint="eastAsia" w:ascii="楷体_GB2312" w:hAnsi="楷体_GB2312" w:eastAsia="仿宋_GB2312" w:cs="楷体_GB2312"/>
              <w:sz w:val="32"/>
            </w:rPr>
            <w:t>（一）</w:t>
          </w:r>
          <w:r>
            <w:rPr>
              <w:rFonts w:hint="eastAsia" w:ascii="黑体" w:hAnsi="黑体" w:eastAsia="仿宋_GB2312" w:cs="黑体"/>
              <w:sz w:val="32"/>
            </w:rPr>
            <w:t>全县就业创业形势基本稳定</w:t>
          </w:r>
          <w:r>
            <w:rPr>
              <w:rFonts w:eastAsia="仿宋_GB2312"/>
              <w:sz w:val="32"/>
            </w:rPr>
            <w:tab/>
          </w:r>
          <w:bookmarkStart w:id="2" w:name="_Toc4286_WPSOffice_Level2Page"/>
          <w:r>
            <w:rPr>
              <w:rFonts w:eastAsia="仿宋_GB2312"/>
              <w:sz w:val="32"/>
            </w:rPr>
            <w:t>1</w:t>
          </w:r>
          <w:bookmarkEnd w:id="2"/>
          <w:r>
            <w:rPr>
              <w:rFonts w:eastAsia="仿宋_GB2312"/>
              <w:sz w:val="32"/>
            </w:rPr>
            <w:fldChar w:fldCharType="end"/>
          </w:r>
        </w:p>
        <w:p>
          <w:pPr>
            <w:pStyle w:val="11"/>
            <w:tabs>
              <w:tab w:val="right" w:leader="dot" w:pos="8845"/>
            </w:tabs>
            <w:ind w:left="420"/>
            <w:rPr>
              <w:rFonts w:eastAsia="仿宋_GB2312"/>
              <w:sz w:val="32"/>
            </w:rPr>
          </w:pPr>
          <w:r>
            <w:fldChar w:fldCharType="begin"/>
          </w:r>
          <w:r>
            <w:instrText xml:space="preserve"> HYPERLINK \l "_Toc10477_WPSOffice_Level2" </w:instrText>
          </w:r>
          <w:r>
            <w:fldChar w:fldCharType="separate"/>
          </w:r>
          <w:r>
            <w:rPr>
              <w:rFonts w:hint="eastAsia" w:ascii="楷体_GB2312" w:hAnsi="楷体_GB2312" w:eastAsia="仿宋_GB2312" w:cs="楷体_GB2312"/>
              <w:sz w:val="32"/>
            </w:rPr>
            <w:t>（二）</w:t>
          </w:r>
          <w:r>
            <w:rPr>
              <w:rFonts w:hint="eastAsia" w:ascii="黑体" w:hAnsi="黑体" w:eastAsia="仿宋_GB2312" w:cs="黑体"/>
              <w:sz w:val="32"/>
            </w:rPr>
            <w:t>社会保障体系不断完善</w:t>
          </w:r>
          <w:r>
            <w:rPr>
              <w:rFonts w:eastAsia="仿宋_GB2312"/>
              <w:sz w:val="32"/>
            </w:rPr>
            <w:tab/>
          </w:r>
          <w:r>
            <w:rPr>
              <w:rFonts w:hint="eastAsia" w:eastAsia="仿宋_GB2312"/>
              <w:sz w:val="32"/>
            </w:rPr>
            <w:t>2</w:t>
          </w:r>
          <w:r>
            <w:rPr>
              <w:rFonts w:hint="eastAsia" w:eastAsia="仿宋_GB2312"/>
              <w:sz w:val="32"/>
            </w:rPr>
            <w:fldChar w:fldCharType="end"/>
          </w:r>
        </w:p>
        <w:p>
          <w:pPr>
            <w:pStyle w:val="11"/>
            <w:tabs>
              <w:tab w:val="right" w:leader="dot" w:pos="8845"/>
            </w:tabs>
            <w:ind w:left="420"/>
            <w:rPr>
              <w:rFonts w:eastAsia="仿宋_GB2312"/>
              <w:sz w:val="32"/>
            </w:rPr>
          </w:pPr>
          <w:r>
            <w:fldChar w:fldCharType="begin"/>
          </w:r>
          <w:r>
            <w:instrText xml:space="preserve"> HYPERLINK \l "_Toc22936_WPSOffice_Level2" </w:instrText>
          </w:r>
          <w:r>
            <w:fldChar w:fldCharType="separate"/>
          </w:r>
          <w:r>
            <w:rPr>
              <w:rFonts w:hint="eastAsia" w:ascii="楷体_GB2312" w:hAnsi="楷体_GB2312" w:eastAsia="仿宋_GB2312" w:cs="楷体_GB2312"/>
              <w:sz w:val="32"/>
            </w:rPr>
            <w:t>（三）</w:t>
          </w:r>
          <w:r>
            <w:rPr>
              <w:rFonts w:hint="eastAsia" w:ascii="楷体_GB2312" w:hAnsi="楷体_GB2312" w:eastAsia="仿宋_GB2312" w:cs="楷体_GB2312"/>
              <w:sz w:val="32"/>
            </w:rPr>
            <w:fldChar w:fldCharType="end"/>
          </w:r>
          <w:r>
            <w:fldChar w:fldCharType="begin"/>
          </w:r>
          <w:r>
            <w:instrText xml:space="preserve"> HYPERLINK \l "_Toc27361_WPSOffice_Level2" </w:instrText>
          </w:r>
          <w:r>
            <w:fldChar w:fldCharType="separate"/>
          </w:r>
          <w:r>
            <w:rPr>
              <w:rFonts w:hint="eastAsia" w:ascii="楷体_GB2312" w:hAnsi="楷体_GB2312" w:eastAsia="仿宋_GB2312" w:cs="楷体_GB2312"/>
              <w:sz w:val="32"/>
            </w:rPr>
            <w:t>发展存在短板（存在的问题）</w:t>
          </w:r>
          <w:r>
            <w:rPr>
              <w:rFonts w:eastAsia="仿宋_GB2312"/>
              <w:sz w:val="32"/>
            </w:rPr>
            <w:tab/>
          </w:r>
          <w:r>
            <w:rPr>
              <w:rFonts w:hint="eastAsia" w:eastAsia="仿宋_GB2312"/>
              <w:sz w:val="32"/>
            </w:rPr>
            <w:t>2</w:t>
          </w:r>
          <w:r>
            <w:rPr>
              <w:rFonts w:hint="eastAsia" w:eastAsia="仿宋_GB2312"/>
              <w:sz w:val="32"/>
            </w:rPr>
            <w:fldChar w:fldCharType="end"/>
          </w:r>
        </w:p>
        <w:p>
          <w:pPr>
            <w:pStyle w:val="10"/>
            <w:tabs>
              <w:tab w:val="right" w:leader="dot" w:pos="8845"/>
            </w:tabs>
            <w:rPr>
              <w:rFonts w:eastAsia="仿宋_GB2312"/>
              <w:sz w:val="32"/>
            </w:rPr>
          </w:pPr>
          <w:r>
            <w:fldChar w:fldCharType="begin"/>
          </w:r>
          <w:r>
            <w:instrText xml:space="preserve"> HYPERLINK \l "_Toc10477_WPSOffice_Level1" </w:instrText>
          </w:r>
          <w:r>
            <w:fldChar w:fldCharType="separate"/>
          </w:r>
          <w:r>
            <w:rPr>
              <w:rFonts w:hint="eastAsia" w:ascii="黑体" w:hAnsi="黑体" w:eastAsia="仿宋_GB2312" w:cs="黑体"/>
              <w:sz w:val="32"/>
            </w:rPr>
            <w:t>二、“十四五”发展规划</w:t>
          </w:r>
          <w:r>
            <w:rPr>
              <w:rFonts w:eastAsia="仿宋_GB2312"/>
              <w:sz w:val="32"/>
            </w:rPr>
            <w:tab/>
          </w:r>
          <w:r>
            <w:rPr>
              <w:rFonts w:hint="eastAsia" w:eastAsia="仿宋_GB2312"/>
              <w:sz w:val="32"/>
            </w:rPr>
            <w:t>3</w:t>
          </w:r>
          <w:r>
            <w:rPr>
              <w:rFonts w:hint="eastAsia" w:eastAsia="仿宋_GB2312"/>
              <w:sz w:val="32"/>
            </w:rPr>
            <w:fldChar w:fldCharType="end"/>
          </w:r>
        </w:p>
        <w:p>
          <w:pPr>
            <w:pStyle w:val="11"/>
            <w:tabs>
              <w:tab w:val="right" w:leader="dot" w:pos="8845"/>
            </w:tabs>
            <w:ind w:left="420"/>
            <w:rPr>
              <w:rFonts w:eastAsia="仿宋_GB2312"/>
              <w:sz w:val="32"/>
            </w:rPr>
          </w:pPr>
          <w:r>
            <w:fldChar w:fldCharType="begin"/>
          </w:r>
          <w:r>
            <w:instrText xml:space="preserve"> HYPERLINK \l "_Toc24661_WPSOffice_Level2" </w:instrText>
          </w:r>
          <w:r>
            <w:fldChar w:fldCharType="separate"/>
          </w:r>
          <w:r>
            <w:rPr>
              <w:rFonts w:hint="eastAsia" w:ascii="楷体_GB2312" w:hAnsi="楷体_GB2312" w:eastAsia="仿宋_GB2312" w:cs="楷体_GB2312"/>
              <w:sz w:val="32"/>
            </w:rPr>
            <w:t>（一）指导思想</w:t>
          </w:r>
          <w:r>
            <w:rPr>
              <w:rFonts w:eastAsia="仿宋_GB2312"/>
              <w:sz w:val="32"/>
            </w:rPr>
            <w:tab/>
          </w:r>
          <w:r>
            <w:rPr>
              <w:rFonts w:hint="eastAsia" w:eastAsia="仿宋_GB2312"/>
              <w:sz w:val="32"/>
            </w:rPr>
            <w:t>3</w:t>
          </w:r>
          <w:r>
            <w:rPr>
              <w:rFonts w:hint="eastAsia" w:eastAsia="仿宋_GB2312"/>
              <w:sz w:val="32"/>
            </w:rPr>
            <w:fldChar w:fldCharType="end"/>
          </w:r>
        </w:p>
        <w:p>
          <w:pPr>
            <w:pStyle w:val="11"/>
            <w:tabs>
              <w:tab w:val="right" w:leader="dot" w:pos="8845"/>
            </w:tabs>
            <w:ind w:left="420"/>
            <w:rPr>
              <w:rFonts w:ascii="楷体_GB2312" w:hAnsi="楷体_GB2312" w:eastAsia="仿宋_GB2312" w:cs="楷体_GB2312"/>
              <w:sz w:val="32"/>
              <w:szCs w:val="22"/>
            </w:rPr>
          </w:pPr>
          <w:r>
            <w:fldChar w:fldCharType="begin"/>
          </w:r>
          <w:r>
            <w:instrText xml:space="preserve"> HYPERLINK \l "_Toc2685_WPSOffice_Level2" </w:instrText>
          </w:r>
          <w:r>
            <w:fldChar w:fldCharType="separate"/>
          </w:r>
          <w:r>
            <w:rPr>
              <w:rFonts w:hint="eastAsia" w:ascii="楷体_GB2312" w:hAnsi="楷体_GB2312" w:eastAsia="仿宋_GB2312" w:cs="楷体_GB2312"/>
              <w:sz w:val="32"/>
              <w:szCs w:val="22"/>
            </w:rPr>
            <w:t>（二）规划目标</w:t>
          </w:r>
          <w:r>
            <w:rPr>
              <w:rFonts w:eastAsia="仿宋_GB2312"/>
              <w:sz w:val="32"/>
            </w:rPr>
            <w:tab/>
          </w:r>
          <w:r>
            <w:rPr>
              <w:rFonts w:hint="eastAsia" w:ascii="楷体_GB2312" w:hAnsi="楷体_GB2312" w:eastAsia="仿宋_GB2312" w:cs="楷体_GB2312"/>
              <w:sz w:val="32"/>
              <w:szCs w:val="22"/>
            </w:rPr>
            <w:t>3</w:t>
          </w:r>
          <w:r>
            <w:rPr>
              <w:rFonts w:hint="eastAsia" w:ascii="楷体_GB2312" w:hAnsi="楷体_GB2312" w:eastAsia="仿宋_GB2312" w:cs="楷体_GB2312"/>
              <w:sz w:val="32"/>
              <w:szCs w:val="22"/>
            </w:rPr>
            <w:fldChar w:fldCharType="end"/>
          </w:r>
        </w:p>
        <w:p>
          <w:pPr>
            <w:pStyle w:val="11"/>
            <w:tabs>
              <w:tab w:val="right" w:leader="dot" w:pos="8845"/>
            </w:tabs>
            <w:ind w:left="420"/>
            <w:rPr>
              <w:rFonts w:ascii="楷体_GB2312" w:hAnsi="楷体_GB2312" w:eastAsia="仿宋_GB2312" w:cs="楷体_GB2312"/>
              <w:sz w:val="32"/>
              <w:szCs w:val="22"/>
            </w:rPr>
          </w:pPr>
          <w:r>
            <w:fldChar w:fldCharType="begin"/>
          </w:r>
          <w:r>
            <w:instrText xml:space="preserve"> HYPERLINK \l "_Toc6445_WPSOffice_Level2" </w:instrText>
          </w:r>
          <w:r>
            <w:fldChar w:fldCharType="separate"/>
          </w:r>
          <w:r>
            <w:rPr>
              <w:rFonts w:hint="eastAsia" w:ascii="楷体_GB2312" w:hAnsi="楷体_GB2312" w:eastAsia="仿宋_GB2312" w:cs="楷体_GB2312"/>
              <w:sz w:val="32"/>
              <w:szCs w:val="22"/>
            </w:rPr>
            <w:t>（三）重点任务</w:t>
          </w:r>
          <w:r>
            <w:rPr>
              <w:rFonts w:hint="eastAsia" w:eastAsia="仿宋_GB2312"/>
              <w:sz w:val="32"/>
            </w:rPr>
            <w:tab/>
          </w:r>
          <w:r>
            <w:rPr>
              <w:rFonts w:hint="eastAsia" w:ascii="楷体_GB2312" w:hAnsi="楷体_GB2312" w:eastAsia="仿宋_GB2312" w:cs="楷体_GB2312"/>
              <w:sz w:val="32"/>
              <w:szCs w:val="22"/>
            </w:rPr>
            <w:t>4</w:t>
          </w:r>
          <w:r>
            <w:rPr>
              <w:rFonts w:hint="eastAsia" w:ascii="楷体_GB2312" w:hAnsi="楷体_GB2312" w:eastAsia="仿宋_GB2312" w:cs="楷体_GB2312"/>
              <w:sz w:val="32"/>
              <w:szCs w:val="22"/>
            </w:rPr>
            <w:fldChar w:fldCharType="end"/>
          </w:r>
        </w:p>
        <w:p>
          <w:pPr>
            <w:pStyle w:val="11"/>
            <w:tabs>
              <w:tab w:val="right" w:leader="dot" w:pos="8845"/>
            </w:tabs>
            <w:ind w:left="420" w:firstLine="200" w:firstLineChars="100"/>
            <w:rPr>
              <w:rFonts w:eastAsia="仿宋_GB2312"/>
              <w:sz w:val="32"/>
            </w:rPr>
          </w:pPr>
          <w:r>
            <w:fldChar w:fldCharType="begin"/>
          </w:r>
          <w:r>
            <w:instrText xml:space="preserve"> HYPERLINK \l "_Toc4286_WPSOffice_Level3" </w:instrText>
          </w:r>
          <w:r>
            <w:fldChar w:fldCharType="separate"/>
          </w:r>
          <w:r>
            <w:rPr>
              <w:rFonts w:hint="eastAsia" w:ascii="楷体_GB2312" w:hAnsi="楷体_GB2312" w:eastAsia="仿宋_GB2312" w:cs="楷体_GB2312"/>
              <w:sz w:val="32"/>
              <w:szCs w:val="22"/>
            </w:rPr>
            <w:t>1.就业方面</w:t>
          </w:r>
          <w:r>
            <w:rPr>
              <w:rFonts w:hint="eastAsia" w:eastAsia="仿宋_GB2312"/>
              <w:sz w:val="32"/>
            </w:rPr>
            <w:tab/>
          </w:r>
          <w:r>
            <w:rPr>
              <w:rFonts w:hint="eastAsia" w:ascii="楷体_GB2312" w:hAnsi="楷体_GB2312" w:eastAsia="仿宋_GB2312" w:cs="楷体_GB2312"/>
              <w:sz w:val="32"/>
              <w:szCs w:val="22"/>
            </w:rPr>
            <w:t>4</w:t>
          </w:r>
          <w:r>
            <w:rPr>
              <w:rFonts w:hint="eastAsia" w:ascii="楷体_GB2312" w:hAnsi="楷体_GB2312" w:eastAsia="仿宋_GB2312" w:cs="楷体_GB2312"/>
              <w:sz w:val="32"/>
              <w:szCs w:val="22"/>
            </w:rPr>
            <w:fldChar w:fldCharType="end"/>
          </w:r>
        </w:p>
        <w:p>
          <w:pPr>
            <w:pStyle w:val="12"/>
            <w:tabs>
              <w:tab w:val="right" w:leader="dot" w:pos="8845"/>
            </w:tabs>
            <w:ind w:left="0" w:leftChars="0" w:firstLine="600" w:firstLineChars="300"/>
            <w:rPr>
              <w:rFonts w:eastAsia="仿宋_GB2312"/>
              <w:sz w:val="32"/>
            </w:rPr>
          </w:pPr>
          <w:r>
            <w:fldChar w:fldCharType="begin"/>
          </w:r>
          <w:r>
            <w:instrText xml:space="preserve"> HYPERLINK \l "_Toc10477_WPSOffice_Level3" </w:instrText>
          </w:r>
          <w:r>
            <w:fldChar w:fldCharType="separate"/>
          </w:r>
          <w:r>
            <w:rPr>
              <w:rFonts w:eastAsia="仿宋_GB2312"/>
              <w:sz w:val="32"/>
            </w:rPr>
            <w:t>2</w:t>
          </w:r>
          <w:r>
            <w:rPr>
              <w:rFonts w:hint="eastAsia" w:eastAsia="仿宋_GB2312"/>
              <w:sz w:val="32"/>
            </w:rPr>
            <w:t>.社会保障</w:t>
          </w:r>
          <w:bookmarkStart w:id="3" w:name="_Toc10477_WPSOffice_Level3Page"/>
          <w:r>
            <w:rPr>
              <w:rFonts w:eastAsia="仿宋_GB2312"/>
              <w:sz w:val="32"/>
            </w:rPr>
            <w:tab/>
          </w:r>
          <w:bookmarkEnd w:id="3"/>
          <w:r>
            <w:rPr>
              <w:rFonts w:hint="eastAsia" w:eastAsia="仿宋_GB2312"/>
              <w:sz w:val="32"/>
            </w:rPr>
            <w:t>5</w:t>
          </w:r>
          <w:r>
            <w:rPr>
              <w:rFonts w:hint="eastAsia" w:eastAsia="仿宋_GB2312"/>
              <w:sz w:val="32"/>
            </w:rPr>
            <w:fldChar w:fldCharType="end"/>
          </w:r>
        </w:p>
        <w:p>
          <w:pPr>
            <w:pStyle w:val="12"/>
            <w:tabs>
              <w:tab w:val="right" w:leader="dot" w:pos="8845"/>
            </w:tabs>
            <w:ind w:left="840"/>
          </w:pPr>
        </w:p>
      </w:sdtContent>
    </w:sdt>
    <w:bookmarkEnd w:id="0"/>
    <w:p>
      <w:pPr>
        <w:jc w:val="center"/>
        <w:rPr>
          <w:rFonts w:ascii="方正小标宋简体" w:hAnsi="方正小标宋简体" w:eastAsia="方正小标宋简体" w:cs="方正小标宋简体"/>
          <w:sz w:val="44"/>
          <w:szCs w:val="44"/>
        </w:rPr>
        <w:sectPr>
          <w:footerReference r:id="rId3" w:type="default"/>
          <w:pgSz w:w="11906" w:h="16838"/>
          <w:pgMar w:top="2098" w:right="1474" w:bottom="1984" w:left="1587" w:header="851" w:footer="992" w:gutter="0"/>
          <w:pgNumType w:fmt="numberInDash" w:start="1"/>
          <w:cols w:space="425" w:num="1"/>
          <w:docGrid w:type="lines" w:linePitch="312" w:charSpace="0"/>
        </w:sectPr>
      </w:pPr>
    </w:p>
    <w:p>
      <w:pPr>
        <w:jc w:val="center"/>
        <w:rPr>
          <w:rFonts w:ascii="方正小标宋简体" w:hAnsi="方正小标宋简体" w:eastAsia="方正小标宋简体" w:cs="方正小标宋简体"/>
          <w:sz w:val="44"/>
          <w:szCs w:val="44"/>
        </w:rPr>
      </w:pPr>
      <w:bookmarkStart w:id="4" w:name="_Toc32606_WPSOffice_Level1"/>
      <w:r>
        <w:rPr>
          <w:rFonts w:hint="eastAsia" w:ascii="方正小标宋简体" w:hAnsi="方正小标宋简体" w:eastAsia="方正小标宋简体" w:cs="方正小标宋简体"/>
          <w:sz w:val="44"/>
          <w:szCs w:val="44"/>
        </w:rPr>
        <w:t>“十四五”人力资源和社会保障局专项规划</w:t>
      </w:r>
      <w:bookmarkEnd w:id="4"/>
    </w:p>
    <w:p>
      <w:pPr>
        <w:spacing w:line="600" w:lineRule="exact"/>
        <w:ind w:firstLine="640" w:firstLineChars="200"/>
        <w:rPr>
          <w:rFonts w:ascii="仿宋_GB2312" w:hAnsi="仿宋_GB2312" w:eastAsia="仿宋_GB2312" w:cs="仿宋_GB2312"/>
          <w:sz w:val="32"/>
          <w:szCs w:val="32"/>
        </w:rPr>
      </w:pPr>
      <w:bookmarkStart w:id="5" w:name="_Toc4286_WPSOffice_Level1"/>
      <w:r>
        <w:rPr>
          <w:rFonts w:hint="eastAsia" w:ascii="仿宋_GB2312" w:hAnsi="仿宋_GB2312" w:eastAsia="仿宋_GB2312" w:cs="仿宋_GB2312"/>
          <w:sz w:val="32"/>
          <w:szCs w:val="32"/>
        </w:rPr>
        <w:t>为服务全县改革发展稳定大局，着力保障和改善民生，促进全县人力资源和社会保障事业的全面、协调、可持续发展，根据县委、县政府的统一部署和总体安排，特编制此方案。</w:t>
      </w:r>
    </w:p>
    <w:bookmarkEnd w:id="5"/>
    <w:p>
      <w:pPr>
        <w:spacing w:line="600" w:lineRule="exact"/>
        <w:ind w:firstLine="640" w:firstLineChars="200"/>
        <w:outlineLvl w:val="0"/>
        <w:rPr>
          <w:rFonts w:ascii="黑体" w:hAnsi="黑体" w:eastAsia="黑体" w:cs="黑体"/>
          <w:sz w:val="32"/>
          <w:szCs w:val="32"/>
        </w:rPr>
      </w:pPr>
      <w:bookmarkStart w:id="6" w:name="_Toc10477_WPSOffice_Level1"/>
      <w:r>
        <w:rPr>
          <w:rFonts w:hint="eastAsia" w:ascii="黑体" w:hAnsi="黑体" w:eastAsia="黑体" w:cs="黑体"/>
          <w:sz w:val="32"/>
          <w:szCs w:val="32"/>
        </w:rPr>
        <w:t>一、“十三五”取得成效</w:t>
      </w:r>
    </w:p>
    <w:p>
      <w:pPr>
        <w:spacing w:line="560" w:lineRule="atLeast"/>
        <w:ind w:firstLine="643" w:firstLineChars="200"/>
        <w:rPr>
          <w:rFonts w:hint="eastAsia" w:ascii="仿宋_GB2312" w:hAnsi="仿宋" w:eastAsia="仿宋_GB2312"/>
          <w:sz w:val="32"/>
          <w:szCs w:val="32"/>
        </w:rPr>
      </w:pPr>
      <w:r>
        <w:rPr>
          <w:rFonts w:hint="eastAsia" w:ascii="楷体_GB2312" w:hAnsi="仿宋" w:eastAsia="楷体_GB2312" w:cs="Times New Roman"/>
          <w:b/>
          <w:bCs/>
          <w:sz w:val="32"/>
          <w:szCs w:val="32"/>
        </w:rPr>
        <w:t>（一）</w:t>
      </w:r>
      <w:r>
        <w:rPr>
          <w:rFonts w:hint="eastAsia" w:ascii="仿宋_GB2312" w:hAnsi="仿宋" w:eastAsia="仿宋_GB2312"/>
          <w:b/>
          <w:bCs/>
          <w:sz w:val="32"/>
          <w:szCs w:val="32"/>
        </w:rPr>
        <w:t>以稳定就业为目标，服务保障民生效果显著。</w:t>
      </w:r>
      <w:r>
        <w:rPr>
          <w:rFonts w:hint="eastAsia" w:ascii="仿宋_GB2312" w:hAnsi="仿宋" w:eastAsia="仿宋_GB2312"/>
          <w:sz w:val="32"/>
          <w:szCs w:val="32"/>
        </w:rPr>
        <w:t>成立工作专班、着力推进高校毕业生、返乡农民工、城</w:t>
      </w:r>
      <w:r>
        <w:rPr>
          <w:rFonts w:hint="eastAsia" w:ascii="仿宋_GB2312" w:hAnsi="仿宋" w:eastAsia="仿宋_GB2312"/>
          <w:sz w:val="32"/>
          <w:szCs w:val="32"/>
          <w:lang w:val="en-US" w:eastAsia="zh-CN"/>
        </w:rPr>
        <w:t>镇</w:t>
      </w:r>
      <w:r>
        <w:rPr>
          <w:rFonts w:hint="eastAsia" w:ascii="仿宋_GB2312" w:hAnsi="仿宋" w:eastAsia="仿宋_GB2312"/>
          <w:sz w:val="32"/>
          <w:szCs w:val="32"/>
        </w:rPr>
        <w:t>低收入家庭、就业困难等人员等重点群体就业创业。</w:t>
      </w:r>
      <w:r>
        <w:rPr>
          <w:rFonts w:hint="eastAsia" w:ascii="仿宋_GB2312" w:hAnsi="仿宋" w:eastAsia="仿宋_GB2312"/>
          <w:b/>
          <w:bCs/>
          <w:sz w:val="32"/>
          <w:szCs w:val="32"/>
        </w:rPr>
        <w:t>劳动力素质提升工程稳步推进，</w:t>
      </w:r>
      <w:r>
        <w:rPr>
          <w:rFonts w:hint="eastAsia" w:ascii="仿宋_GB2312" w:hAnsi="仿宋" w:eastAsia="仿宋_GB2312"/>
          <w:sz w:val="32"/>
          <w:szCs w:val="32"/>
        </w:rPr>
        <w:t>将培训送到乡镇、村屯，五年来共开展各类培训185个班次，共培训11586人次；</w:t>
      </w:r>
      <w:r>
        <w:rPr>
          <w:rFonts w:hint="eastAsia" w:ascii="仿宋_GB2312" w:hAnsi="仿宋" w:eastAsia="仿宋_GB2312"/>
          <w:b/>
          <w:bCs/>
          <w:sz w:val="32"/>
          <w:szCs w:val="32"/>
        </w:rPr>
        <w:t>引导城乡劳动力转移就业，</w:t>
      </w:r>
      <w:r>
        <w:rPr>
          <w:rFonts w:hint="eastAsia" w:ascii="仿宋_GB2312" w:hAnsi="仿宋" w:eastAsia="仿宋_GB2312"/>
          <w:sz w:val="32"/>
          <w:szCs w:val="32"/>
        </w:rPr>
        <w:t>通过“春风行动”、“民营企业招聘周”等招聘活动，组织企业参加各类招聘会、异地用工招聘等18场次，发放就业岗位24060个，</w:t>
      </w:r>
      <w:r>
        <w:rPr>
          <w:rFonts w:hint="eastAsia" w:ascii="仿宋_GB2312" w:hAnsi="仿宋_GB2312" w:eastAsia="仿宋_GB2312" w:cs="仿宋_GB2312"/>
          <w:sz w:val="32"/>
          <w:szCs w:val="32"/>
        </w:rPr>
        <w:t>为企业和求职者提供有效地对接服务</w:t>
      </w:r>
      <w:r>
        <w:rPr>
          <w:rFonts w:hint="eastAsia" w:ascii="仿宋_GB2312" w:hAnsi="仿宋" w:eastAsia="仿宋_GB2312"/>
          <w:sz w:val="32"/>
          <w:szCs w:val="32"/>
        </w:rPr>
        <w:t>；</w:t>
      </w:r>
      <w:r>
        <w:rPr>
          <w:rFonts w:hint="eastAsia" w:ascii="仿宋_GB2312" w:hAnsi="仿宋" w:eastAsia="仿宋_GB2312"/>
          <w:b/>
          <w:bCs/>
          <w:sz w:val="32"/>
          <w:szCs w:val="32"/>
        </w:rPr>
        <w:t>创业带动就业实现新突破。</w:t>
      </w:r>
      <w:r>
        <w:rPr>
          <w:rFonts w:hint="eastAsia" w:ascii="仿宋_GB2312" w:hAnsi="仿宋" w:eastAsia="仿宋_GB2312"/>
          <w:sz w:val="32"/>
          <w:szCs w:val="32"/>
        </w:rPr>
        <w:t>县政府相继出台了《绥滨县人民政府关于大力推进大众创业万众创新若干政策措施的实施意见》（绥政规〔2018〕1号）、《绥滨县关于做好就业创业工作二十条政策措施》（绥政规〔2019〕1号）等政策性文件，鼓励和扶持创新创业</w:t>
      </w:r>
      <w:r>
        <w:rPr>
          <w:rFonts w:hint="eastAsia" w:ascii="仿宋_GB2312" w:hAnsi="仿宋" w:eastAsia="仿宋_GB2312"/>
          <w:sz w:val="32"/>
          <w:szCs w:val="32"/>
          <w:lang w:eastAsia="zh-CN"/>
        </w:rPr>
        <w:t>，</w:t>
      </w:r>
      <w:r>
        <w:rPr>
          <w:rFonts w:hint="eastAsia" w:ascii="仿宋_GB2312" w:hAnsi="仿宋" w:eastAsia="仿宋_GB2312"/>
          <w:sz w:val="32"/>
          <w:szCs w:val="32"/>
        </w:rPr>
        <w:t>发放小额创业担保贷款4,435万元，同比增长169%</w:t>
      </w:r>
      <w:r>
        <w:rPr>
          <w:rFonts w:hint="eastAsia" w:ascii="仿宋_GB2312" w:hAnsi="黑体" w:eastAsia="仿宋_GB2312"/>
          <w:sz w:val="32"/>
          <w:szCs w:val="32"/>
        </w:rPr>
        <w:t>；</w:t>
      </w:r>
      <w:r>
        <w:rPr>
          <w:rFonts w:hint="eastAsia" w:ascii="仿宋_GB2312" w:hAnsi="仿宋" w:eastAsia="仿宋_GB2312"/>
          <w:b/>
          <w:bCs/>
          <w:sz w:val="32"/>
          <w:szCs w:val="32"/>
        </w:rPr>
        <w:t>开展就业援助，</w:t>
      </w:r>
      <w:r>
        <w:rPr>
          <w:rFonts w:hint="eastAsia" w:ascii="仿宋_GB2312" w:hAnsi="仿宋" w:eastAsia="仿宋_GB2312"/>
          <w:sz w:val="32"/>
          <w:szCs w:val="32"/>
        </w:rPr>
        <w:t>帮助就业困难群体再就业，发挥兜底保障作用，安置公益性岗位1,853人次就业，推荐就业4,500人，发放灵活就业补贴6248人857万元；向上争取就业资金8,367万元，全力促进各类人群就业创业。至“十三五”期末，全县</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含农场</w:t>
      </w:r>
      <w:r>
        <w:rPr>
          <w:rFonts w:hint="eastAsia" w:ascii="仿宋_GB2312" w:hAnsi="仿宋" w:eastAsia="仿宋_GB2312"/>
          <w:sz w:val="32"/>
          <w:szCs w:val="32"/>
          <w:lang w:eastAsia="zh-CN"/>
        </w:rPr>
        <w:t>）</w:t>
      </w:r>
      <w:r>
        <w:rPr>
          <w:rFonts w:hint="eastAsia" w:ascii="仿宋_GB2312" w:hAnsi="仿宋" w:eastAsia="仿宋_GB2312"/>
          <w:sz w:val="32"/>
          <w:szCs w:val="32"/>
        </w:rPr>
        <w:t>累计新增就业 2.1 万人，失业人员再就业 1.5 万人，城镇登记失业率控制在 3.8%以内，实现零就业家庭动态清。</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（二）以群众享受发展红利为目标，实现社会保障全覆盖。</w:t>
      </w:r>
      <w:r>
        <w:rPr>
          <w:rFonts w:hint="eastAsia" w:ascii="仿宋_GB2312" w:hAnsi="仿宋" w:eastAsia="仿宋_GB2312"/>
          <w:sz w:val="32"/>
          <w:szCs w:val="32"/>
        </w:rPr>
        <w:t>至2020年企业职工养老保险实现“十六连涨”，养老金月人均由2016年的1778.48元/月提高到2020年末人均约2,305.22元/月，比“十二五”末增长约29.6%。城乡居民养老保险参保人数达到46039人，参保率达到93.1%，待遇人均达113元/月，较“十二五”末增长61.4%，</w:t>
      </w:r>
      <w:r>
        <w:rPr>
          <w:rFonts w:hint="eastAsia" w:ascii="仿宋_GB2312" w:hAnsi="仿宋_GB2312" w:eastAsia="仿宋_GB2312" w:cs="仿宋_GB2312"/>
          <w:sz w:val="32"/>
          <w:szCs w:val="32"/>
        </w:rPr>
        <w:t>至</w:t>
      </w:r>
      <w:r>
        <w:rPr>
          <w:rFonts w:hint="eastAsia" w:ascii="仿宋_GB2312" w:hAnsi="仿宋" w:eastAsia="仿宋_GB2312"/>
          <w:sz w:val="32"/>
          <w:szCs w:val="32"/>
        </w:rPr>
        <w:t>“十三五”末城镇职工养老、失业、工伤3项社会保险参保人数分别达到11087人、2898人、4095人；机关事业单位养老保险参保258家单位，参保人数4660人，累计完成制发第二代社保卡10.9万张，社会保险待遇水平不断提高，群众幸福指数不断提升。</w:t>
      </w:r>
    </w:p>
    <w:p>
      <w:pPr>
        <w:spacing w:line="600" w:lineRule="exact"/>
        <w:ind w:firstLine="643" w:firstLineChars="200"/>
        <w:outlineLvl w:val="1"/>
        <w:rPr>
          <w:rFonts w:ascii="楷体_GB2312" w:hAnsi="楷体_GB2312" w:eastAsia="楷体_GB2312" w:cs="楷体_GB2312"/>
          <w:sz w:val="32"/>
          <w:szCs w:val="32"/>
        </w:rPr>
      </w:pPr>
      <w:r>
        <w:rPr>
          <w:rFonts w:hint="eastAsia" w:ascii="楷体_GB2312" w:hAnsi="仿宋" w:eastAsia="楷体_GB2312" w:cs="Times New Roman"/>
          <w:b/>
          <w:sz w:val="32"/>
          <w:szCs w:val="32"/>
        </w:rPr>
        <w:t>（三）发展存在短板</w:t>
      </w:r>
    </w:p>
    <w:p>
      <w:pPr>
        <w:spacing w:line="560" w:lineRule="exact"/>
        <w:ind w:firstLine="640" w:firstLineChars="200"/>
        <w:rPr>
          <w:rFonts w:ascii="楷体_GB2312" w:hAnsi="仿宋" w:eastAsia="楷体_GB2312" w:cs="Times New Roman"/>
          <w:sz w:val="32"/>
          <w:szCs w:val="32"/>
        </w:rPr>
      </w:pPr>
      <w:r>
        <w:rPr>
          <w:rFonts w:hint="eastAsia" w:ascii="楷体_GB2312" w:hAnsi="仿宋" w:eastAsia="楷体_GB2312" w:cs="Times New Roman"/>
          <w:sz w:val="32"/>
          <w:szCs w:val="32"/>
        </w:rPr>
        <w:t>1、就业创业方面。</w:t>
      </w:r>
      <w:r>
        <w:rPr>
          <w:rFonts w:hint="eastAsia" w:ascii="仿宋_GB2312" w:hAnsi="仿宋" w:eastAsia="仿宋_GB2312" w:cs="Times New Roman"/>
          <w:sz w:val="32"/>
          <w:szCs w:val="32"/>
        </w:rPr>
        <w:t>我们县工业不发达，不能满足各类人群的就业需求;就业困难人员就业技能有待提高;贫困人口就业创业能力需进一步加强;高校毕业生、退役士兵、农村剩余劳动力等群体就业难等问题。</w:t>
      </w:r>
    </w:p>
    <w:p>
      <w:pPr>
        <w:spacing w:line="560" w:lineRule="exact"/>
        <w:ind w:firstLine="640" w:firstLineChars="200"/>
        <w:rPr>
          <w:rFonts w:ascii="楷体_GB2312" w:hAnsi="仿宋" w:eastAsia="楷体_GB2312" w:cs="Times New Roman"/>
          <w:sz w:val="32"/>
          <w:szCs w:val="32"/>
        </w:rPr>
      </w:pPr>
      <w:r>
        <w:rPr>
          <w:rFonts w:hint="eastAsia" w:ascii="楷体_GB2312" w:hAnsi="仿宋" w:eastAsia="楷体_GB2312" w:cs="Times New Roman"/>
          <w:sz w:val="32"/>
          <w:szCs w:val="32"/>
        </w:rPr>
        <w:t>2、社会保障方面。</w:t>
      </w:r>
      <w:r>
        <w:rPr>
          <w:rFonts w:hint="eastAsia" w:ascii="仿宋_GB2312" w:hAnsi="仿宋" w:eastAsia="仿宋_GB2312" w:cs="Times New Roman"/>
          <w:sz w:val="32"/>
          <w:szCs w:val="32"/>
        </w:rPr>
        <w:t>我县参保企业以小微企业为主，养老保险缴费人群结构比例不均衡，养老保险基金方面存在困难，一是随着国家连续16年提高企业退休人员养老金刚性支出逐年增加，且人口老龄化趋势的加剧。二是我县参保企业以小微企业为主，养老保险缴费人群结构比列不均衡，下岗、失业等灵活就业人员占比较大。</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二、“十四五”发展规划</w:t>
      </w:r>
      <w:bookmarkEnd w:id="6"/>
    </w:p>
    <w:p>
      <w:pPr>
        <w:spacing w:line="600" w:lineRule="exact"/>
        <w:ind w:firstLine="640" w:firstLineChars="200"/>
        <w:outlineLvl w:val="1"/>
        <w:rPr>
          <w:rFonts w:ascii="楷体_GB2312" w:hAnsi="楷体_GB2312" w:eastAsia="楷体_GB2312" w:cs="楷体_GB2312"/>
          <w:sz w:val="32"/>
          <w:szCs w:val="32"/>
        </w:rPr>
      </w:pPr>
      <w:bookmarkStart w:id="7" w:name="_Toc24661_WPSOffice_Level2"/>
      <w:r>
        <w:rPr>
          <w:rFonts w:hint="eastAsia" w:ascii="楷体_GB2312" w:hAnsi="楷体_GB2312" w:eastAsia="楷体_GB2312" w:cs="楷体_GB2312"/>
          <w:sz w:val="32"/>
          <w:szCs w:val="32"/>
        </w:rPr>
        <w:t>（一）指导思想</w:t>
      </w:r>
      <w:bookmarkEnd w:id="7"/>
    </w:p>
    <w:p>
      <w:pPr>
        <w:spacing w:line="600" w:lineRule="exact"/>
        <w:ind w:firstLine="640"/>
        <w:rPr>
          <w:rFonts w:ascii="仿宋_GB2312" w:hAnsi="仿宋_GB2312" w:eastAsia="仿宋_GB2312" w:cs="仿宋_GB2312"/>
          <w:sz w:val="32"/>
          <w:szCs w:val="32"/>
        </w:rPr>
      </w:pPr>
      <w:r>
        <w:rPr>
          <w:rFonts w:hint="eastAsia" w:ascii="仿宋_GB2312" w:hAnsi="仿宋" w:eastAsia="仿宋_GB2312" w:cs="Times New Roman"/>
          <w:sz w:val="32"/>
          <w:szCs w:val="32"/>
        </w:rPr>
        <w:t>“十四五”时期，全县人力资源和社会保障事业发展，将全面贯彻党的十九大精神，以习近平新时代</w:t>
      </w:r>
      <w:r>
        <w:rPr>
          <w:rFonts w:hint="eastAsia" w:ascii="仿宋_GB2312" w:hAnsi="仿宋" w:eastAsia="仿宋_GB2312" w:cs="Times New Roman"/>
          <w:sz w:val="32"/>
          <w:szCs w:val="32"/>
          <w:lang w:eastAsia="zh-CN"/>
        </w:rPr>
        <w:t>中国</w:t>
      </w:r>
      <w:r>
        <w:rPr>
          <w:rFonts w:hint="eastAsia" w:ascii="仿宋_GB2312" w:hAnsi="仿宋" w:eastAsia="仿宋_GB2312" w:cs="Times New Roman"/>
          <w:sz w:val="32"/>
          <w:szCs w:val="32"/>
        </w:rPr>
        <w:t>特色社会主义</w:t>
      </w:r>
      <w:r>
        <w:rPr>
          <w:rFonts w:hint="eastAsia" w:ascii="仿宋_GB2312" w:hAnsi="仿宋" w:eastAsia="仿宋_GB2312" w:cs="Times New Roman"/>
          <w:sz w:val="32"/>
          <w:szCs w:val="32"/>
          <w:lang w:eastAsia="zh-CN"/>
        </w:rPr>
        <w:t>思想</w:t>
      </w:r>
      <w:bookmarkStart w:id="8" w:name="_GoBack"/>
      <w:bookmarkEnd w:id="8"/>
      <w:r>
        <w:rPr>
          <w:rFonts w:hint="eastAsia" w:ascii="仿宋_GB2312" w:hAnsi="仿宋" w:eastAsia="仿宋_GB2312" w:cs="Times New Roman"/>
          <w:sz w:val="32"/>
          <w:szCs w:val="32"/>
        </w:rPr>
        <w:t>为指导，坚持发展是第一要务，积极主动适应新常态，深入实施就业优先战略，建立更加公平可持续的社会保障制度，</w:t>
      </w:r>
      <w:r>
        <w:rPr>
          <w:rFonts w:hint="eastAsia" w:ascii="仿宋_GB2312" w:hAnsi="仿宋" w:eastAsia="仿宋_GB2312" w:cs="宋体"/>
          <w:kern w:val="0"/>
          <w:sz w:val="32"/>
          <w:szCs w:val="32"/>
        </w:rPr>
        <w:t>提升基本公共服务能力和水平。</w:t>
      </w:r>
    </w:p>
    <w:p>
      <w:pPr>
        <w:spacing w:line="56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（二）规划目标</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——充分扩大和稳定就业。</w:t>
      </w:r>
      <w:r>
        <w:rPr>
          <w:rFonts w:hint="eastAsia" w:ascii="仿宋_GB2312" w:hAnsi="仿宋_GB2312" w:eastAsia="仿宋_GB2312" w:cs="仿宋_GB2312"/>
          <w:sz w:val="32"/>
          <w:szCs w:val="32"/>
        </w:rPr>
        <w:t>全县新增就业人数达1.9万人以上，失业人员再就业1.3万人次，就业困难人员再就业不低于3,800人，城镇登记失业率控制在3.8%以内。</w:t>
      </w:r>
      <w:r>
        <w:rPr>
          <w:rFonts w:hint="eastAsia" w:ascii="仿宋_GB2312" w:hAnsi="仿宋_GB2312" w:eastAsia="仿宋_GB2312" w:cs="仿宋_GB2312"/>
          <w:sz w:val="32"/>
          <w:szCs w:val="32"/>
          <w:lang w:val="en-US" w:eastAsia="zh-CN"/>
        </w:rPr>
        <w:t>就业和创业培训五年累计达到1万人以上，</w:t>
      </w:r>
      <w:r>
        <w:rPr>
          <w:rFonts w:hint="eastAsia" w:ascii="仿宋_GB2312" w:hAnsi="仿宋_GB2312" w:eastAsia="仿宋_GB2312" w:cs="仿宋_GB2312"/>
          <w:sz w:val="32"/>
          <w:szCs w:val="32"/>
        </w:rPr>
        <w:t>创业担保贷款发放力争达到250户，发放金额5,000万元左右。</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——大力完善社会保险体系。</w:t>
      </w:r>
      <w:r>
        <w:rPr>
          <w:rFonts w:hint="eastAsia" w:ascii="仿宋_GB2312" w:hAnsi="仿宋_GB2312" w:eastAsia="仿宋_GB2312" w:cs="仿宋_GB2312"/>
          <w:sz w:val="32"/>
          <w:szCs w:val="32"/>
        </w:rPr>
        <w:t>城镇职工养老、失业、工伤保险参保人数分别达到13,070人、3,300人、4,700人。机关事业养老保险保持全覆盖，城乡居民养老保险参保人数保持在 4.75万人以上，被征地农民养老保障做到“即征即保”。</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（三）重点任务</w:t>
      </w:r>
    </w:p>
    <w:p>
      <w:pPr>
        <w:spacing w:line="560" w:lineRule="exact"/>
        <w:ind w:firstLine="643" w:firstLineChars="200"/>
        <w:rPr>
          <w:rFonts w:ascii="仿宋_GB2312" w:hAnsi="仿宋" w:eastAsia="仿宋_GB2312" w:cs="Times New Roman"/>
          <w:sz w:val="32"/>
          <w:szCs w:val="32"/>
        </w:rPr>
      </w:pPr>
      <w:r>
        <w:rPr>
          <w:rFonts w:hint="eastAsia" w:ascii="楷体_GB2312" w:hAnsi="楷体_GB2312" w:eastAsia="楷体_GB2312" w:cs="楷体_GB2312"/>
          <w:b/>
          <w:bCs/>
          <w:sz w:val="32"/>
          <w:szCs w:val="32"/>
        </w:rPr>
        <w:t>1.</w:t>
      </w:r>
      <w:r>
        <w:rPr>
          <w:rFonts w:hint="eastAsia" w:ascii="仿宋_GB2312" w:hAnsi="楷体_GB2312" w:eastAsia="仿宋_GB2312" w:cs="楷体_GB2312"/>
          <w:b/>
          <w:bCs/>
          <w:sz w:val="32"/>
          <w:szCs w:val="32"/>
        </w:rPr>
        <w:t>落实就业优先战略，实现更加充分更高质量就业</w:t>
      </w:r>
      <w:r>
        <w:rPr>
          <w:rFonts w:hint="eastAsia" w:ascii="仿宋_GB2312" w:hAnsi="仿宋" w:eastAsia="仿宋_GB2312" w:cs="Times New Roman"/>
          <w:sz w:val="32"/>
          <w:szCs w:val="32"/>
        </w:rPr>
        <w:t xml:space="preserve">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不断增强就业服务供给能力。</w:t>
      </w:r>
      <w:r>
        <w:rPr>
          <w:rFonts w:hint="eastAsia" w:ascii="仿宋_GB2312" w:hAnsi="仿宋_GB2312" w:eastAsia="仿宋_GB2312" w:cs="仿宋_GB2312"/>
          <w:b/>
          <w:bCs/>
          <w:sz w:val="32"/>
          <w:szCs w:val="32"/>
        </w:rPr>
        <w:t>一是深入实施就业优先政策，</w:t>
      </w:r>
      <w:r>
        <w:rPr>
          <w:rFonts w:hint="eastAsia" w:ascii="仿宋_GB2312" w:hAnsi="仿宋_GB2312" w:eastAsia="仿宋_GB2312" w:cs="仿宋_GB2312"/>
          <w:sz w:val="32"/>
          <w:szCs w:val="32"/>
          <w:lang w:val="en-US" w:eastAsia="zh-CN"/>
        </w:rPr>
        <w:t>深入开展“春风行动”，</w:t>
      </w:r>
      <w:r>
        <w:rPr>
          <w:rFonts w:hint="eastAsia" w:ascii="仿宋_GB2312" w:hAnsi="仿宋_GB2312" w:eastAsia="仿宋_GB2312" w:cs="仿宋_GB2312"/>
          <w:sz w:val="32"/>
          <w:szCs w:val="32"/>
        </w:rPr>
        <w:t>利用县乡村三级就业服务体系，摸清底数，合理规划，分工分业，促进人岗对接，推进更加充分更高质量就业。</w:t>
      </w:r>
      <w:r>
        <w:rPr>
          <w:rFonts w:hint="eastAsia" w:ascii="仿宋_GB2312" w:hAnsi="仿宋_GB2312" w:eastAsia="仿宋_GB2312" w:cs="仿宋_GB2312"/>
          <w:b/>
          <w:bCs/>
          <w:sz w:val="32"/>
          <w:szCs w:val="32"/>
        </w:rPr>
        <w:t>二是壮大新动能培育新的就业增长点，</w:t>
      </w:r>
      <w:r>
        <w:rPr>
          <w:rFonts w:hint="eastAsia" w:ascii="仿宋_GB2312" w:hAnsi="仿宋_GB2312" w:eastAsia="仿宋_GB2312" w:cs="仿宋_GB2312"/>
          <w:sz w:val="32"/>
          <w:szCs w:val="32"/>
        </w:rPr>
        <w:t>坚持创新引领发展，抢抓新产业新业态发展机遇，</w:t>
      </w:r>
      <w:r>
        <w:rPr>
          <w:rFonts w:hint="eastAsia" w:ascii="仿宋_GB2312" w:hAnsi="仿宋_GB2312" w:eastAsia="仿宋_GB2312" w:cs="仿宋_GB2312"/>
          <w:sz w:val="32"/>
          <w:szCs w:val="32"/>
          <w:lang w:val="en-US" w:eastAsia="zh-CN"/>
        </w:rPr>
        <w:t>推动农村种养殖能手带动一部分就业，劳动力本地转岗就业、外出就业。</w:t>
      </w:r>
      <w:r>
        <w:rPr>
          <w:rFonts w:hint="eastAsia" w:ascii="仿宋_GB2312" w:hAnsi="仿宋_GB2312" w:eastAsia="仿宋_GB2312" w:cs="仿宋_GB2312"/>
          <w:sz w:val="32"/>
          <w:szCs w:val="32"/>
        </w:rPr>
        <w:t>完善灵活就业政策扶持体系，引导零工经济、地摊经济、小店经济发展，拓宽灵活就业渠道。</w:t>
      </w:r>
      <w:r>
        <w:rPr>
          <w:rFonts w:hint="eastAsia" w:ascii="仿宋_GB2312" w:hAnsi="仿宋_GB2312" w:eastAsia="仿宋_GB2312" w:cs="仿宋_GB2312"/>
          <w:b/>
          <w:bCs/>
          <w:sz w:val="32"/>
          <w:szCs w:val="32"/>
        </w:rPr>
        <w:t>三是鼓励支持创业带动就业，</w:t>
      </w:r>
      <w:r>
        <w:rPr>
          <w:rFonts w:hint="eastAsia" w:ascii="仿宋_GB2312" w:hAnsi="仿宋_GB2312" w:eastAsia="仿宋_GB2312" w:cs="仿宋_GB2312"/>
          <w:sz w:val="32"/>
          <w:szCs w:val="32"/>
        </w:rPr>
        <w:t>完善创业扶持政策，落实创业担保贷款、创业补贴等政策支持，大规模开展创业培训，提升创业服务能力，引导支持农民工等返乡入乡创业，带动农村劳动力就地就近就业。加强创业孵化基地建设，营造良好“双创”环境，</w:t>
      </w:r>
      <w:r>
        <w:rPr>
          <w:rFonts w:hint="eastAsia" w:ascii="仿宋_GB2312" w:hAnsi="仿宋_GB2312" w:eastAsia="仿宋_GB2312" w:cs="仿宋_GB2312"/>
          <w:sz w:val="32"/>
          <w:szCs w:val="32"/>
          <w:shd w:val="clear" w:color="auto" w:fill="FFFFFF"/>
        </w:rPr>
        <w:t>促进创业带动就业能力持续增强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四是积极做好重点群体就业，</w:t>
      </w:r>
      <w:r>
        <w:rPr>
          <w:rFonts w:hint="eastAsia" w:ascii="仿宋_GB2312" w:hAnsi="仿宋_GB2312" w:eastAsia="仿宋_GB2312" w:cs="仿宋_GB2312"/>
          <w:sz w:val="32"/>
          <w:szCs w:val="32"/>
        </w:rPr>
        <w:t>全面实施高校毕业生就业创业促进、青年</w:t>
      </w:r>
      <w:r>
        <w:rPr>
          <w:rFonts w:hint="eastAsia" w:ascii="仿宋_GB2312" w:hAnsi="仿宋_GB2312" w:eastAsia="仿宋_GB2312" w:cs="仿宋_GB2312"/>
          <w:sz w:val="32"/>
          <w:szCs w:val="32"/>
          <w:lang w:val="en-US" w:eastAsia="zh-CN"/>
        </w:rPr>
        <w:t>就业</w:t>
      </w:r>
      <w:r>
        <w:rPr>
          <w:rFonts w:hint="eastAsia" w:ascii="仿宋_GB2312" w:hAnsi="仿宋_GB2312" w:eastAsia="仿宋_GB2312" w:cs="仿宋_GB2312"/>
          <w:sz w:val="32"/>
          <w:szCs w:val="32"/>
        </w:rPr>
        <w:t>见习、“三支一扶”等计划，创造更多适合毕业生的就业机会。拓宽农民工就地就近就业渠道。强化就业援助，做好就业困难人员托底帮扶，保持“零就业”家庭动态为零。</w:t>
      </w:r>
      <w:r>
        <w:rPr>
          <w:rFonts w:hint="eastAsia" w:ascii="仿宋_GB2312" w:hAnsi="仿宋_GB2312" w:eastAsia="仿宋_GB2312" w:cs="仿宋_GB2312"/>
          <w:b/>
          <w:bCs/>
          <w:sz w:val="32"/>
          <w:szCs w:val="32"/>
        </w:rPr>
        <w:t>五是实施职业技能精准培训，</w:t>
      </w:r>
      <w:r>
        <w:rPr>
          <w:rFonts w:hint="eastAsia" w:ascii="仿宋_GB2312" w:hAnsi="仿宋_GB2312" w:eastAsia="仿宋_GB2312" w:cs="仿宋_GB2312"/>
          <w:sz w:val="32"/>
          <w:szCs w:val="32"/>
        </w:rPr>
        <w:t>全面推行终身职业技能培训制度，推进订单式、点餐式培训，提高就业率。开展贫困家庭子女、未升学初高中毕业生、农民工、失业人员和退役军人免费接受职业培训行动。</w:t>
      </w:r>
    </w:p>
    <w:p>
      <w:pPr>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2.深化社保制度改革，完善覆盖全民的社会保障体系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稳步提高社会保障待遇水平，进一步完善社会保障功能机制，</w:t>
      </w:r>
      <w:r>
        <w:rPr>
          <w:rFonts w:hint="eastAsia" w:ascii="仿宋_GB2312" w:hAnsi="仿宋_GB2312" w:eastAsia="仿宋_GB2312" w:cs="仿宋_GB2312"/>
          <w:b/>
          <w:bCs/>
          <w:sz w:val="32"/>
          <w:szCs w:val="32"/>
        </w:rPr>
        <w:t>一是持续推进扩面征缴，</w:t>
      </w:r>
      <w:r>
        <w:rPr>
          <w:rFonts w:hint="eastAsia" w:ascii="仿宋_GB2312" w:hAnsi="仿宋_GB2312" w:eastAsia="仿宋_GB2312" w:cs="仿宋_GB2312"/>
          <w:sz w:val="32"/>
          <w:szCs w:val="32"/>
        </w:rPr>
        <w:t>重点持续对电商、灵活就业、新业态从业人员等群体的参保工作。围绕保民生、保稳定、保增长的大局，不断健全和完善政策措施，让改革发展成果更多更公平惠及全体人民。</w:t>
      </w:r>
      <w:r>
        <w:rPr>
          <w:rFonts w:hint="eastAsia" w:ascii="仿宋_GB2312" w:hAnsi="仿宋_GB2312" w:eastAsia="仿宋_GB2312" w:cs="仿宋_GB2312"/>
          <w:b/>
          <w:bCs/>
          <w:sz w:val="32"/>
          <w:szCs w:val="32"/>
        </w:rPr>
        <w:t>二是及时调整待遇享受标准，</w:t>
      </w:r>
      <w:r>
        <w:rPr>
          <w:rFonts w:hint="eastAsia" w:ascii="仿宋_GB2312" w:hAnsi="仿宋_GB2312" w:eastAsia="仿宋_GB2312" w:cs="仿宋_GB2312"/>
          <w:b w:val="0"/>
          <w:bCs w:val="0"/>
          <w:sz w:val="32"/>
          <w:szCs w:val="32"/>
          <w:lang w:val="en-US" w:eastAsia="zh-CN"/>
        </w:rPr>
        <w:t>推进社保转移接续，</w:t>
      </w:r>
      <w:r>
        <w:rPr>
          <w:rFonts w:hint="eastAsia" w:ascii="仿宋_GB2312" w:hAnsi="仿宋_GB2312" w:eastAsia="仿宋_GB2312" w:cs="仿宋_GB2312"/>
          <w:sz w:val="32"/>
          <w:szCs w:val="32"/>
        </w:rPr>
        <w:t>按政策规定及时调整提高参保人员的待遇水平，确保各项社会保险待遇按时足额发放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完善失业保险和工伤保险制度，健全灵活就业人员社保制度</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三是加大社会保险基金风险防控力度，</w:t>
      </w:r>
      <w:r>
        <w:rPr>
          <w:rFonts w:hint="eastAsia" w:ascii="仿宋_GB2312" w:hAnsi="仿宋_GB2312" w:eastAsia="仿宋_GB2312" w:cs="仿宋_GB2312"/>
          <w:sz w:val="32"/>
          <w:szCs w:val="32"/>
        </w:rPr>
        <w:t>深入开展社保数据稽核，建立制度化、常态化数据核查机制。</w:t>
      </w:r>
      <w:r>
        <w:rPr>
          <w:rFonts w:hint="eastAsia" w:ascii="仿宋_GB2312" w:hAnsi="仿宋_GB2312" w:eastAsia="仿宋_GB2312" w:cs="仿宋_GB2312"/>
          <w:kern w:val="0"/>
          <w:sz w:val="32"/>
          <w:szCs w:val="32"/>
        </w:rPr>
        <w:t>强化基金征缴、支付、管理和投资运营的监督检查，</w:t>
      </w:r>
      <w:r>
        <w:rPr>
          <w:rFonts w:hint="eastAsia" w:ascii="仿宋_GB2312" w:hAnsi="仿宋_GB2312" w:eastAsia="仿宋_GB2312" w:cs="仿宋_GB2312"/>
          <w:sz w:val="32"/>
          <w:szCs w:val="32"/>
        </w:rPr>
        <w:t>构建事前预防控</w:t>
      </w:r>
      <w:r>
        <w:rPr>
          <w:rFonts w:hint="eastAsia" w:ascii="仿宋_GB2312" w:hAnsi="仿宋_GB2312" w:eastAsia="仿宋_GB2312" w:cs="仿宋_GB2312"/>
          <w:kern w:val="0"/>
          <w:sz w:val="32"/>
          <w:szCs w:val="32"/>
        </w:rPr>
        <w:t>制、事中在线核验、事后稽核检查的风险防控体系，确保基金安全完整；</w:t>
      </w:r>
      <w:r>
        <w:rPr>
          <w:rFonts w:hint="eastAsia" w:ascii="仿宋_GB2312" w:hAnsi="仿宋_GB2312" w:eastAsia="仿宋_GB2312" w:cs="仿宋_GB2312"/>
          <w:b/>
          <w:bCs/>
          <w:kern w:val="0"/>
          <w:sz w:val="32"/>
          <w:szCs w:val="32"/>
        </w:rPr>
        <w:t>四是推进</w:t>
      </w:r>
      <w:r>
        <w:rPr>
          <w:rFonts w:hint="eastAsia" w:ascii="仿宋_GB2312" w:hAnsi="仿宋_GB2312" w:eastAsia="仿宋_GB2312" w:cs="仿宋_GB2312"/>
          <w:b/>
          <w:bCs/>
          <w:sz w:val="32"/>
          <w:szCs w:val="32"/>
        </w:rPr>
        <w:t>企业退休人员社会化管理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kern w:val="0"/>
          <w:sz w:val="32"/>
          <w:szCs w:val="32"/>
        </w:rPr>
        <w:t>全力推进档案标准化、信息化建设，以国有企业改革为契机，积极创新文件材料收集和保管机制，对三个农场社保机构职能完成接收，进一步提高档案资源集中管理能力，继续推进国家档案局令第10号的贯彻实施，加强档案管理制度和标准规范建设，进一步提高档案收集、整理、归档等工作的规范化水平。在档案信息化和数字档案馆（室）建设中，积极创新档案管理方法，确保档案部门实现对电子文件形成、积累和归档的全程监督指导。要准确把握深化国有企业改革对档案的利用需求，做好企业在重大决策、资产评估、资产划拨、人员安置等工作中的档案利用服务。创新服务机制，简化档案利用审批手续，推行企业档案利用“一站式”服务。改进服务方式，主动开发档案信息服务企业发展。充分利用信息化手段，有针对性地建设档案专题数据库和档案开放平台，更好地服务企业改革发展。</w:t>
      </w:r>
      <w:r>
        <w:rPr>
          <w:rFonts w:hint="eastAsia" w:ascii="仿宋_GB2312" w:hAnsi="仿宋_GB2312" w:eastAsia="仿宋_GB2312" w:cs="仿宋_GB2312"/>
          <w:b/>
          <w:bCs/>
          <w:sz w:val="32"/>
          <w:szCs w:val="32"/>
        </w:rPr>
        <w:t>五是加强社会保障经办服务体系建设，</w:t>
      </w:r>
      <w:r>
        <w:rPr>
          <w:rFonts w:hint="eastAsia" w:ascii="仿宋_GB2312" w:hAnsi="仿宋_GB2312" w:eastAsia="仿宋_GB2312" w:cs="仿宋_GB2312"/>
          <w:sz w:val="32"/>
          <w:szCs w:val="32"/>
        </w:rPr>
        <w:t>持续推进系统行风建设，推动公共服务事项清单和办事指南的落实落地和动态调整。进一步做好社会保险待遇资格认证工作，不断探索创新认证服务模式；推动多险合一经办，逐步将企业职工养老保险、机关事业单位养老保险和城乡居民养老保险整合到一个机构进行管理，推动养老、工伤、失业三类险种合一网上经办。积极提升社保经办数字化能力，提升社保统计手段。全面推进社会保障卡（含电子社保卡）在社保领域应用。</w:t>
      </w:r>
    </w:p>
    <w:p>
      <w:pPr>
        <w:spacing w:line="600" w:lineRule="exact"/>
        <w:ind w:left="743"/>
        <w:outlineLvl w:val="2"/>
        <w:rPr>
          <w:rFonts w:ascii="仿宋_GB2312" w:hAnsi="仿宋_GB2312" w:eastAsia="仿宋_GB2312" w:cs="仿宋_GB2312"/>
          <w:b/>
          <w:bCs/>
          <w:sz w:val="32"/>
          <w:szCs w:val="32"/>
        </w:rPr>
      </w:pPr>
    </w:p>
    <w:sectPr>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458D05-993F-436D-A0E0-511F227301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8633E27-4CB6-4FFA-B659-2E29DDC8F846}"/>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85FCED79-5DA1-4C40-9CB6-F5F45DF6C017}"/>
  </w:font>
  <w:font w:name="楷体_GB2312">
    <w:panose1 w:val="02010609030101010101"/>
    <w:charset w:val="86"/>
    <w:family w:val="modern"/>
    <w:pitch w:val="default"/>
    <w:sig w:usb0="00000001" w:usb1="080E0000" w:usb2="00000000" w:usb3="00000000" w:csb0="00040000" w:csb1="00000000"/>
    <w:embedRegular r:id="rId4" w:fontKey="{17374AF1-68B7-4464-B697-1DD80C89A048}"/>
  </w:font>
  <w:font w:name="仿宋">
    <w:panose1 w:val="02010609060101010101"/>
    <w:charset w:val="86"/>
    <w:family w:val="auto"/>
    <w:pitch w:val="default"/>
    <w:sig w:usb0="800002BF" w:usb1="38CF7CFA" w:usb2="00000016" w:usb3="00000000" w:csb0="00040001" w:csb1="00000000"/>
    <w:embedRegular r:id="rId5" w:fontKey="{DDDE8333-B704-4FDF-9D39-F2E0F9D03A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-8890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pt;height:144pt;width:144pt;mso-position-horizontal:center;mso-position-horizontal-relative:margin;mso-wrap-style:none;z-index:251659264;mso-width-relative:page;mso-height-relative:page;" filled="f" stroked="f" coordsize="21600,21600" o:gfxdata="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CO2C9QAAAAHAQAADwAAAAAAAAABACAAAAAiAAAAZHJzL2Rvd25yZXYu&#10;eG1sUEsBAhQAFAAAAAgAh07iQF4aj184AgAAbwQAAA4AAAAAAAAAAQAgAAAAIwEAAGRycy9lMm9E&#10;b2MueG1sUEsFBgAAAAAGAAYAWQEAAM0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-8890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pt;height:144pt;width:144pt;mso-position-horizontal:center;mso-position-horizontal-relative:margin;mso-wrap-style:none;z-index:251660288;mso-width-relative:page;mso-height-relative:page;" filled="f" stroked="f" coordsize="21600,21600" o:gfxdata="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CO2C9QAAAAHAQAADwAAAAAAAAABACAAAAAiAAAAZHJzL2Rvd25yZXYu&#10;eG1sUEsBAhQAFAAAAAgAh07iQP8/A0c4AgAAbwQAAA4AAAAAAAAAAQAgAAAAIwEAAGRycy9lMm9E&#10;b2MueG1sUEsFBgAAAAAGAAYAWQEAAM0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NjIxZDczYWM0MGRjM2I1ZTVhMDNkYzhhMjU0YTIifQ=="/>
  </w:docVars>
  <w:rsids>
    <w:rsidRoot w:val="00201A13"/>
    <w:rsid w:val="00030522"/>
    <w:rsid w:val="00043EC6"/>
    <w:rsid w:val="0007123B"/>
    <w:rsid w:val="001047FD"/>
    <w:rsid w:val="001250B5"/>
    <w:rsid w:val="00141103"/>
    <w:rsid w:val="00192459"/>
    <w:rsid w:val="001B7F07"/>
    <w:rsid w:val="00201A13"/>
    <w:rsid w:val="00203D73"/>
    <w:rsid w:val="002A1BB5"/>
    <w:rsid w:val="002C064C"/>
    <w:rsid w:val="0037124D"/>
    <w:rsid w:val="00386F7F"/>
    <w:rsid w:val="003C0F07"/>
    <w:rsid w:val="00492FB7"/>
    <w:rsid w:val="004C0058"/>
    <w:rsid w:val="004F5CF2"/>
    <w:rsid w:val="00510075"/>
    <w:rsid w:val="00525FF8"/>
    <w:rsid w:val="00710D07"/>
    <w:rsid w:val="00736DF0"/>
    <w:rsid w:val="00792848"/>
    <w:rsid w:val="008558C8"/>
    <w:rsid w:val="008A494F"/>
    <w:rsid w:val="008B1C7D"/>
    <w:rsid w:val="008D69CC"/>
    <w:rsid w:val="008F64AD"/>
    <w:rsid w:val="009120DC"/>
    <w:rsid w:val="00A06196"/>
    <w:rsid w:val="00A36976"/>
    <w:rsid w:val="00A93E2D"/>
    <w:rsid w:val="00B23BC9"/>
    <w:rsid w:val="00B563BF"/>
    <w:rsid w:val="00C5228C"/>
    <w:rsid w:val="00C56F4F"/>
    <w:rsid w:val="00CC7D7E"/>
    <w:rsid w:val="00CD3537"/>
    <w:rsid w:val="00D24E0F"/>
    <w:rsid w:val="00F17936"/>
    <w:rsid w:val="00F5484D"/>
    <w:rsid w:val="00FE532B"/>
    <w:rsid w:val="06EF3327"/>
    <w:rsid w:val="0E50408E"/>
    <w:rsid w:val="13E22056"/>
    <w:rsid w:val="1DC23A50"/>
    <w:rsid w:val="22521199"/>
    <w:rsid w:val="24D71638"/>
    <w:rsid w:val="2C996AD9"/>
    <w:rsid w:val="30FF4292"/>
    <w:rsid w:val="33363FE8"/>
    <w:rsid w:val="33A5598D"/>
    <w:rsid w:val="3D934127"/>
    <w:rsid w:val="3DC67B86"/>
    <w:rsid w:val="53FB3925"/>
    <w:rsid w:val="55264331"/>
    <w:rsid w:val="55EC244A"/>
    <w:rsid w:val="5A9C5DDB"/>
    <w:rsid w:val="5B7069C0"/>
    <w:rsid w:val="5C173CBD"/>
    <w:rsid w:val="5D4D5E93"/>
    <w:rsid w:val="64B11F89"/>
    <w:rsid w:val="67C11FC5"/>
    <w:rsid w:val="6F1A536A"/>
    <w:rsid w:val="722676DC"/>
    <w:rsid w:val="77DA16D9"/>
    <w:rsid w:val="7AAA7337"/>
    <w:rsid w:val="7C190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Salutation1"/>
    <w:basedOn w:val="1"/>
    <w:next w:val="1"/>
    <w:qFormat/>
    <w:uiPriority w:val="0"/>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link w:val="15"/>
    <w:qFormat/>
    <w:uiPriority w:val="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WPSOffice手动目录 1"/>
    <w:qFormat/>
    <w:uiPriority w:val="0"/>
    <w:rPr>
      <w:rFonts w:asciiTheme="minorHAnsi" w:hAnsiTheme="minorHAnsi" w:eastAsiaTheme="minorEastAsia" w:cstheme="minorBidi"/>
      <w:lang w:val="en-US" w:eastAsia="zh-CN" w:bidi="ar-SA"/>
    </w:rPr>
  </w:style>
  <w:style w:type="paragraph" w:customStyle="1" w:styleId="1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2">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3">
    <w:name w:val="批注框文本 Char"/>
    <w:basedOn w:val="9"/>
    <w:link w:val="3"/>
    <w:qFormat/>
    <w:uiPriority w:val="0"/>
    <w:rPr>
      <w:kern w:val="2"/>
      <w:sz w:val="18"/>
      <w:szCs w:val="18"/>
    </w:rPr>
  </w:style>
  <w:style w:type="paragraph" w:customStyle="1" w:styleId="14">
    <w:name w:val="正文文本缩进 21"/>
    <w:basedOn w:val="1"/>
    <w:qFormat/>
    <w:uiPriority w:val="0"/>
    <w:pPr>
      <w:spacing w:after="120" w:line="480" w:lineRule="auto"/>
      <w:ind w:left="420" w:leftChars="200"/>
    </w:pPr>
    <w:rPr>
      <w:rFonts w:ascii="Calibri" w:hAnsi="Calibri" w:eastAsia="宋体" w:cs="Times New Roman"/>
    </w:rPr>
  </w:style>
  <w:style w:type="character" w:customStyle="1" w:styleId="15">
    <w:name w:val="标题 Char"/>
    <w:basedOn w:val="9"/>
    <w:link w:val="6"/>
    <w:qFormat/>
    <w:uiPriority w:val="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3037</Words>
  <Characters>3186</Characters>
  <Lines>27</Lines>
  <Paragraphs>7</Paragraphs>
  <TotalTime>10</TotalTime>
  <ScaleCrop>false</ScaleCrop>
  <LinksUpToDate>false</LinksUpToDate>
  <CharactersWithSpaces>3223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2020-11-23T06:57:00Z</dcterms:created>
  <dc:creator>Administrator</dc:creator>
  <cp:lastModifiedBy>Administrator</cp:lastModifiedBy>
  <cp:lastPrinted>2021-07-30T06:44:00Z</cp:lastPrinted>
  <dcterms:modified xsi:type="dcterms:W3CDTF">2022-05-10T08:26:50Z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BAD61536B7A8428289113EB193A4341B</vt:lpwstr>
  </property>
</Properties>
</file>