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FF0000"/>
          <w:sz w:val="32"/>
          <w:szCs w:val="32"/>
        </w:rPr>
      </w:pP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“十四五”营商环境建设规划</w:t>
      </w: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p>
    <w:p>
      <w:pPr>
        <w:jc w:val="center"/>
        <w:rPr>
          <w:rFonts w:ascii="宋体" w:hAnsi="宋体" w:eastAsia="宋体" w:cs="宋体"/>
          <w:sz w:val="40"/>
          <w:szCs w:val="40"/>
        </w:rPr>
      </w:pPr>
      <w:r>
        <w:rPr>
          <w:rFonts w:hint="eastAsia" w:ascii="宋体" w:hAnsi="宋体" w:eastAsia="宋体" w:cs="宋体"/>
          <w:sz w:val="40"/>
          <w:szCs w:val="40"/>
        </w:rPr>
        <w:t>营商环境建设监督局</w:t>
      </w:r>
    </w:p>
    <w:p>
      <w:pPr>
        <w:jc w:val="center"/>
        <w:rPr>
          <w:rFonts w:ascii="宋体" w:hAnsi="宋体" w:eastAsia="宋体" w:cs="宋体"/>
          <w:sz w:val="40"/>
          <w:szCs w:val="40"/>
        </w:rPr>
      </w:pPr>
      <w:r>
        <w:rPr>
          <w:rFonts w:hint="eastAsia" w:ascii="宋体" w:hAnsi="宋体" w:eastAsia="宋体" w:cs="宋体"/>
          <w:sz w:val="40"/>
          <w:szCs w:val="40"/>
        </w:rPr>
        <w:t>2021年10月12日</w:t>
      </w:r>
    </w:p>
    <w:p>
      <w:pPr>
        <w:jc w:val="center"/>
        <w:rPr>
          <w:rFonts w:ascii="方正小标宋简体" w:hAnsi="方正小标宋简体" w:eastAsia="方正小标宋简体" w:cs="方正小标宋简体"/>
          <w:sz w:val="44"/>
          <w:szCs w:val="44"/>
        </w:rPr>
        <w:sectPr>
          <w:pgSz w:w="11906" w:h="16838"/>
          <w:pgMar w:top="2098" w:right="1474" w:bottom="1984" w:left="1587" w:header="851" w:footer="992" w:gutter="0"/>
          <w:pgNumType w:fmt="upperRoman"/>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sdt>
      <w:sdtPr>
        <w:rPr>
          <w:rFonts w:ascii="宋体" w:hAnsi="宋体" w:eastAsia="宋体"/>
          <w:kern w:val="0"/>
          <w:sz w:val="20"/>
          <w:szCs w:val="20"/>
        </w:rPr>
        <w:id w:val="147476742"/>
        <w:docPartObj>
          <w:docPartGallery w:val="Table of Contents"/>
          <w:docPartUnique/>
        </w:docPartObj>
      </w:sdtPr>
      <w:sdtEndPr>
        <w:rPr>
          <w:rFonts w:ascii="宋体" w:hAnsi="宋体" w:eastAsia="宋体"/>
          <w:kern w:val="0"/>
          <w:sz w:val="20"/>
          <w:szCs w:val="20"/>
        </w:rPr>
      </w:sdtEndPr>
      <w:sdtContent>
        <w:p>
          <w:pPr>
            <w:jc w:val="center"/>
          </w:pPr>
          <w:bookmarkStart w:id="0" w:name="_Toc4286_WPSOffice_Type3"/>
        </w:p>
        <w:p>
          <w:pPr>
            <w:pStyle w:val="8"/>
            <w:tabs>
              <w:tab w:val="right" w:leader="dot" w:pos="8845"/>
            </w:tabs>
            <w:rPr>
              <w:rFonts w:eastAsia="仿宋_GB2312"/>
              <w:sz w:val="32"/>
            </w:rPr>
          </w:pPr>
          <w:r>
            <w:fldChar w:fldCharType="begin"/>
          </w:r>
          <w:r>
            <w:instrText xml:space="preserve"> HYPERLINK \l "_Toc4286_WPSOffice_Level1" </w:instrText>
          </w:r>
          <w:r>
            <w:fldChar w:fldCharType="separate"/>
          </w:r>
          <w:r>
            <w:rPr>
              <w:rFonts w:hint="eastAsia" w:ascii="黑体" w:hAnsi="黑体" w:eastAsia="仿宋_GB2312" w:cs="黑体"/>
              <w:sz w:val="32"/>
            </w:rPr>
            <w:t>一、“十三五”回顾（发展现实基础）</w:t>
          </w:r>
          <w:r>
            <w:rPr>
              <w:rFonts w:eastAsia="仿宋_GB2312"/>
              <w:sz w:val="32"/>
            </w:rPr>
            <w:tab/>
          </w:r>
          <w:bookmarkStart w:id="1" w:name="_Toc4286_WPSOffice_Level1Page"/>
          <w:r>
            <w:rPr>
              <w:rFonts w:eastAsia="仿宋_GB2312"/>
              <w:sz w:val="32"/>
            </w:rPr>
            <w:t>1</w:t>
          </w:r>
          <w:bookmarkEnd w:id="1"/>
          <w:r>
            <w:rPr>
              <w:rFonts w:eastAsia="仿宋_GB2312"/>
              <w:sz w:val="32"/>
            </w:rPr>
            <w:fldChar w:fldCharType="end"/>
          </w:r>
        </w:p>
        <w:p>
          <w:pPr>
            <w:pStyle w:val="9"/>
            <w:tabs>
              <w:tab w:val="right" w:leader="dot" w:pos="8845"/>
            </w:tabs>
            <w:ind w:left="420"/>
            <w:rPr>
              <w:rFonts w:eastAsia="仿宋_GB2312"/>
              <w:sz w:val="32"/>
            </w:rPr>
          </w:pPr>
          <w:r>
            <w:fldChar w:fldCharType="begin"/>
          </w:r>
          <w:r>
            <w:instrText xml:space="preserve"> HYPERLINK \l "_Toc4286_WPSOffice_Level2" </w:instrText>
          </w:r>
          <w:r>
            <w:fldChar w:fldCharType="separate"/>
          </w:r>
          <w:r>
            <w:rPr>
              <w:rFonts w:hint="eastAsia" w:ascii="楷体_GB2312" w:hAnsi="楷体_GB2312" w:eastAsia="仿宋_GB2312" w:cs="楷体_GB2312"/>
              <w:sz w:val="32"/>
            </w:rPr>
            <w:t>（一） 行业总体发展情况</w:t>
          </w:r>
          <w:r>
            <w:rPr>
              <w:rFonts w:eastAsia="仿宋_GB2312"/>
              <w:sz w:val="32"/>
            </w:rPr>
            <w:tab/>
          </w:r>
          <w:bookmarkStart w:id="2" w:name="_Toc4286_WPSOffice_Level2Page"/>
          <w:r>
            <w:rPr>
              <w:rFonts w:eastAsia="仿宋_GB2312"/>
              <w:sz w:val="32"/>
            </w:rPr>
            <w:t>1</w:t>
          </w:r>
          <w:bookmarkEnd w:id="2"/>
          <w:r>
            <w:rPr>
              <w:rFonts w:eastAsia="仿宋_GB2312"/>
              <w:sz w:val="32"/>
            </w:rPr>
            <w:fldChar w:fldCharType="end"/>
          </w:r>
        </w:p>
        <w:p>
          <w:pPr>
            <w:pStyle w:val="9"/>
            <w:tabs>
              <w:tab w:val="right" w:leader="dot" w:pos="8845"/>
            </w:tabs>
            <w:ind w:left="420"/>
            <w:rPr>
              <w:rFonts w:eastAsia="仿宋_GB2312"/>
              <w:sz w:val="32"/>
            </w:rPr>
          </w:pPr>
          <w:r>
            <w:fldChar w:fldCharType="begin"/>
          </w:r>
          <w:r>
            <w:instrText xml:space="preserve"> HYPERLINK \l "_Toc10477_WPSOffice_Level2" </w:instrText>
          </w:r>
          <w:r>
            <w:fldChar w:fldCharType="separate"/>
          </w:r>
          <w:r>
            <w:rPr>
              <w:rFonts w:hint="eastAsia" w:ascii="楷体_GB2312" w:hAnsi="楷体_GB2312" w:eastAsia="仿宋_GB2312" w:cs="楷体_GB2312"/>
              <w:sz w:val="32"/>
            </w:rPr>
            <w:t>（二） 各当面工作推进情况</w:t>
          </w:r>
          <w:r>
            <w:rPr>
              <w:rFonts w:eastAsia="仿宋_GB2312"/>
              <w:sz w:val="32"/>
            </w:rPr>
            <w:tab/>
          </w:r>
          <w:bookmarkStart w:id="3" w:name="_Toc10477_WPSOffice_Level2Page"/>
          <w:r>
            <w:rPr>
              <w:rFonts w:eastAsia="仿宋_GB2312"/>
              <w:sz w:val="32"/>
            </w:rPr>
            <w:t>1</w:t>
          </w:r>
          <w:bookmarkEnd w:id="3"/>
          <w:r>
            <w:rPr>
              <w:rFonts w:eastAsia="仿宋_GB2312"/>
              <w:sz w:val="32"/>
            </w:rPr>
            <w:fldChar w:fldCharType="end"/>
          </w:r>
        </w:p>
        <w:p>
          <w:pPr>
            <w:pStyle w:val="9"/>
            <w:tabs>
              <w:tab w:val="right" w:leader="dot" w:pos="8845"/>
            </w:tabs>
            <w:ind w:left="420"/>
            <w:rPr>
              <w:rFonts w:eastAsia="仿宋_GB2312"/>
              <w:sz w:val="32"/>
            </w:rPr>
          </w:pPr>
          <w:r>
            <w:fldChar w:fldCharType="begin"/>
          </w:r>
          <w:r>
            <w:instrText xml:space="preserve"> HYPERLINK \l "_Toc22936_WPSOffice_Level2" </w:instrText>
          </w:r>
          <w:r>
            <w:fldChar w:fldCharType="separate"/>
          </w:r>
          <w:r>
            <w:rPr>
              <w:rFonts w:hint="eastAsia" w:ascii="楷体_GB2312" w:hAnsi="楷体_GB2312" w:eastAsia="仿宋_GB2312" w:cs="楷体_GB2312"/>
              <w:sz w:val="32"/>
            </w:rPr>
            <w:t>（三）</w:t>
          </w:r>
          <w:r>
            <w:rPr>
              <w:rFonts w:hint="eastAsia" w:ascii="楷体_GB2312" w:hAnsi="楷体_GB2312" w:eastAsia="仿宋_GB2312" w:cs="楷体_GB2312"/>
              <w:sz w:val="32"/>
            </w:rPr>
            <w:fldChar w:fldCharType="end"/>
          </w:r>
          <w:r>
            <w:fldChar w:fldCharType="begin"/>
          </w:r>
          <w:r>
            <w:instrText xml:space="preserve"> HYPERLINK \l "_Toc27361_WPSOffice_Level2" </w:instrText>
          </w:r>
          <w:r>
            <w:fldChar w:fldCharType="separate"/>
          </w:r>
          <w:r>
            <w:rPr>
              <w:rFonts w:hint="eastAsia" w:ascii="楷体_GB2312" w:hAnsi="楷体_GB2312" w:eastAsia="仿宋_GB2312" w:cs="楷体_GB2312"/>
              <w:sz w:val="32"/>
            </w:rPr>
            <w:t>发展存在短板（存在的问题）</w:t>
          </w:r>
          <w:r>
            <w:rPr>
              <w:rFonts w:eastAsia="仿宋_GB2312"/>
              <w:sz w:val="32"/>
            </w:rPr>
            <w:tab/>
          </w:r>
          <w:r>
            <w:rPr>
              <w:rFonts w:hint="eastAsia" w:eastAsia="仿宋_GB2312"/>
              <w:sz w:val="32"/>
            </w:rPr>
            <w:t>3</w:t>
          </w:r>
          <w:r>
            <w:rPr>
              <w:rFonts w:hint="eastAsia" w:eastAsia="仿宋_GB2312"/>
              <w:sz w:val="32"/>
            </w:rPr>
            <w:fldChar w:fldCharType="end"/>
          </w:r>
        </w:p>
        <w:p>
          <w:pPr>
            <w:pStyle w:val="8"/>
            <w:tabs>
              <w:tab w:val="right" w:leader="dot" w:pos="8845"/>
            </w:tabs>
            <w:rPr>
              <w:rFonts w:eastAsia="仿宋_GB2312"/>
              <w:sz w:val="32"/>
            </w:rPr>
          </w:pPr>
          <w:r>
            <w:fldChar w:fldCharType="begin"/>
          </w:r>
          <w:r>
            <w:instrText xml:space="preserve"> HYPERLINK \l "_Toc10477_WPSOffice_Level1" </w:instrText>
          </w:r>
          <w:r>
            <w:fldChar w:fldCharType="separate"/>
          </w:r>
          <w:r>
            <w:rPr>
              <w:rFonts w:hint="eastAsia" w:ascii="黑体" w:hAnsi="黑体" w:eastAsia="仿宋_GB2312" w:cs="黑体"/>
              <w:sz w:val="32"/>
            </w:rPr>
            <w:t>二、“十四五”发展规划</w:t>
          </w:r>
          <w:r>
            <w:rPr>
              <w:rFonts w:eastAsia="仿宋_GB2312"/>
              <w:sz w:val="32"/>
            </w:rPr>
            <w:tab/>
          </w:r>
          <w:r>
            <w:rPr>
              <w:rFonts w:hint="eastAsia" w:eastAsia="仿宋_GB2312"/>
              <w:sz w:val="32"/>
            </w:rPr>
            <w:t>4</w:t>
          </w:r>
          <w:r>
            <w:rPr>
              <w:rFonts w:hint="eastAsia" w:eastAsia="仿宋_GB2312"/>
              <w:sz w:val="32"/>
            </w:rPr>
            <w:fldChar w:fldCharType="end"/>
          </w:r>
        </w:p>
        <w:p>
          <w:pPr>
            <w:pStyle w:val="9"/>
            <w:tabs>
              <w:tab w:val="right" w:leader="dot" w:pos="8845"/>
            </w:tabs>
            <w:ind w:left="420"/>
            <w:rPr>
              <w:rFonts w:eastAsia="仿宋_GB2312"/>
              <w:sz w:val="32"/>
            </w:rPr>
          </w:pPr>
          <w:r>
            <w:fldChar w:fldCharType="begin"/>
          </w:r>
          <w:r>
            <w:instrText xml:space="preserve"> HYPERLINK \l "_Toc24661_WPSOffice_Level2" </w:instrText>
          </w:r>
          <w:r>
            <w:fldChar w:fldCharType="separate"/>
          </w:r>
          <w:r>
            <w:rPr>
              <w:rFonts w:hint="eastAsia" w:ascii="楷体_GB2312" w:hAnsi="楷体_GB2312" w:eastAsia="仿宋_GB2312" w:cs="楷体_GB2312"/>
              <w:sz w:val="32"/>
            </w:rPr>
            <w:t>（一）指导思想</w:t>
          </w:r>
          <w:r>
            <w:rPr>
              <w:rFonts w:eastAsia="仿宋_GB2312"/>
              <w:sz w:val="32"/>
            </w:rPr>
            <w:tab/>
          </w:r>
          <w:r>
            <w:rPr>
              <w:rFonts w:hint="eastAsia" w:eastAsia="仿宋_GB2312"/>
              <w:sz w:val="32"/>
            </w:rPr>
            <w:t>5</w:t>
          </w:r>
          <w:r>
            <w:rPr>
              <w:rFonts w:hint="eastAsia" w:eastAsia="仿宋_GB2312"/>
              <w:sz w:val="32"/>
            </w:rPr>
            <w:fldChar w:fldCharType="end"/>
          </w:r>
        </w:p>
        <w:p>
          <w:pPr>
            <w:pStyle w:val="9"/>
            <w:tabs>
              <w:tab w:val="right" w:leader="dot" w:pos="8845"/>
            </w:tabs>
            <w:ind w:left="420"/>
            <w:rPr>
              <w:rFonts w:eastAsia="仿宋_GB2312"/>
              <w:sz w:val="32"/>
            </w:rPr>
          </w:pPr>
          <w:r>
            <w:fldChar w:fldCharType="begin"/>
          </w:r>
          <w:r>
            <w:instrText xml:space="preserve"> HYPERLINK \l "_Toc2685_WPSOffice_Level2" </w:instrText>
          </w:r>
          <w:r>
            <w:fldChar w:fldCharType="separate"/>
          </w:r>
          <w:r>
            <w:rPr>
              <w:rFonts w:hint="eastAsia" w:ascii="楷体_GB2312" w:hAnsi="楷体_GB2312" w:eastAsia="仿宋_GB2312" w:cs="楷体_GB2312"/>
              <w:sz w:val="32"/>
            </w:rPr>
            <w:t>（二）发展目标</w:t>
          </w:r>
          <w:r>
            <w:rPr>
              <w:rFonts w:eastAsia="仿宋_GB2312"/>
              <w:sz w:val="32"/>
            </w:rPr>
            <w:tab/>
          </w:r>
          <w:r>
            <w:rPr>
              <w:rFonts w:hint="eastAsia" w:eastAsia="仿宋_GB2312"/>
              <w:sz w:val="32"/>
            </w:rPr>
            <w:t>5</w:t>
          </w:r>
          <w:r>
            <w:rPr>
              <w:rFonts w:hint="eastAsia" w:eastAsia="仿宋_GB2312"/>
              <w:sz w:val="32"/>
            </w:rPr>
            <w:fldChar w:fldCharType="end"/>
          </w:r>
        </w:p>
        <w:p>
          <w:pPr>
            <w:pStyle w:val="9"/>
            <w:tabs>
              <w:tab w:val="right" w:leader="dot" w:pos="8845"/>
            </w:tabs>
            <w:ind w:left="420"/>
            <w:rPr>
              <w:rFonts w:eastAsia="仿宋_GB2312"/>
              <w:sz w:val="32"/>
            </w:rPr>
          </w:pPr>
          <w:r>
            <w:fldChar w:fldCharType="begin"/>
          </w:r>
          <w:r>
            <w:instrText xml:space="preserve"> HYPERLINK \l "_Toc6445_WPSOffice_Level2" </w:instrText>
          </w:r>
          <w:r>
            <w:fldChar w:fldCharType="separate"/>
          </w:r>
          <w:r>
            <w:rPr>
              <w:rFonts w:hint="eastAsia" w:ascii="楷体_GB2312" w:hAnsi="楷体_GB2312" w:eastAsia="仿宋_GB2312" w:cs="楷体_GB2312"/>
              <w:sz w:val="32"/>
            </w:rPr>
            <w:t>（三）重点任务</w:t>
          </w:r>
          <w:r>
            <w:rPr>
              <w:rFonts w:eastAsia="仿宋_GB2312"/>
              <w:sz w:val="32"/>
            </w:rPr>
            <w:tab/>
          </w:r>
          <w:r>
            <w:rPr>
              <w:rFonts w:hint="eastAsia" w:eastAsia="仿宋_GB2312"/>
              <w:sz w:val="32"/>
            </w:rPr>
            <w:t>6</w:t>
          </w:r>
          <w:r>
            <w:rPr>
              <w:rFonts w:hint="eastAsia" w:eastAsia="仿宋_GB2312"/>
              <w:sz w:val="32"/>
            </w:rPr>
            <w:fldChar w:fldCharType="end"/>
          </w:r>
        </w:p>
        <w:p>
          <w:pPr>
            <w:pStyle w:val="10"/>
            <w:tabs>
              <w:tab w:val="right" w:leader="dot" w:pos="8845"/>
            </w:tabs>
            <w:ind w:left="840"/>
            <w:rPr>
              <w:rFonts w:eastAsia="仿宋_GB2312"/>
              <w:sz w:val="32"/>
            </w:rPr>
          </w:pPr>
          <w:r>
            <w:fldChar w:fldCharType="begin"/>
          </w:r>
          <w:r>
            <w:instrText xml:space="preserve"> HYPERLINK \l "_Toc4286_WPSOffice_Level3" </w:instrText>
          </w:r>
          <w:r>
            <w:fldChar w:fldCharType="separate"/>
          </w:r>
          <w:r>
            <w:rPr>
              <w:rFonts w:hint="eastAsia" w:ascii="仿宋_GB2312" w:hAnsi="仿宋_GB2312" w:eastAsia="仿宋_GB2312" w:cs="仿宋_GB2312"/>
              <w:sz w:val="32"/>
            </w:rPr>
            <w:t>1. 放管服方面</w:t>
          </w:r>
          <w:r>
            <w:rPr>
              <w:rFonts w:eastAsia="仿宋_GB2312"/>
              <w:sz w:val="32"/>
            </w:rPr>
            <w:tab/>
          </w:r>
          <w:r>
            <w:rPr>
              <w:rFonts w:hint="eastAsia" w:eastAsia="仿宋_GB2312"/>
              <w:sz w:val="32"/>
            </w:rPr>
            <w:t>6</w:t>
          </w:r>
          <w:r>
            <w:rPr>
              <w:rFonts w:hint="eastAsia" w:eastAsia="仿宋_GB2312"/>
              <w:sz w:val="32"/>
            </w:rPr>
            <w:fldChar w:fldCharType="end"/>
          </w:r>
        </w:p>
        <w:p>
          <w:pPr>
            <w:pStyle w:val="10"/>
            <w:tabs>
              <w:tab w:val="right" w:leader="dot" w:pos="8845"/>
            </w:tabs>
            <w:ind w:left="840"/>
            <w:rPr>
              <w:rFonts w:eastAsia="仿宋_GB2312"/>
              <w:sz w:val="32"/>
            </w:rPr>
          </w:pPr>
          <w:r>
            <w:fldChar w:fldCharType="begin"/>
          </w:r>
          <w:r>
            <w:instrText xml:space="preserve"> HYPERLINK \l "_Toc10477_WPSOffice_Level3" </w:instrText>
          </w:r>
          <w:r>
            <w:fldChar w:fldCharType="separate"/>
          </w:r>
          <w:r>
            <w:rPr>
              <w:rFonts w:ascii="仿宋_GB2312" w:hAnsi="仿宋_GB2312" w:eastAsia="仿宋_GB2312" w:cs="仿宋_GB2312"/>
              <w:sz w:val="32"/>
            </w:rPr>
            <w:t xml:space="preserve">2. </w:t>
          </w:r>
          <w:r>
            <w:rPr>
              <w:rFonts w:hint="eastAsia" w:ascii="仿宋_GB2312" w:hAnsi="仿宋_GB2312" w:eastAsia="仿宋_GB2312" w:cs="仿宋_GB2312"/>
              <w:sz w:val="32"/>
            </w:rPr>
            <w:t>体系建设方面</w:t>
          </w:r>
          <w:r>
            <w:rPr>
              <w:rFonts w:eastAsia="仿宋_GB2312"/>
              <w:sz w:val="32"/>
            </w:rPr>
            <w:tab/>
          </w:r>
          <w:r>
            <w:rPr>
              <w:rFonts w:hint="eastAsia" w:eastAsia="仿宋_GB2312"/>
              <w:sz w:val="32"/>
            </w:rPr>
            <w:t>8</w:t>
          </w:r>
          <w:r>
            <w:rPr>
              <w:rFonts w:hint="eastAsia" w:eastAsia="仿宋_GB2312"/>
              <w:sz w:val="32"/>
            </w:rPr>
            <w:fldChar w:fldCharType="end"/>
          </w:r>
        </w:p>
        <w:p>
          <w:pPr>
            <w:pStyle w:val="10"/>
            <w:tabs>
              <w:tab w:val="right" w:leader="dot" w:pos="8845"/>
            </w:tabs>
            <w:ind w:left="840"/>
          </w:pPr>
          <w:r>
            <w:fldChar w:fldCharType="begin"/>
          </w:r>
          <w:r>
            <w:instrText xml:space="preserve"> HYPERLINK \l "_Toc22936_WPSOffice_Level3" </w:instrText>
          </w:r>
          <w:r>
            <w:fldChar w:fldCharType="separate"/>
          </w:r>
          <w:r>
            <w:rPr>
              <w:rFonts w:hint="eastAsia" w:ascii="仿宋_GB2312" w:hAnsi="仿宋_GB2312" w:eastAsia="仿宋_GB2312" w:cs="仿宋_GB2312"/>
              <w:sz w:val="32"/>
            </w:rPr>
            <w:t>专栏一  放管服方面实施的重点项目</w:t>
          </w:r>
          <w:r>
            <w:rPr>
              <w:rFonts w:eastAsia="仿宋_GB2312"/>
              <w:sz w:val="32"/>
            </w:rPr>
            <w:tab/>
          </w:r>
          <w:r>
            <w:rPr>
              <w:rFonts w:hint="eastAsia" w:eastAsia="仿宋_GB2312"/>
              <w:sz w:val="32"/>
            </w:rPr>
            <w:t>9</w:t>
          </w:r>
          <w:r>
            <w:rPr>
              <w:rFonts w:hint="eastAsia" w:eastAsia="仿宋_GB2312"/>
              <w:sz w:val="32"/>
            </w:rPr>
            <w:fldChar w:fldCharType="end"/>
          </w:r>
        </w:p>
        <w:bookmarkEnd w:id="0"/>
        <w:p>
          <w:pPr>
            <w:pStyle w:val="9"/>
            <w:tabs>
              <w:tab w:val="right" w:leader="dot" w:pos="8845"/>
            </w:tabs>
            <w:ind w:left="420"/>
            <w:rPr>
              <w:rFonts w:eastAsia="仿宋_GB2312"/>
              <w:sz w:val="32"/>
            </w:rPr>
          </w:pPr>
          <w:r>
            <w:rPr>
              <w:rFonts w:eastAsia="仿宋_GB2312"/>
              <w:sz w:val="32"/>
            </w:rPr>
            <w:fldChar w:fldCharType="begin"/>
          </w:r>
          <w:r>
            <w:rPr>
              <w:rFonts w:eastAsia="仿宋_GB2312"/>
              <w:sz w:val="32"/>
            </w:rPr>
            <w:instrText xml:space="preserve"> HYPERLINK \l _Toc32667_WPSOffice_Level2 </w:instrText>
          </w:r>
          <w:r>
            <w:rPr>
              <w:rFonts w:eastAsia="仿宋_GB2312"/>
              <w:sz w:val="32"/>
            </w:rPr>
            <w:fldChar w:fldCharType="separate"/>
          </w:r>
          <w:r>
            <w:rPr>
              <w:rFonts w:hint="eastAsia" w:ascii="楷体_GB2312" w:hAnsi="楷体_GB2312" w:eastAsia="仿宋_GB2312" w:cs="楷体_GB2312"/>
              <w:sz w:val="32"/>
            </w:rPr>
            <w:t>（四）保障措施</w:t>
          </w:r>
          <w:r>
            <w:rPr>
              <w:rFonts w:eastAsia="仿宋_GB2312"/>
              <w:sz w:val="32"/>
            </w:rPr>
            <w:tab/>
          </w:r>
          <w:r>
            <w:rPr>
              <w:rFonts w:hint="eastAsia" w:eastAsia="仿宋_GB2312"/>
              <w:sz w:val="32"/>
            </w:rPr>
            <w:t>10</w:t>
          </w:r>
          <w:r>
            <w:rPr>
              <w:rFonts w:eastAsia="仿宋_GB2312"/>
              <w:sz w:val="32"/>
            </w:rPr>
            <w:fldChar w:fldCharType="end"/>
          </w:r>
        </w:p>
        <w:p>
          <w:pPr>
            <w:pStyle w:val="10"/>
            <w:tabs>
              <w:tab w:val="right" w:leader="dot" w:pos="8845"/>
            </w:tabs>
            <w:ind w:left="840"/>
            <w:rPr>
              <w:rFonts w:eastAsia="仿宋_GB2312"/>
              <w:sz w:val="32"/>
            </w:rPr>
          </w:pPr>
          <w:r>
            <w:fldChar w:fldCharType="begin"/>
          </w:r>
          <w:r>
            <w:instrText xml:space="preserve"> HYPERLINK \l "_Toc27361_WPSOffice_Level3" </w:instrText>
          </w:r>
          <w:r>
            <w:fldChar w:fldCharType="separate"/>
          </w:r>
          <w:r>
            <w:rPr>
              <w:rFonts w:hint="eastAsia" w:ascii="仿宋_GB2312" w:hAnsi="仿宋_GB2312" w:eastAsia="仿宋_GB2312" w:cs="仿宋_GB2312"/>
              <w:sz w:val="32"/>
            </w:rPr>
            <w:t>1. 提升营商环境</w:t>
          </w:r>
          <w:r>
            <w:rPr>
              <w:rFonts w:eastAsia="仿宋_GB2312"/>
              <w:sz w:val="32"/>
            </w:rPr>
            <w:tab/>
          </w:r>
          <w:r>
            <w:rPr>
              <w:rFonts w:hint="eastAsia" w:eastAsia="仿宋_GB2312"/>
              <w:sz w:val="32"/>
            </w:rPr>
            <w:t>10</w:t>
          </w:r>
          <w:r>
            <w:rPr>
              <w:rFonts w:hint="eastAsia" w:eastAsia="仿宋_GB2312"/>
              <w:sz w:val="32"/>
            </w:rPr>
            <w:fldChar w:fldCharType="end"/>
          </w:r>
        </w:p>
        <w:p>
          <w:pPr>
            <w:pStyle w:val="10"/>
            <w:tabs>
              <w:tab w:val="right" w:leader="dot" w:pos="8845"/>
            </w:tabs>
            <w:ind w:left="840"/>
            <w:rPr>
              <w:rFonts w:eastAsia="仿宋_GB2312"/>
              <w:sz w:val="32"/>
            </w:rPr>
          </w:pPr>
          <w:r>
            <w:fldChar w:fldCharType="begin"/>
          </w:r>
          <w:r>
            <w:instrText xml:space="preserve"> HYPERLINK \l "_Toc24661_WPSOffice_Level3" </w:instrText>
          </w:r>
          <w:r>
            <w:fldChar w:fldCharType="separate"/>
          </w:r>
          <w:r>
            <w:rPr>
              <w:rFonts w:hint="eastAsia" w:ascii="仿宋_GB2312" w:hAnsi="仿宋_GB2312" w:eastAsia="仿宋_GB2312" w:cs="仿宋_GB2312"/>
              <w:sz w:val="32"/>
            </w:rPr>
            <w:t>2. 创新服务手段</w:t>
          </w:r>
          <w:r>
            <w:rPr>
              <w:rFonts w:eastAsia="仿宋_GB2312"/>
              <w:sz w:val="32"/>
            </w:rPr>
            <w:tab/>
          </w:r>
          <w:r>
            <w:rPr>
              <w:rFonts w:hint="eastAsia" w:eastAsia="仿宋_GB2312"/>
              <w:sz w:val="32"/>
            </w:rPr>
            <w:t>10</w:t>
          </w:r>
          <w:r>
            <w:rPr>
              <w:rFonts w:hint="eastAsia" w:eastAsia="仿宋_GB2312"/>
              <w:sz w:val="32"/>
            </w:rPr>
            <w:fldChar w:fldCharType="end"/>
          </w:r>
        </w:p>
        <w:p>
          <w:pPr>
            <w:pStyle w:val="10"/>
            <w:tabs>
              <w:tab w:val="right" w:leader="dot" w:pos="8845"/>
            </w:tabs>
            <w:ind w:left="840"/>
            <w:rPr>
              <w:rFonts w:eastAsia="仿宋_GB2312"/>
              <w:sz w:val="32"/>
            </w:rPr>
          </w:pPr>
          <w:r>
            <w:fldChar w:fldCharType="begin"/>
          </w:r>
          <w:r>
            <w:instrText xml:space="preserve"> HYPERLINK \l "_Toc2685_WPSOffice_Level3" </w:instrText>
          </w:r>
          <w:r>
            <w:fldChar w:fldCharType="separate"/>
          </w:r>
          <w:r>
            <w:rPr>
              <w:rFonts w:hint="eastAsia" w:ascii="仿宋_GB2312" w:hAnsi="仿宋_GB2312" w:eastAsia="仿宋_GB2312" w:cs="仿宋_GB2312"/>
              <w:sz w:val="32"/>
            </w:rPr>
            <w:t>3. 强化服务</w:t>
          </w:r>
          <w:r>
            <w:rPr>
              <w:rFonts w:eastAsia="仿宋_GB2312"/>
              <w:sz w:val="32"/>
            </w:rPr>
            <w:tab/>
          </w:r>
          <w:r>
            <w:rPr>
              <w:rFonts w:hint="eastAsia" w:eastAsia="仿宋_GB2312"/>
              <w:sz w:val="32"/>
            </w:rPr>
            <w:t>10</w:t>
          </w:r>
          <w:r>
            <w:rPr>
              <w:rFonts w:hint="eastAsia" w:eastAsia="仿宋_GB2312"/>
              <w:sz w:val="32"/>
            </w:rPr>
            <w:fldChar w:fldCharType="end"/>
          </w:r>
        </w:p>
        <w:p>
          <w:pPr>
            <w:pStyle w:val="10"/>
            <w:tabs>
              <w:tab w:val="right" w:leader="dot" w:pos="8845"/>
            </w:tabs>
            <w:ind w:left="840"/>
          </w:pPr>
          <w:r>
            <w:fldChar w:fldCharType="begin"/>
          </w:r>
          <w:r>
            <w:instrText xml:space="preserve"> HYPERLINK \l "_Toc6445_WPSOffice_Level3" </w:instrText>
          </w:r>
          <w:r>
            <w:fldChar w:fldCharType="separate"/>
          </w:r>
          <w:r>
            <w:rPr>
              <w:rFonts w:hint="eastAsia" w:ascii="仿宋_GB2312" w:hAnsi="仿宋_GB2312" w:eastAsia="仿宋_GB2312" w:cs="仿宋_GB2312"/>
              <w:sz w:val="32"/>
            </w:rPr>
            <w:t>4. 抓实营商环境建设</w:t>
          </w:r>
          <w:r>
            <w:rPr>
              <w:rFonts w:eastAsia="仿宋_GB2312"/>
              <w:sz w:val="32"/>
            </w:rPr>
            <w:tab/>
          </w:r>
          <w:r>
            <w:rPr>
              <w:rFonts w:hint="eastAsia" w:eastAsia="仿宋_GB2312"/>
              <w:sz w:val="32"/>
            </w:rPr>
            <w:t>10</w:t>
          </w:r>
          <w:r>
            <w:rPr>
              <w:rFonts w:hint="eastAsia" w:eastAsia="仿宋_GB2312"/>
              <w:sz w:val="32"/>
            </w:rPr>
            <w:fldChar w:fldCharType="end"/>
          </w:r>
        </w:p>
      </w:sdtContent>
    </w:sdt>
    <w:p>
      <w:pPr>
        <w:jc w:val="center"/>
        <w:rPr>
          <w:rFonts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upperRoman" w:start="1"/>
          <w:cols w:space="425" w:num="1"/>
          <w:docGrid w:type="lines" w:linePitch="312" w:charSpace="0"/>
        </w:sectPr>
      </w:pPr>
    </w:p>
    <w:p>
      <w:pPr>
        <w:jc w:val="center"/>
        <w:rPr>
          <w:rFonts w:ascii="方正小标宋简体" w:hAnsi="方正小标宋简体" w:eastAsia="方正小标宋简体" w:cs="方正小标宋简体"/>
          <w:sz w:val="44"/>
          <w:szCs w:val="44"/>
        </w:rPr>
      </w:pPr>
      <w:bookmarkStart w:id="4" w:name="_Toc32606_WPSOffice_Level1"/>
      <w:r>
        <w:rPr>
          <w:rFonts w:hint="eastAsia" w:ascii="方正小标宋简体" w:hAnsi="方正小标宋简体" w:eastAsia="方正小标宋简体" w:cs="方正小标宋简体"/>
          <w:sz w:val="44"/>
          <w:szCs w:val="44"/>
        </w:rPr>
        <w:t>“十四五”营商环境建设规划</w:t>
      </w:r>
      <w:bookmarkEnd w:id="4"/>
    </w:p>
    <w:p>
      <w:pPr>
        <w:spacing w:line="600" w:lineRule="exact"/>
        <w:ind w:firstLine="640" w:firstLineChars="200"/>
        <w:rPr>
          <w:rFonts w:ascii="仿宋_GB2312" w:hAnsi="仿宋_GB2312" w:eastAsia="仿宋_GB2312" w:cs="仿宋_GB2312"/>
          <w:sz w:val="32"/>
          <w:szCs w:val="32"/>
        </w:rPr>
      </w:pPr>
      <w:bookmarkStart w:id="5" w:name="_Toc4286_WPSOffice_Level1"/>
      <w:r>
        <w:rPr>
          <w:rFonts w:hint="eastAsia" w:ascii="仿宋_GB2312" w:hAnsi="仿宋_GB2312" w:eastAsia="仿宋_GB2312" w:cs="仿宋_GB2312"/>
          <w:sz w:val="32"/>
          <w:szCs w:val="32"/>
        </w:rPr>
        <w:t>贯彻落实</w:t>
      </w:r>
      <w:r>
        <w:rPr>
          <w:rFonts w:ascii="仿宋_GB2312" w:hAnsi="仿宋_GB2312" w:eastAsia="仿宋_GB2312" w:cs="仿宋_GB2312"/>
          <w:sz w:val="32"/>
          <w:szCs w:val="32"/>
        </w:rPr>
        <w:t>党中央、国务院关于优化营商环境改革相关决策部署</w:t>
      </w:r>
      <w:r>
        <w:rPr>
          <w:rFonts w:hint="eastAsia" w:ascii="仿宋_GB2312" w:hAnsi="仿宋_GB2312" w:eastAsia="仿宋_GB2312" w:cs="仿宋_GB2312"/>
          <w:sz w:val="32"/>
          <w:szCs w:val="32"/>
        </w:rPr>
        <w:t>，为更好形成法治化、便利化营商环境，按照绥滨县《“十四五”规划编制工作方案》要求，特编制此方案。</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一、“十三五”回顾（发展现实基础）</w:t>
      </w:r>
      <w:bookmarkEnd w:id="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“十三五”期间，绥滨县认真贯彻落实习近平总书记新时代新思想，围绕</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关于营商环境的重要讲话精神，在县委、县政府的关心下，以优化营商环境推进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放管服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改革为目标，大力推进一门一网一次改革，广泛深入开展便民利企活动，加快营商事业发展，逐步满足绥滨人民的办事需求。</w:t>
      </w:r>
    </w:p>
    <w:p>
      <w:pPr>
        <w:numPr>
          <w:ilvl w:val="0"/>
          <w:numId w:val="1"/>
        </w:numPr>
        <w:spacing w:line="600" w:lineRule="exact"/>
        <w:ind w:firstLine="640" w:firstLineChars="200"/>
        <w:outlineLvl w:val="1"/>
        <w:rPr>
          <w:rFonts w:ascii="楷体_GB2312" w:hAnsi="楷体_GB2312" w:eastAsia="楷体_GB2312" w:cs="楷体_GB2312"/>
          <w:sz w:val="32"/>
          <w:szCs w:val="32"/>
        </w:rPr>
      </w:pPr>
      <w:bookmarkStart w:id="6" w:name="_Toc4286_WPSOffice_Level2"/>
      <w:r>
        <w:rPr>
          <w:rFonts w:hint="eastAsia" w:ascii="楷体_GB2312" w:hAnsi="楷体_GB2312" w:eastAsia="楷体_GB2312" w:cs="楷体_GB2312"/>
          <w:sz w:val="32"/>
          <w:szCs w:val="32"/>
        </w:rPr>
        <w:t>行业总体发展情况</w:t>
      </w:r>
      <w:bookmarkEnd w:id="6"/>
      <w:bookmarkStart w:id="16" w:name="_GoBack"/>
      <w:bookmarkEnd w:id="16"/>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优化营商环境，推动县域经济高质量发展，按照中央、省、市关于优化提升营商环境的一系列重要决策部署要求，绥滨县以“放管服”改革为抓手，推动资源配置和企业行为的市场化，强化事中事后监管，不断提升政务服务能力和服务水平，推动营商环境持续改善，市场活力和社会创造力得以有效激发，高质量发展的内生动力不断增强。</w:t>
      </w:r>
    </w:p>
    <w:p>
      <w:pPr>
        <w:numPr>
          <w:ilvl w:val="0"/>
          <w:numId w:val="1"/>
        </w:numPr>
        <w:spacing w:line="600" w:lineRule="exact"/>
        <w:ind w:firstLine="640" w:firstLineChars="200"/>
        <w:outlineLvl w:val="1"/>
        <w:rPr>
          <w:rFonts w:ascii="楷体_GB2312" w:hAnsi="楷体_GB2312" w:eastAsia="楷体_GB2312" w:cs="楷体_GB2312"/>
          <w:sz w:val="32"/>
          <w:szCs w:val="32"/>
        </w:rPr>
      </w:pPr>
      <w:bookmarkStart w:id="7" w:name="_Toc10477_WPSOffice_Level2"/>
      <w:r>
        <w:rPr>
          <w:rFonts w:hint="eastAsia" w:ascii="楷体_GB2312" w:hAnsi="楷体_GB2312" w:eastAsia="楷体_GB2312" w:cs="楷体_GB2312"/>
          <w:sz w:val="32"/>
          <w:szCs w:val="32"/>
        </w:rPr>
        <w:t>各方面工作推进情况</w:t>
      </w:r>
      <w:bookmarkEnd w:id="7"/>
    </w:p>
    <w:p>
      <w:pPr>
        <w:spacing w:line="560" w:lineRule="exact"/>
        <w:ind w:firstLine="640" w:firstLineChars="200"/>
        <w:rPr>
          <w:rFonts w:ascii="仿宋_GB2312" w:hAnsi="Calibri" w:eastAsia="仿宋_GB2312" w:cs="Times New Roman"/>
          <w:sz w:val="32"/>
          <w:szCs w:val="32"/>
        </w:rPr>
      </w:pPr>
      <w:r>
        <w:rPr>
          <w:rFonts w:hint="eastAsia" w:ascii="楷体_GB2312" w:eastAsia="楷体_GB2312"/>
          <w:sz w:val="32"/>
          <w:szCs w:val="32"/>
        </w:rPr>
        <w:t>1.</w:t>
      </w:r>
      <w:r>
        <w:rPr>
          <w:rFonts w:hint="eastAsia" w:ascii="楷体_GB2312" w:hAnsi="Calibri" w:eastAsia="楷体_GB2312" w:cs="Times New Roman"/>
          <w:sz w:val="32"/>
          <w:szCs w:val="32"/>
        </w:rPr>
        <w:t>深化“放管服”改革，切实提升服务效率</w:t>
      </w:r>
      <w:r>
        <w:rPr>
          <w:rFonts w:hint="eastAsia" w:ascii="楷体_GB2312" w:hAnsi="Calibri" w:eastAsia="楷体_GB2312" w:cs="Times New Roman"/>
          <w:b/>
          <w:sz w:val="32"/>
          <w:szCs w:val="32"/>
        </w:rPr>
        <w:t>。</w:t>
      </w:r>
      <w:r>
        <w:rPr>
          <w:rFonts w:hint="eastAsia" w:ascii="仿宋_GB2312" w:hAnsi="Calibri" w:eastAsia="仿宋_GB2312" w:cs="Times New Roman"/>
          <w:b/>
          <w:sz w:val="32"/>
          <w:szCs w:val="32"/>
        </w:rPr>
        <w:t>一是打造互联网+政务平台建设。</w:t>
      </w:r>
      <w:r>
        <w:rPr>
          <w:rFonts w:hint="eastAsia" w:ascii="仿宋_GB2312" w:hAnsi="Calibri" w:eastAsia="仿宋_GB2312" w:cs="Times New Roman"/>
          <w:sz w:val="32"/>
          <w:szCs w:val="32"/>
        </w:rPr>
        <w:t>组织全县26家单位120余人次先后进行政务事项录入培训、政务服务数据需求梳理工作培训、政务服务一体化平台应用培训，切实为企业和群众提供全流程一体化在线服务，累计办结事项951项。</w:t>
      </w:r>
      <w:r>
        <w:rPr>
          <w:rFonts w:hint="eastAsia" w:ascii="仿宋_GB2312" w:hAnsi="Calibri" w:eastAsia="仿宋_GB2312" w:cs="Times New Roman"/>
          <w:b/>
          <w:sz w:val="32"/>
          <w:szCs w:val="32"/>
        </w:rPr>
        <w:t>二是扎实推进“最多跑一次”。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梳理制定了全县“最多跑一次”事项目录，编制《办事样本》243本，列明各项业务办理所需申请材料745项，注明了常见问题298个，194个高频事项的“办事样本”实现了电子化。</w:t>
      </w:r>
      <w:r>
        <w:rPr>
          <w:rFonts w:hint="eastAsia" w:ascii="仿宋_GB2312" w:hAnsi="仿宋_GB2312" w:eastAsia="仿宋_GB2312" w:cs="仿宋_GB2312"/>
          <w:b/>
          <w:sz w:val="32"/>
          <w:szCs w:val="32"/>
        </w:rPr>
        <w:t>三是不断推进惠企政策落地。</w:t>
      </w:r>
      <w:r>
        <w:rPr>
          <w:rFonts w:hint="eastAsia" w:ascii="仿宋_GB2312" w:hAnsi="仿宋_GB2312" w:eastAsia="仿宋_GB2312" w:cs="仿宋_GB2312"/>
          <w:sz w:val="32"/>
          <w:szCs w:val="32"/>
        </w:rPr>
        <w:t>组织工信、财政、市监、商务等行业主管部门落实中小微企业保险减免、房租减免、申报保障性企业、“增量留抵”等各项优惠政策32项，共为全县各企业及市场主体减免电费、税费530.72万元，减免、返还社保类资金929.66万元，有效推进全县企业复工复产。</w:t>
      </w:r>
    </w:p>
    <w:p>
      <w:pPr>
        <w:spacing w:line="560" w:lineRule="exact"/>
        <w:ind w:firstLine="640" w:firstLineChars="200"/>
        <w:rPr>
          <w:rFonts w:ascii="仿宋_GB2312" w:hAnsi="Calibri" w:eastAsia="仿宋_GB2312" w:cs="Times New Roman"/>
          <w:sz w:val="32"/>
          <w:szCs w:val="32"/>
        </w:rPr>
      </w:pPr>
      <w:r>
        <w:rPr>
          <w:rFonts w:hint="eastAsia" w:ascii="楷体_GB2312" w:eastAsia="楷体_GB2312"/>
          <w:sz w:val="32"/>
          <w:szCs w:val="32"/>
        </w:rPr>
        <w:t>2.</w:t>
      </w:r>
      <w:r>
        <w:rPr>
          <w:rFonts w:hint="eastAsia" w:ascii="楷体_GB2312" w:hAnsi="Calibri" w:eastAsia="楷体_GB2312" w:cs="Times New Roman"/>
          <w:sz w:val="32"/>
          <w:szCs w:val="32"/>
        </w:rPr>
        <w:t>构建“亲、清”政商关系，营造良好营商环境。</w:t>
      </w:r>
      <w:r>
        <w:rPr>
          <w:rFonts w:hint="eastAsia" w:ascii="仿宋_GB2312" w:hAnsi="Calibri" w:eastAsia="仿宋_GB2312" w:cs="Times New Roman"/>
          <w:b/>
          <w:sz w:val="32"/>
          <w:szCs w:val="32"/>
        </w:rPr>
        <w:t>一是</w:t>
      </w:r>
      <w:r>
        <w:rPr>
          <w:rFonts w:hint="eastAsia" w:ascii="仿宋_GB2312" w:hAnsi="仿宋_GB2312" w:eastAsia="仿宋_GB2312" w:cs="仿宋_GB2312"/>
          <w:b/>
          <w:color w:val="000000"/>
          <w:sz w:val="32"/>
          <w:szCs w:val="32"/>
        </w:rPr>
        <w:t>开展了“千名干部下一线，百家单位学经验”活动。</w:t>
      </w:r>
      <w:r>
        <w:rPr>
          <w:rFonts w:hint="eastAsia" w:ascii="仿宋_GB2312" w:hAnsi="仿宋_GB2312" w:eastAsia="仿宋_GB2312" w:cs="仿宋_GB2312"/>
          <w:color w:val="000000"/>
          <w:sz w:val="32"/>
          <w:szCs w:val="32"/>
        </w:rPr>
        <w:t>县处级领导干部深入卡点检查指导工作30余次，带队深入企业，征求意见、研究办法、发放疫情防控宣传条幅3次，深入乡镇</w:t>
      </w:r>
      <w:r>
        <w:rPr>
          <w:rFonts w:ascii="仿宋_GB2312" w:hAnsi="仿宋_GB2312" w:eastAsia="仿宋_GB2312" w:cs="仿宋_GB2312"/>
          <w:color w:val="000000"/>
          <w:sz w:val="32"/>
          <w:szCs w:val="32"/>
        </w:rPr>
        <w:t>督导检查疫情防控和备春耕工作</w:t>
      </w:r>
      <w:r>
        <w:rPr>
          <w:rFonts w:hint="eastAsia" w:ascii="仿宋_GB2312" w:hAnsi="仿宋_GB2312" w:eastAsia="仿宋_GB2312" w:cs="仿宋_GB2312"/>
          <w:color w:val="000000"/>
          <w:sz w:val="32"/>
          <w:szCs w:val="32"/>
        </w:rPr>
        <w:t>9次。全县党员干部积极深入一线服务企业、群众286次、2500余人次，深入一线调研48次，到群众中征求意见47条，帮助群众解决困难、问题34个，形成工作思路、方法21个。</w:t>
      </w:r>
      <w:r>
        <w:rPr>
          <w:rFonts w:hint="eastAsia" w:ascii="仿宋_GB2312" w:hAnsi="仿宋_GB2312" w:eastAsia="仿宋_GB2312" w:cs="仿宋_GB2312"/>
          <w:b/>
          <w:color w:val="000000"/>
          <w:sz w:val="32"/>
          <w:szCs w:val="32"/>
        </w:rPr>
        <w:t>二是建立联席会议制度。</w:t>
      </w:r>
      <w:r>
        <w:rPr>
          <w:rFonts w:hint="eastAsia" w:ascii="仿宋_GB2312" w:hAnsi="Calibri" w:eastAsia="仿宋_GB2312" w:cs="Times New Roman"/>
          <w:sz w:val="32"/>
          <w:szCs w:val="32"/>
        </w:rPr>
        <w:t>通过深入基层企业调研走访、座谈访谈等方式了解我县政商关系交往现状、问题、制约因素，听取企业家对我县政商关系的看法和意见建议。</w:t>
      </w:r>
      <w:r>
        <w:rPr>
          <w:rFonts w:hint="eastAsia" w:ascii="仿宋_GB2312" w:hAnsi="Calibri" w:eastAsia="仿宋_GB2312" w:cs="Times New Roman"/>
          <w:b/>
          <w:bCs/>
          <w:sz w:val="32"/>
          <w:szCs w:val="32"/>
        </w:rPr>
        <w:t>三是成立解决企业诉求工作专班。</w:t>
      </w:r>
      <w:r>
        <w:rPr>
          <w:rFonts w:hint="eastAsia" w:ascii="仿宋_GB2312" w:hAnsi="Calibri" w:eastAsia="仿宋_GB2312" w:cs="Times New Roman"/>
          <w:sz w:val="32"/>
          <w:szCs w:val="32"/>
        </w:rPr>
        <w:t>为加速推动企业反映问题有效解决，县委县政府设立了由分管县级领导负责、主管县直部门牵头及相关县直部门配合的工作专班。主要围绕政府诚信、企业税费等方面解决企业的问题。</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3.</w:t>
      </w:r>
      <w:r>
        <w:rPr>
          <w:rFonts w:hint="eastAsia" w:ascii="楷体_GB2312" w:hAnsi="Calibri" w:eastAsia="楷体_GB2312" w:cs="Times New Roman"/>
          <w:sz w:val="32"/>
          <w:szCs w:val="32"/>
        </w:rPr>
        <w:t>强化软件建设，建强服务群众第一阵线。</w:t>
      </w:r>
      <w:r>
        <w:rPr>
          <w:rFonts w:hint="eastAsia" w:ascii="仿宋_GB2312" w:hAnsi="Calibri" w:eastAsia="仿宋_GB2312" w:cs="仿宋_GB2312"/>
          <w:b/>
          <w:bCs/>
          <w:sz w:val="32"/>
          <w:szCs w:val="32"/>
        </w:rPr>
        <w:t>一是</w:t>
      </w:r>
      <w:r>
        <w:rPr>
          <w:rFonts w:hint="eastAsia" w:ascii="仿宋_GB2312" w:hAnsi="Calibri" w:eastAsia="仿宋_GB2312" w:cs="Times New Roman"/>
          <w:b/>
          <w:color w:val="000000"/>
          <w:sz w:val="32"/>
          <w:szCs w:val="32"/>
          <w:shd w:val="clear" w:color="auto" w:fill="FFFFFF"/>
        </w:rPr>
        <w:t>创新推进科室负责人“走流程”。</w:t>
      </w:r>
      <w:r>
        <w:rPr>
          <w:rFonts w:hint="eastAsia" w:ascii="仿宋_GB2312" w:hAnsi="仿宋_GB2312" w:eastAsia="仿宋_GB2312" w:cs="仿宋_GB2312"/>
          <w:sz w:val="32"/>
          <w:szCs w:val="32"/>
        </w:rPr>
        <w:t>在常态开展领导干部“走流程”的基础上，下发了《关于进一步做好科室负责人“走流程”工作的通知》，11个单位32人次进行了“走流程”工作，发现问题9项，均已整改完成。二</w:t>
      </w:r>
      <w:r>
        <w:rPr>
          <w:rFonts w:hint="eastAsia" w:ascii="仿宋_GB2312" w:hAnsi="仿宋_GB2312" w:eastAsia="仿宋_GB2312" w:cs="仿宋_GB2312"/>
          <w:b/>
          <w:bCs/>
          <w:color w:val="000000"/>
          <w:sz w:val="32"/>
          <w:szCs w:val="32"/>
        </w:rPr>
        <w:t>是严肃监督问责。</w:t>
      </w:r>
      <w:r>
        <w:rPr>
          <w:rFonts w:hint="eastAsia" w:ascii="仿宋_GB2312" w:hAnsi="仿宋_GB2312" w:eastAsia="仿宋_GB2312" w:cs="仿宋_GB2312"/>
          <w:color w:val="000000"/>
          <w:sz w:val="32"/>
          <w:szCs w:val="32"/>
        </w:rPr>
        <w:t>对机关事业单位工作人员纪律作风等方面开展监督6次，发现窗口工作人员迟到、管理不规范等问题14个，提出整改建议2条。定期对9个乡镇、56个部门责任落实、纪律作风等开展了常态化定点监督检查。</w:t>
      </w:r>
      <w:r>
        <w:rPr>
          <w:rFonts w:hint="eastAsia" w:ascii="仿宋_GB2312" w:hAnsi="仿宋_GB2312" w:eastAsia="仿宋_GB2312" w:cs="仿宋_GB2312"/>
          <w:b/>
          <w:color w:val="000000"/>
          <w:sz w:val="32"/>
          <w:szCs w:val="32"/>
        </w:rPr>
        <w:t>三是</w:t>
      </w:r>
      <w:r>
        <w:rPr>
          <w:rFonts w:hint="eastAsia" w:ascii="仿宋_GB2312" w:hAnsi="仿宋_GB2312" w:eastAsia="仿宋_GB2312" w:cs="仿宋_GB2312"/>
          <w:b/>
          <w:bCs/>
          <w:kern w:val="0"/>
          <w:sz w:val="32"/>
          <w:szCs w:val="32"/>
        </w:rPr>
        <w:t>下大力度整治</w:t>
      </w:r>
      <w:r>
        <w:rPr>
          <w:rFonts w:hint="eastAsia" w:ascii="仿宋_GB2312" w:hAnsi="仿宋_GB2312" w:eastAsia="仿宋_GB2312" w:cs="仿宋_GB2312"/>
          <w:b/>
          <w:bCs/>
          <w:sz w:val="32"/>
          <w:szCs w:val="32"/>
        </w:rPr>
        <w:t>“新官不理旧账”。</w:t>
      </w:r>
      <w:r>
        <w:rPr>
          <w:rFonts w:hint="eastAsia" w:ascii="仿宋_GB2312" w:hAnsi="仿宋_GB2312" w:eastAsia="仿宋_GB2312" w:cs="仿宋_GB2312"/>
          <w:sz w:val="32"/>
          <w:szCs w:val="32"/>
        </w:rPr>
        <w:t>分管县领导组织召开清赖行动、企业投诉、企业座谈现场协调会20余次，走访企业、乡村开展下基层调研20余次，我县所涉政府和部门失信违诺事项，清理整治完成比例达100％，县体育运动中心、交通运输局已于2019年12月末前实现全部清偿。全面推行“双随机、一公开”监管。建立健全“双随机、一公开”机制，全县各部门共组织实施双随机抽查3次，抽查各类主体36户（次）。</w:t>
      </w:r>
    </w:p>
    <w:p>
      <w:pPr>
        <w:spacing w:line="600" w:lineRule="exact"/>
        <w:ind w:firstLine="640" w:firstLineChars="200"/>
        <w:outlineLvl w:val="1"/>
        <w:rPr>
          <w:rFonts w:ascii="楷体_GB2312" w:hAnsi="楷体_GB2312" w:eastAsia="楷体_GB2312" w:cs="楷体_GB2312"/>
          <w:sz w:val="32"/>
          <w:szCs w:val="32"/>
        </w:rPr>
      </w:pPr>
      <w:bookmarkStart w:id="8" w:name="_Toc22936_WPSOffice_Level2"/>
      <w:r>
        <w:rPr>
          <w:rFonts w:hint="eastAsia" w:ascii="楷体_GB2312" w:hAnsi="楷体_GB2312" w:eastAsia="楷体_GB2312" w:cs="楷体_GB2312"/>
          <w:sz w:val="32"/>
          <w:szCs w:val="32"/>
        </w:rPr>
        <w:t>（三）</w:t>
      </w:r>
      <w:bookmarkEnd w:id="8"/>
      <w:bookmarkStart w:id="9" w:name="_Toc27361_WPSOffice_Level2"/>
      <w:r>
        <w:rPr>
          <w:rFonts w:hint="eastAsia" w:ascii="楷体_GB2312" w:hAnsi="楷体_GB2312" w:eastAsia="楷体_GB2312" w:cs="楷体_GB2312"/>
          <w:sz w:val="32"/>
          <w:szCs w:val="32"/>
        </w:rPr>
        <w:t>发展存在短板（存在的问题）</w:t>
      </w:r>
      <w:bookmarkEnd w:id="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民众获得感有待提升，制度供给与现实需要的匹配度不高</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制度的供给方式与民众的获取方式不匹配。例如，政策文件往往强调以“红头文件”形式下发，企业作为政府文件的使用者往往只能借助于互联网、“两微一端”等方式获取，且获取时间相对滞后；尽管政策也在小微企业名录、各部门网站、地方政务网等有所呈现，但政策的展示依然分散，政策信息的碎片化问题依然突出，政策的归集、链接等未能有效推进，这提高了政策的获取成本，不利于企业和民众对政策的使用。二是政策执行难和执行成本高。很多政策在执行中异化为“以文件执行文件”，地方对政策的理解存在偏差，缺乏独立的市场主体来统一协调和落实政策的实施，导致一些政策最终“留在案头、留在纸面、留在形式”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部分人员对营商环境建设的重视度不够，各级各部门协同有待进一步加强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些部门人员对于营商环境建设的重视度不够，未能从根本上意识到营商环境是提升地方投资吸引力、实现地方长期可持续发展的根本，未能意识到优化营商环境是持续优化政府服务的重要牵引力，对优化营商环境的系统性、复杂性、协同性认识不足，以致对推进营商环境改善工作的重视度不够，将营商环境建设工作作为营商部门等某个或者几个部门的工作，各部门在推进营商环境优化方面的协同合作力度不够。</w:t>
      </w:r>
    </w:p>
    <w:p>
      <w:pPr>
        <w:spacing w:line="600" w:lineRule="exact"/>
        <w:ind w:firstLine="640" w:firstLineChars="200"/>
        <w:outlineLvl w:val="0"/>
        <w:rPr>
          <w:rFonts w:ascii="黑体" w:hAnsi="黑体" w:eastAsia="黑体" w:cs="黑体"/>
          <w:sz w:val="32"/>
          <w:szCs w:val="32"/>
        </w:rPr>
      </w:pPr>
      <w:bookmarkStart w:id="10" w:name="_Toc10477_WPSOffice_Level1"/>
      <w:r>
        <w:rPr>
          <w:rFonts w:hint="eastAsia" w:ascii="黑体" w:hAnsi="黑体" w:eastAsia="黑体" w:cs="黑体"/>
          <w:sz w:val="32"/>
          <w:szCs w:val="32"/>
        </w:rPr>
        <w:t>二、“十四五”发展规划</w:t>
      </w:r>
      <w:bookmarkEnd w:id="10"/>
    </w:p>
    <w:p>
      <w:pPr>
        <w:spacing w:line="600" w:lineRule="exact"/>
        <w:ind w:firstLine="640" w:firstLineChars="200"/>
        <w:outlineLvl w:val="1"/>
        <w:rPr>
          <w:rFonts w:ascii="楷体_GB2312" w:hAnsi="楷体_GB2312" w:eastAsia="楷体_GB2312" w:cs="楷体_GB2312"/>
          <w:sz w:val="32"/>
          <w:szCs w:val="32"/>
        </w:rPr>
      </w:pPr>
      <w:bookmarkStart w:id="11" w:name="_Toc24661_WPSOffice_Level2"/>
      <w:r>
        <w:rPr>
          <w:rFonts w:hint="eastAsia" w:ascii="楷体_GB2312" w:hAnsi="楷体_GB2312" w:eastAsia="楷体_GB2312" w:cs="楷体_GB2312"/>
          <w:sz w:val="32"/>
          <w:szCs w:val="32"/>
        </w:rPr>
        <w:t>（一）指导思想</w:t>
      </w:r>
      <w:bookmarkEnd w:id="11"/>
    </w:p>
    <w:p>
      <w:pPr>
        <w:spacing w:line="600" w:lineRule="exact"/>
        <w:ind w:firstLine="640"/>
        <w:rPr>
          <w:rFonts w:ascii="仿宋_GB2312" w:hAnsi="仿宋_GB2312" w:eastAsia="仿宋_GB2312" w:cs="仿宋_GB2312"/>
          <w:sz w:val="32"/>
          <w:szCs w:val="32"/>
        </w:rPr>
      </w:pPr>
      <w:r>
        <w:rPr>
          <w:rFonts w:hint="eastAsia" w:ascii="仿宋_GB2312" w:hAnsi="仿宋" w:eastAsia="仿宋_GB2312" w:cs="仿宋"/>
          <w:sz w:val="32"/>
          <w:szCs w:val="32"/>
        </w:rPr>
        <w:t>深入学习贯彻习近平新时代中国特色社会主义思想和党的十九大、十九届四中全会精神和习近平总书记对黑龙江的重要批示批复暨重要讲话精神。不断优化全县营商环境，进一步深化“放管服”改革，着力构建“亲”“清”新型政商关系，加快实现行政审批（服务）“全流程信息共享、全审批开放透明、全天候主动服务”，推动县域经济高质量发展。</w:t>
      </w:r>
    </w:p>
    <w:p>
      <w:pPr>
        <w:spacing w:line="600" w:lineRule="exact"/>
        <w:ind w:firstLine="640" w:firstLineChars="200"/>
        <w:outlineLvl w:val="1"/>
        <w:rPr>
          <w:rFonts w:ascii="楷体_GB2312" w:hAnsi="楷体_GB2312" w:eastAsia="楷体_GB2312" w:cs="楷体_GB2312"/>
          <w:sz w:val="32"/>
          <w:szCs w:val="32"/>
        </w:rPr>
      </w:pPr>
      <w:bookmarkStart w:id="12" w:name="_Toc2685_WPSOffice_Level2"/>
      <w:r>
        <w:rPr>
          <w:rFonts w:hint="eastAsia" w:ascii="楷体_GB2312" w:hAnsi="楷体_GB2312" w:eastAsia="楷体_GB2312" w:cs="楷体_GB2312"/>
          <w:sz w:val="32"/>
          <w:szCs w:val="32"/>
        </w:rPr>
        <w:t>（二）发展目标</w:t>
      </w:r>
      <w:bookmarkEnd w:id="12"/>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1.以“互联网+政务服务”为关键抓手。</w:t>
      </w:r>
      <w:r>
        <w:rPr>
          <w:rFonts w:hint="eastAsia" w:ascii="仿宋_GB2312" w:hAnsi="仿宋" w:eastAsia="仿宋_GB2312" w:cs="仿宋"/>
          <w:sz w:val="32"/>
          <w:szCs w:val="32"/>
        </w:rPr>
        <w:t>着力破解“材料多、环节多、盖章多、收费多、时间长”问题，确保开办企业、不动产登记、办理施工许可、纳税、获得信贷、获得用水、获得用电、获得用气等事项办理时间比全省标准在压缩5-10%，网上办理率90%以上，努力达到国际先进水平，着力营造稳定、公平、透明、可预期的营商环境。</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2.推进不见面审批（服务）标准化、规范化建设。</w:t>
      </w:r>
      <w:r>
        <w:rPr>
          <w:rFonts w:hint="eastAsia" w:ascii="仿宋_GB2312" w:hAnsi="仿宋" w:eastAsia="仿宋_GB2312" w:cs="仿宋"/>
          <w:sz w:val="32"/>
          <w:szCs w:val="32"/>
        </w:rPr>
        <w:t>深入推进网上流转服务，实现网上进、网上出。推动实现企业电话联系，网上资料传送，无纸化、不落地、不见面审批规范建设，争取实现企业零跑腿服务。</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3.以全流程信息共享加速“便捷化”。</w:t>
      </w:r>
      <w:r>
        <w:rPr>
          <w:rFonts w:hint="eastAsia" w:ascii="仿宋_GB2312" w:hAnsi="仿宋" w:eastAsia="仿宋_GB2312" w:cs="仿宋"/>
          <w:sz w:val="32"/>
          <w:szCs w:val="32"/>
        </w:rPr>
        <w:t>加快推进部门信息共享和智能审核，尽早实现“凡是部门能提供的证明材料，不再由企业或居民个人提供；凡是能通过信息共享提供的证明材料，不得要求企业或居民重复提供”，变“群众跑腿”为“信息跑路”。</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4.以全审批开放透明加速“可视化”。</w:t>
      </w:r>
      <w:r>
        <w:rPr>
          <w:rFonts w:hint="eastAsia" w:ascii="仿宋_GB2312" w:hAnsi="仿宋" w:eastAsia="仿宋_GB2312" w:cs="仿宋"/>
          <w:sz w:val="32"/>
          <w:szCs w:val="32"/>
        </w:rPr>
        <w:t>让“行政权力在阳光下运行”，更大力度推进政务服务平台“全流程、全链条、全过程”向企业开放、对企业友好，做到“办事样本早知道、办到哪里早知道、多久办结早知道”，着力提升可预期性。</w:t>
      </w:r>
    </w:p>
    <w:p>
      <w:pPr>
        <w:pStyle w:val="12"/>
        <w:numPr>
          <w:ilvl w:val="0"/>
          <w:numId w:val="2"/>
        </w:numPr>
        <w:spacing w:line="600" w:lineRule="exact"/>
        <w:ind w:firstLineChars="0"/>
        <w:outlineLvl w:val="1"/>
        <w:rPr>
          <w:rFonts w:ascii="楷体_GB2312" w:hAnsi="楷体_GB2312" w:eastAsia="楷体_GB2312" w:cs="楷体_GB2312"/>
          <w:sz w:val="32"/>
          <w:szCs w:val="32"/>
        </w:rPr>
      </w:pPr>
      <w:bookmarkStart w:id="13" w:name="_Toc6445_WPSOffice_Level2"/>
      <w:r>
        <w:rPr>
          <w:rFonts w:hint="eastAsia" w:ascii="楷体_GB2312" w:hAnsi="楷体_GB2312" w:eastAsia="楷体_GB2312" w:cs="楷体_GB2312"/>
          <w:sz w:val="32"/>
          <w:szCs w:val="32"/>
        </w:rPr>
        <w:t>重点任务</w:t>
      </w:r>
      <w:bookmarkEnd w:id="13"/>
    </w:p>
    <w:p>
      <w:pPr>
        <w:tabs>
          <w:tab w:val="left" w:pos="312"/>
        </w:tabs>
        <w:spacing w:line="600" w:lineRule="exact"/>
        <w:ind w:left="743"/>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1.“放管服”方面</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w:t>
      </w:r>
      <w:r>
        <w:rPr>
          <w:rFonts w:hint="eastAsia" w:ascii="仿宋_GB2312" w:hAnsi="仿宋" w:eastAsia="仿宋_GB2312" w:cs="仿宋"/>
          <w:sz w:val="32"/>
          <w:szCs w:val="32"/>
        </w:rPr>
        <w:t>1</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创新创业再激活。紧紧围绕简政放权、放管结合、优化服务，全面推行“证照分离”。推动商事制度改革不断深化，进一步理清政府与市场关系，积极改革审批方式，精简涉企证照，加强事中事后监管，创新政府管理方式，大力推进“照后减证”，着力破解“准入不准营”难题。</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大力推行“一窗办、一网通”。全面推动“一窗通办、一网通办”在各行政审批部门、便民服务中心全面推行，实现网点服务“就近办”。全面推行企业开办、不动产登记、办理施工许可、电力接入等领域实现集成服务“一窗办”。</w:t>
      </w:r>
      <w:r>
        <w:rPr>
          <w:rFonts w:hint="eastAsia" w:ascii="仿宋_GB2312" w:hAnsi="仿宋" w:eastAsia="仿宋_GB2312" w:cs="仿宋"/>
          <w:bCs/>
          <w:sz w:val="32"/>
          <w:szCs w:val="32"/>
        </w:rPr>
        <w:t>推进大数据平台建设，</w:t>
      </w:r>
      <w:r>
        <w:rPr>
          <w:rFonts w:hint="eastAsia" w:ascii="仿宋_GB2312" w:hAnsi="仿宋" w:eastAsia="仿宋_GB2312" w:cs="仿宋"/>
          <w:sz w:val="32"/>
          <w:szCs w:val="32"/>
        </w:rPr>
        <w:t>积极对接全省一体化在线政务服务平台和数据共享交换平台。构建智慧大厅，建设智能化服务平台，通过电子证照、电子文书、电子印章、自助政务服务终端的开发应用，力求更多事项审批“不见面”、群众“不跑路”。</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大力加快便民服务中心建设。坚持以为人民服务为发展思想，把行政审批便民化作为营商环境建设的重要组成，在绥滨农场、普阳农场、二九零农场建设政务服务大厅，深入推进“基层整合审批服务”，将与乡镇经济社会管理服务职能和与百姓生产生活密切相关的行政权力（公共服务）事项下放至乡镇行使，构建县乡村三级政务服务体系，9个乡镇成立便民服务中心，100个村建立为民服务全程代理工作站。大力推进审批标准化、规范化建设。规范和引导行政审批实施部门不断优化流程、减少环节、缩短时限、精简材料，建立规范统一的审批服务体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（4）深化“放管服”改革举措，提升服务水平。对机构改革后全县政府部门和乡镇的权责清单进行新一轮的梳理，积极推进 “多证合一”“先照后证”、企业简易注销登记等制度改革。降低投资创业者进入市场门槛，节约创业成本。落实</w:t>
      </w:r>
      <w:r>
        <w:rPr>
          <w:rFonts w:hint="eastAsia" w:ascii="仿宋_GB2312" w:hAnsi="仿宋" w:eastAsia="仿宋_GB2312" w:cs="仿宋"/>
          <w:sz w:val="32"/>
          <w:szCs w:val="32"/>
          <w:lang w:eastAsia="zh-CN"/>
        </w:rPr>
        <w:t>“双随机、一公开”监管</w:t>
      </w:r>
      <w:r>
        <w:rPr>
          <w:rFonts w:hint="eastAsia" w:ascii="仿宋_GB2312" w:hAnsi="仿宋" w:eastAsia="仿宋_GB2312" w:cs="仿宋"/>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抓好政务服务体系建设，打造更加便民利企窗口。一是建好“一扇门”。建好政务服务平台，按照政务服务标准化要求设置窗口，确保企业办事只进一扇门；二是织好“一张网”，加强“互联网+政务服务”建设；三是“联合审批”，实行住建、规划、消防、自然资源、水务、气象、交通等部门“一表送审、统一接收、分工负责、联合踏勘、并联审查、一次告知、整体反馈”。</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实现工业建设项目施工许可更快速。持续深化“一窗受理、一网通办”改革，通过“互联网+”推动审批各阶段成果数据信息共享，加快推进电子证书、数字化多图联审、区域评估、多规合一、帮扶代办等改革举措落地实现网上办税更便捷。进一步简化注销和迁移办理流程，实现网上注销预检，提供清税证明免办服务和特定类型即办服务。</w:t>
      </w:r>
    </w:p>
    <w:p>
      <w:pPr>
        <w:tabs>
          <w:tab w:val="left" w:pos="312"/>
        </w:tabs>
        <w:spacing w:line="600" w:lineRule="exact"/>
        <w:ind w:left="740"/>
        <w:outlineLvl w:val="2"/>
        <w:rPr>
          <w:rFonts w:ascii="仿宋_GB2312" w:hAnsi="仿宋_GB2312" w:eastAsia="仿宋_GB2312" w:cs="仿宋_GB2312"/>
          <w:b/>
          <w:bCs/>
          <w:sz w:val="32"/>
          <w:szCs w:val="32"/>
        </w:rPr>
      </w:pPr>
      <w:bookmarkStart w:id="14" w:name="_Toc10477_WPSOffice_Level3"/>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体系建设方面</w:t>
      </w:r>
      <w:bookmarkEnd w:id="14"/>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建设营商环境投诉平台，加强投资环境监管，优化营商环境，维护企业权益。加强投资环境监管，优化营商环境，搞好企业服务工作，查处影响营商环境的各类问题，确保企业对损害营商环境的投诉举报及时进行审查。凡政府制定的投资政策，主管部门负责落实。</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实名认证全面统一。加快建设电子证照库和统一身份认证体系，加快推进部门信息共享和相关信息智能审核，努力实现“零材料、零证明”、“一次采集、一库管理、多方使用、即调即用”。重点推进电子营业执照在企业实名认证、电子签名、档案留存、出示验证、印章刻制、纳税申报、社保缴纳、银行开户等环节的应用；积极推广电子营业执照在税务、社保、环保、卫计、交通、安监、食药、住建等政务领域的应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9）加强信用体系建设。一是建立企业经营异常名录管理制度，对全县经营异常企业进行登记管理；二是进一步加强涉企信用体系建设步伐，加强对企业注册资本缴纳的审查，实施更加有力有效的事中事后监管，加大失信惩戒约束，降低经济运行和社会信用成本，形成更加规范有序的法治市场；三是健全守信联合激励和失信联合惩戒工作机制，让守信者“一路绿灯”，让失信者“处处受限”，营造良好的社会信用环境。</w:t>
      </w:r>
    </w:p>
    <w:p>
      <w:pPr>
        <w:spacing w:line="600" w:lineRule="exact"/>
        <w:jc w:val="center"/>
        <w:rPr>
          <w:rFonts w:ascii="仿宋_GB2312" w:hAnsi="仿宋_GB2312" w:eastAsia="仿宋_GB2312" w:cs="仿宋_GB2312"/>
          <w:sz w:val="32"/>
          <w:szCs w:val="32"/>
        </w:rPr>
      </w:pPr>
      <w:bookmarkStart w:id="15" w:name="_Toc22936_WPSOffice_Level3"/>
      <w:r>
        <w:rPr>
          <w:rFonts w:hint="eastAsia" w:ascii="仿宋_GB2312" w:hAnsi="仿宋_GB2312" w:eastAsia="仿宋_GB2312" w:cs="仿宋_GB2312"/>
          <w:sz w:val="32"/>
          <w:szCs w:val="32"/>
        </w:rPr>
        <w:t>专栏一  放管服方面实施的重点项目</w:t>
      </w:r>
      <w:bookmarkEnd w:id="15"/>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建设项目名称</w:t>
            </w:r>
          </w:p>
        </w:tc>
        <w:tc>
          <w:tcPr>
            <w:tcW w:w="4261"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center"/>
              <w:rPr>
                <w:rFonts w:ascii="仿宋_GB2312" w:hAnsi="仿宋_GB2312" w:eastAsia="仿宋_GB2312" w:cs="仿宋_GB2312"/>
                <w:sz w:val="32"/>
                <w:szCs w:val="32"/>
              </w:rPr>
            </w:pPr>
            <w:r>
              <w:rPr>
                <w:rFonts w:hint="eastAsia" w:ascii="仿宋_GB2312" w:hAnsi="Times New Roman" w:eastAsia="仿宋_GB2312" w:cs="Times New Roman"/>
                <w:szCs w:val="21"/>
              </w:rPr>
              <w:t>绥滨县政务服务大厅建设项目</w:t>
            </w:r>
          </w:p>
        </w:tc>
        <w:tc>
          <w:tcPr>
            <w:tcW w:w="4261" w:type="dxa"/>
          </w:tcPr>
          <w:p>
            <w:pPr>
              <w:jc w:val="left"/>
              <w:rPr>
                <w:rFonts w:ascii="仿宋_GB2312" w:hAnsi="Times New Roman" w:eastAsia="仿宋_GB2312" w:cs="Times New Roman"/>
                <w:szCs w:val="21"/>
              </w:rPr>
            </w:pPr>
            <w:r>
              <w:rPr>
                <w:rFonts w:hint="eastAsia" w:ascii="仿宋_GB2312" w:hAnsi="Times New Roman" w:eastAsia="仿宋_GB2312" w:cs="Times New Roman"/>
                <w:szCs w:val="21"/>
              </w:rPr>
              <w:t>满足绥滨县企业群众办事需要，异地在建绥滨县政务服务大厅，使政务事项全部进驻，整合提升政务服务大厅“一站式”功能，实行“前台综合受理、后台分类审批、综合窗口出件”工作机制。整体5000平，三层地面建筑，匹配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center"/>
              <w:rPr>
                <w:rFonts w:ascii="仿宋_GB2312" w:hAnsi="仿宋_GB2312" w:eastAsia="仿宋_GB2312" w:cs="仿宋_GB2312"/>
                <w:sz w:val="32"/>
                <w:szCs w:val="32"/>
              </w:rPr>
            </w:pPr>
            <w:r>
              <w:rPr>
                <w:rFonts w:hint="eastAsia" w:ascii="仿宋_GB2312" w:hAnsi="Times New Roman" w:eastAsia="仿宋_GB2312" w:cs="Times New Roman"/>
                <w:szCs w:val="21"/>
              </w:rPr>
              <w:t>绥滨县智慧政务大厅建设项目</w:t>
            </w:r>
          </w:p>
        </w:tc>
        <w:tc>
          <w:tcPr>
            <w:tcW w:w="4261" w:type="dxa"/>
          </w:tcPr>
          <w:p>
            <w:pPr>
              <w:tabs>
                <w:tab w:val="left" w:pos="1325"/>
              </w:tabs>
              <w:rPr>
                <w:rFonts w:ascii="仿宋_GB2312" w:hAnsi="仿宋_GB2312" w:eastAsia="仿宋_GB2312" w:cs="仿宋_GB2312"/>
                <w:sz w:val="32"/>
                <w:szCs w:val="32"/>
              </w:rPr>
            </w:pPr>
            <w:r>
              <w:rPr>
                <w:rFonts w:hint="eastAsia" w:ascii="仿宋_GB2312" w:hAnsi="Times New Roman" w:eastAsia="仿宋_GB2312" w:cs="Times New Roman"/>
                <w:szCs w:val="21"/>
              </w:rPr>
              <w:t>结合政务大厅实际情况，统筹规划综合布线、办公业务系统、涉密网络、智能机房、应用支撑平台、多功能会议系统、多媒体展示系统、综合安保系统建设等内容，为智慧政务提供安全稳定运行的保障。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center"/>
              <w:rPr>
                <w:rFonts w:ascii="仿宋_GB2312" w:hAnsi="仿宋_GB2312" w:eastAsia="仿宋_GB2312" w:cs="仿宋_GB2312"/>
                <w:sz w:val="32"/>
                <w:szCs w:val="32"/>
              </w:rPr>
            </w:pPr>
            <w:r>
              <w:rPr>
                <w:rFonts w:hint="eastAsia" w:ascii="仿宋_GB2312" w:hAnsi="Times New Roman" w:eastAsia="仿宋_GB2312" w:cs="Times New Roman"/>
                <w:szCs w:val="21"/>
              </w:rPr>
              <w:t>绥滨县农场政务大厅建设项目</w:t>
            </w:r>
          </w:p>
        </w:tc>
        <w:tc>
          <w:tcPr>
            <w:tcW w:w="4261" w:type="dxa"/>
          </w:tcPr>
          <w:p>
            <w:pPr>
              <w:jc w:val="left"/>
              <w:rPr>
                <w:rFonts w:ascii="仿宋_GB2312" w:hAnsi="仿宋_GB2312" w:eastAsia="仿宋_GB2312" w:cs="仿宋_GB2312"/>
                <w:sz w:val="32"/>
                <w:szCs w:val="32"/>
              </w:rPr>
            </w:pPr>
            <w:r>
              <w:rPr>
                <w:rFonts w:hint="eastAsia" w:ascii="仿宋_GB2312" w:hAnsi="Times New Roman" w:eastAsia="仿宋_GB2312" w:cs="Times New Roman"/>
                <w:szCs w:val="21"/>
              </w:rPr>
              <w:t>在绥滨农场、二九零农场和普阳农场建设政务服务大厅，完善三个农场政务服务功能。</w:t>
            </w:r>
            <w:r>
              <w:rPr>
                <w:rFonts w:hint="eastAsia" w:ascii="仿宋_GB2312" w:hAnsi="Times New Roman" w:eastAsia="仿宋_GB2312"/>
                <w:szCs w:val="21"/>
              </w:rPr>
              <w:t>每个大厅在1000平左右。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center"/>
              <w:rPr>
                <w:rFonts w:ascii="仿宋_GB2312" w:hAnsi="Times New Roman" w:eastAsia="仿宋_GB2312" w:cs="Times New Roman"/>
                <w:szCs w:val="21"/>
              </w:rPr>
            </w:pPr>
            <w:r>
              <w:rPr>
                <w:rFonts w:hint="eastAsia" w:ascii="仿宋_GB2312" w:hAnsi="Times New Roman" w:eastAsia="仿宋_GB2312"/>
                <w:szCs w:val="21"/>
              </w:rPr>
              <w:t>绥滨县综合窗口改造项目</w:t>
            </w:r>
          </w:p>
        </w:tc>
        <w:tc>
          <w:tcPr>
            <w:tcW w:w="4261" w:type="dxa"/>
          </w:tcPr>
          <w:p>
            <w:pPr>
              <w:jc w:val="left"/>
              <w:rPr>
                <w:rFonts w:ascii="仿宋_GB2312" w:hAnsi="Times New Roman" w:eastAsia="仿宋_GB2312" w:cs="Times New Roman"/>
                <w:szCs w:val="21"/>
              </w:rPr>
            </w:pPr>
            <w:r>
              <w:rPr>
                <w:rFonts w:hint="eastAsia" w:ascii="仿宋_GB2312" w:hAnsi="Times New Roman" w:eastAsia="仿宋_GB2312"/>
                <w:szCs w:val="21"/>
              </w:rPr>
              <w:t>对大厅办事窗口进行整合，形成“前台综合受理、后台分类审批、综合窗口出件”工作机制，通过完善软硬件设施，增加群众办事便利度。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center"/>
              <w:rPr>
                <w:rFonts w:ascii="仿宋_GB2312" w:hAnsi="Times New Roman" w:eastAsia="仿宋_GB2312" w:cs="Times New Roman"/>
                <w:szCs w:val="21"/>
              </w:rPr>
            </w:pPr>
            <w:r>
              <w:rPr>
                <w:rFonts w:hint="eastAsia" w:ascii="仿宋_GB2312" w:hAnsi="Times New Roman" w:eastAsia="仿宋_GB2312"/>
                <w:szCs w:val="21"/>
              </w:rPr>
              <w:t xml:space="preserve">绥滨县数据资源中心建设项目  </w:t>
            </w:r>
          </w:p>
        </w:tc>
        <w:tc>
          <w:tcPr>
            <w:tcW w:w="4261" w:type="dxa"/>
          </w:tcPr>
          <w:p>
            <w:pPr>
              <w:jc w:val="left"/>
              <w:rPr>
                <w:rFonts w:ascii="仿宋_GB2312" w:hAnsi="Times New Roman" w:eastAsia="仿宋_GB2312" w:cs="Times New Roman"/>
                <w:szCs w:val="21"/>
              </w:rPr>
            </w:pPr>
            <w:r>
              <w:rPr>
                <w:rFonts w:hint="eastAsia" w:ascii="仿宋_GB2312" w:hAnsi="Times New Roman" w:eastAsia="仿宋_GB2312"/>
                <w:szCs w:val="21"/>
              </w:rPr>
              <w:t>通过对接各部门现有信息系统，高标准建设“数据资源中心”， 打破“信息孤岛”，实现政务信息跨部门共享使用，提高政务服务效率和便捷度。</w:t>
            </w:r>
          </w:p>
        </w:tc>
      </w:tr>
    </w:tbl>
    <w:p>
      <w:pPr>
        <w:spacing w:line="560" w:lineRule="exact"/>
        <w:ind w:firstLine="645"/>
        <w:rPr>
          <w:rFonts w:ascii="仿宋_GB2312" w:hAnsi="仿宋" w:eastAsia="仿宋_GB2312" w:cs="仿宋"/>
          <w:sz w:val="32"/>
          <w:szCs w:val="32"/>
        </w:rPr>
      </w:pPr>
      <w:r>
        <w:rPr>
          <w:rFonts w:hint="eastAsia" w:ascii="楷体_GB2312" w:hAnsi="楷体_GB2312" w:eastAsia="楷体_GB2312" w:cs="楷体_GB2312"/>
          <w:sz w:val="32"/>
          <w:szCs w:val="32"/>
        </w:rPr>
        <w:t>（四）保障措施</w:t>
      </w:r>
    </w:p>
    <w:p>
      <w:pPr>
        <w:spacing w:line="560" w:lineRule="exact"/>
        <w:ind w:firstLine="720" w:firstLineChars="225"/>
        <w:rPr>
          <w:rFonts w:ascii="仿宋_GB2312" w:hAnsi="仿宋" w:eastAsia="仿宋_GB2312" w:cs="仿宋"/>
          <w:bCs/>
          <w:sz w:val="32"/>
          <w:szCs w:val="32"/>
        </w:rPr>
      </w:pPr>
      <w:r>
        <w:rPr>
          <w:rFonts w:hint="eastAsia" w:ascii="仿宋_GB2312" w:hAnsi="仿宋" w:eastAsia="仿宋_GB2312" w:cs="仿宋"/>
          <w:bCs/>
          <w:sz w:val="32"/>
          <w:szCs w:val="32"/>
        </w:rPr>
        <w:t>1.强化服务理念，</w:t>
      </w:r>
      <w:r>
        <w:rPr>
          <w:rFonts w:hint="eastAsia" w:ascii="仿宋_GB2312" w:hAnsi="仿宋" w:eastAsia="仿宋_GB2312" w:cs="仿宋"/>
          <w:sz w:val="32"/>
          <w:szCs w:val="32"/>
        </w:rPr>
        <w:t>进一步提升营商环境，切实为企业排忧解难，助推企业实现高质量发展。深入走访企业常态化，深入了解企业发展需求和存在问题，特别对企业招工、用工等难题，进一步加强与职业技术机构建立对接输送机制，培养企业所需的专业技术人才，使企业获得安全感、稳定感，让企业放心，聚精会神谋划发展。</w:t>
      </w:r>
    </w:p>
    <w:p>
      <w:pPr>
        <w:spacing w:line="560" w:lineRule="exact"/>
        <w:ind w:firstLine="720" w:firstLineChars="225"/>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bCs/>
          <w:sz w:val="32"/>
          <w:szCs w:val="32"/>
        </w:rPr>
        <w:t>创新服务手段</w:t>
      </w:r>
      <w:r>
        <w:rPr>
          <w:rFonts w:hint="eastAsia" w:ascii="仿宋_GB2312" w:hAnsi="仿宋" w:eastAsia="仿宋_GB2312" w:cs="仿宋"/>
          <w:sz w:val="32"/>
          <w:szCs w:val="32"/>
        </w:rPr>
        <w:t>，为企业发展出实招、办实事、解难题，以实际行动提升优化营商环境，推动企业快速发展。认真倾听企业呼声，积极协调解决企业发展中遇到的困难和问题，力争在现有优化基础上，再次简化行政审批程序，努力营造亲商、爱商、安商的发展环境。激发企业创新活力，推动产业转型升级。</w:t>
      </w:r>
    </w:p>
    <w:p>
      <w:pPr>
        <w:spacing w:line="560" w:lineRule="exact"/>
        <w:ind w:firstLine="720" w:firstLineChars="225"/>
        <w:rPr>
          <w:rFonts w:ascii="仿宋_GB2312" w:hAnsi="仿宋" w:eastAsia="仿宋_GB2312" w:cs="仿宋"/>
          <w:sz w:val="32"/>
          <w:szCs w:val="32"/>
        </w:rPr>
      </w:pPr>
      <w:r>
        <w:rPr>
          <w:rFonts w:hint="eastAsia" w:ascii="仿宋_GB2312" w:hAnsi="仿宋" w:eastAsia="仿宋_GB2312" w:cs="仿宋"/>
          <w:bCs/>
          <w:sz w:val="32"/>
          <w:szCs w:val="32"/>
        </w:rPr>
        <w:t>3.主动服务、精心服务、超前服务</w:t>
      </w:r>
      <w:r>
        <w:rPr>
          <w:rFonts w:hint="eastAsia" w:ascii="仿宋_GB2312" w:hAnsi="仿宋" w:eastAsia="仿宋_GB2312" w:cs="仿宋"/>
          <w:sz w:val="32"/>
          <w:szCs w:val="32"/>
        </w:rPr>
        <w:t>，加大信息公开力度，加强业务人员学习与培训，掌握相关法规、政策，做好解疑释惑；加强和企业沟通，解决企业生产、经营、融资等方面的具体问题，让企业感受到重视与关怀，与企业同发展、共成长，践行初心使命，提升营商环境，促进企业发展。</w:t>
      </w:r>
    </w:p>
    <w:p>
      <w:pPr>
        <w:spacing w:line="600" w:lineRule="exact"/>
        <w:ind w:firstLine="640" w:firstLineChars="200"/>
        <w:outlineLvl w:val="2"/>
        <w:rPr>
          <w:rFonts w:ascii="仿宋_GB2312" w:hAnsi="仿宋_GB2312" w:eastAsia="仿宋_GB2312" w:cs="仿宋_GB2312"/>
          <w:b/>
          <w:bCs/>
          <w:sz w:val="32"/>
          <w:szCs w:val="32"/>
        </w:rPr>
      </w:pPr>
      <w:r>
        <w:rPr>
          <w:rFonts w:hint="eastAsia" w:ascii="仿宋_GB2312" w:hAnsi="仿宋" w:eastAsia="仿宋_GB2312" w:cs="仿宋"/>
          <w:bCs/>
          <w:sz w:val="32"/>
          <w:szCs w:val="32"/>
        </w:rPr>
        <w:t>4.进一步抓好抓实营商环境建设。</w:t>
      </w:r>
      <w:r>
        <w:rPr>
          <w:rFonts w:hint="eastAsia" w:ascii="仿宋_GB2312" w:hAnsi="仿宋" w:eastAsia="仿宋_GB2312" w:cs="仿宋"/>
          <w:sz w:val="32"/>
          <w:szCs w:val="32"/>
        </w:rPr>
        <w:t>坚持把优化投资环境作为促进经济发展的“金字招牌”，深化“放管服”改革，进一步简政放权、放管结合、优化服务，开辟招商引资项目服务“绿色通道”，营造零障碍、低成本、高效率的政务环境，严格兑现执行招商引资政策，提升公信力，畅通政企沟通渠道，构建“亲”“清”新型政商关系。做细做实推动全县营商环境建设更上一个新台阶，让企业能进来，留得住、发展好。</w:t>
      </w: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7pt;height:144pt;width:144pt;mso-position-horizontal:center;mso-position-horizontal-relative:margin;mso-wrap-style:none;z-index:251659264;mso-width-relative:page;mso-height-relative:page;" filled="f" stroked="f" coordsize="21600,21600" o:gfxdata="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brMjtgAAAALAQAADwAAAAAA&#10;AAABACAAAAAiAAAAZHJzL2Rvd25yZXYueG1sUEsBAhQAFAAAAAgAh07iQAXccrATAgAAEwQAAA4A&#10;AAAAAAAAAQAgAAAAJwEAAGRycy9lMm9Eb2MueG1sUEsFBgAAAAAGAAYAWQEAAKwFA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7pt;height:144pt;width:144pt;mso-position-horizontal:outside;mso-position-horizontal-relative:margin;mso-wrap-style:none;z-index:251660288;mso-width-relative:page;mso-height-relative:page;" filled="f" stroked="f" coordsize="21600,21600" o:gfxdata="UEsDBAoAAAAAAIdO4kAAAAAAAAAAAAAAAAAEAAAAZHJzL1BLAwQUAAAACACHTuJAsCO2C9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LQh2N3nOi+NtyDKQ&#10;VSn/81e/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O2C9QAAAAHAQAADwAAAAAAAAAB&#10;ACAAAAAiAAAAZHJzL2Rvd25yZXYueG1sUEsBAhQAFAAAAAgAh07iQMDe54oUAgAAEwQAAA4AAAAA&#10;AAAAAQAgAAAAIwEAAGRycy9lMm9Eb2MueG1sUEsFBgAAAAAGAAYAWQEAAKkFA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2EE2D"/>
    <w:multiLevelType w:val="singleLevel"/>
    <w:tmpl w:val="9AB2EE2D"/>
    <w:lvl w:ilvl="0" w:tentative="0">
      <w:start w:val="1"/>
      <w:numFmt w:val="chineseCounting"/>
      <w:suff w:val="nothing"/>
      <w:lvlText w:val="（%1）"/>
      <w:lvlJc w:val="left"/>
      <w:rPr>
        <w:rFonts w:hint="eastAsia"/>
      </w:rPr>
    </w:lvl>
  </w:abstractNum>
  <w:abstractNum w:abstractNumId="1">
    <w:nsid w:val="0918102D"/>
    <w:multiLevelType w:val="multilevel"/>
    <w:tmpl w:val="0918102D"/>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OWVjN2RlODkxN2Q1MGI5NDM5NTRlZmMzN2FiODgifQ=="/>
  </w:docVars>
  <w:rsids>
    <w:rsidRoot w:val="0006552F"/>
    <w:rsid w:val="0006552F"/>
    <w:rsid w:val="000F58FB"/>
    <w:rsid w:val="00177BB5"/>
    <w:rsid w:val="00214FC3"/>
    <w:rsid w:val="002B3BE6"/>
    <w:rsid w:val="003325FA"/>
    <w:rsid w:val="0034725F"/>
    <w:rsid w:val="003752FE"/>
    <w:rsid w:val="004873A2"/>
    <w:rsid w:val="00491B75"/>
    <w:rsid w:val="004E296A"/>
    <w:rsid w:val="004F21D1"/>
    <w:rsid w:val="005E0D4E"/>
    <w:rsid w:val="006627F9"/>
    <w:rsid w:val="006631CD"/>
    <w:rsid w:val="00757AB9"/>
    <w:rsid w:val="007D46CA"/>
    <w:rsid w:val="00820949"/>
    <w:rsid w:val="008646CC"/>
    <w:rsid w:val="00944B13"/>
    <w:rsid w:val="00A03747"/>
    <w:rsid w:val="00A84803"/>
    <w:rsid w:val="00BC4521"/>
    <w:rsid w:val="00C77E7B"/>
    <w:rsid w:val="00D04469"/>
    <w:rsid w:val="00D055CA"/>
    <w:rsid w:val="00E10202"/>
    <w:rsid w:val="25714FC3"/>
    <w:rsid w:val="3ADA0F7B"/>
    <w:rsid w:val="4E8C38D4"/>
    <w:rsid w:val="64B1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uiPriority w:val="0"/>
    <w:rPr>
      <w:sz w:val="18"/>
      <w:szCs w:val="18"/>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WPSOffice手动目录 1"/>
    <w:autoRedefine/>
    <w:uiPriority w:val="0"/>
    <w:rPr>
      <w:rFonts w:asciiTheme="minorHAnsi" w:hAnsiTheme="minorHAnsi" w:eastAsiaTheme="minorEastAsia" w:cstheme="minorBidi"/>
      <w:lang w:val="en-US" w:eastAsia="zh-CN" w:bidi="ar-SA"/>
    </w:rPr>
  </w:style>
  <w:style w:type="paragraph" w:customStyle="1" w:styleId="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0">
    <w:name w:val="WPSOffice手动目录 3"/>
    <w:uiPriority w:val="0"/>
    <w:pPr>
      <w:ind w:left="400" w:leftChars="400"/>
    </w:pPr>
    <w:rPr>
      <w:rFonts w:asciiTheme="minorHAnsi" w:hAnsiTheme="minorHAnsi" w:eastAsiaTheme="minorEastAsia" w:cstheme="minorBidi"/>
      <w:lang w:val="en-US" w:eastAsia="zh-CN" w:bidi="ar-SA"/>
    </w:rPr>
  </w:style>
  <w:style w:type="character" w:customStyle="1" w:styleId="11">
    <w:name w:val="批注框文本 Char"/>
    <w:basedOn w:val="7"/>
    <w:link w:val="2"/>
    <w:autoRedefine/>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5468</Words>
  <Characters>5560</Characters>
  <Lines>45</Lines>
  <Paragraphs>12</Paragraphs>
  <TotalTime>1</TotalTime>
  <ScaleCrop>false</ScaleCrop>
  <LinksUpToDate>false</LinksUpToDate>
  <CharactersWithSpaces>5603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2021-10-12T02:24:00Z</cp:lastPrinted>
  <dcterms:modified xsi:type="dcterms:W3CDTF">2024-04-12T07:36:26Z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BD4129DA3FCD4B66A699B740B389788A_12</vt:lpwstr>
  </property>
</Properties>
</file>