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绥滨县卫生健康局</w:t>
      </w:r>
    </w:p>
    <w:p>
      <w:pPr>
        <w:pStyle w:val="4"/>
        <w:widowControl/>
        <w:spacing w:beforeAutospacing="0" w:afterAutospacing="0" w:line="560" w:lineRule="exact"/>
        <w:jc w:val="center"/>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sz w:val="44"/>
          <w:szCs w:val="44"/>
        </w:rPr>
        <w:t>2021年</w:t>
      </w:r>
      <w:r>
        <w:rPr>
          <w:rFonts w:hint="eastAsia" w:ascii="方正小标宋简体" w:hAnsi="方正小标宋简体" w:eastAsia="方正小标宋简体" w:cs="方正小标宋简体"/>
          <w:color w:val="333333"/>
          <w:sz w:val="44"/>
          <w:szCs w:val="44"/>
          <w:shd w:val="clear" w:color="auto" w:fill="FFFFFF"/>
        </w:rPr>
        <w:t>政府信息公</w:t>
      </w:r>
      <w:r>
        <w:rPr>
          <w:rFonts w:hint="eastAsia" w:ascii="方正小标宋简体" w:hAnsi="方正小标宋简体" w:eastAsia="方正小标宋简体" w:cs="方正小标宋简体"/>
          <w:sz w:val="44"/>
          <w:szCs w:val="44"/>
          <w:shd w:val="clear" w:color="auto" w:fill="FFFFFF"/>
        </w:rPr>
        <w:t>开工</w:t>
      </w:r>
      <w:r>
        <w:rPr>
          <w:rFonts w:hint="eastAsia" w:ascii="方正小标宋简体" w:hAnsi="方正小标宋简体" w:eastAsia="方正小标宋简体" w:cs="方正小标宋简体"/>
          <w:color w:val="333333"/>
          <w:sz w:val="44"/>
          <w:szCs w:val="44"/>
          <w:shd w:val="clear" w:color="auto" w:fill="FFFFFF"/>
        </w:rPr>
        <w:t>作年度报告</w:t>
      </w:r>
    </w:p>
    <w:p>
      <w:pPr>
        <w:pStyle w:val="4"/>
        <w:widowControl/>
        <w:spacing w:beforeAutospacing="0" w:afterAutospacing="0" w:line="560" w:lineRule="exact"/>
        <w:jc w:val="center"/>
        <w:rPr>
          <w:rFonts w:hint="eastAsia" w:ascii="方正小标宋简体" w:hAnsi="方正小标宋简体" w:eastAsia="方正小标宋简体" w:cs="方正小标宋简体"/>
          <w:color w:val="333333"/>
          <w:sz w:val="44"/>
          <w:szCs w:val="44"/>
          <w:shd w:val="clear" w:color="auto" w:fill="FFFFFF"/>
        </w:rPr>
      </w:pPr>
    </w:p>
    <w:p>
      <w:pPr>
        <w:pStyle w:val="4"/>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我局认真贯彻落实《中华人民共和国政府信息公开条例》及有关文件精神，按照公开、公正、规范、高效、便民的基本要求，坚持依法公开、真实公正、讲求实效、利于监督的原则，不断拓展公开内容，创新公开形式，完善公开制度，扎实推进政府信息公开工作，为社会提供方便、快捷的政府信息公开服务。本年度报告数据的统计期限为2021年1月1日至2021年12月31日。</w:t>
      </w:r>
    </w:p>
    <w:p>
      <w:pPr>
        <w:pStyle w:val="4"/>
        <w:widowControl/>
        <w:spacing w:beforeAutospacing="0" w:afterAutospacing="0" w:line="560" w:lineRule="exact"/>
        <w:ind w:firstLine="640" w:firstLineChars="200"/>
        <w:jc w:val="both"/>
        <w:rPr>
          <w:rFonts w:ascii="黑体" w:hAnsi="黑体" w:eastAsia="黑体" w:cs="黑体"/>
          <w:b w:val="0"/>
          <w:bCs/>
          <w:color w:val="333333"/>
          <w:sz w:val="32"/>
          <w:szCs w:val="32"/>
          <w:shd w:val="clear" w:color="auto" w:fill="FFFFFF"/>
        </w:rPr>
      </w:pPr>
      <w:r>
        <w:rPr>
          <w:rFonts w:hint="eastAsia" w:ascii="黑体" w:hAnsi="黑体" w:eastAsia="黑体" w:cs="黑体"/>
          <w:b w:val="0"/>
          <w:bCs/>
          <w:color w:val="333333"/>
          <w:sz w:val="32"/>
          <w:szCs w:val="32"/>
          <w:shd w:val="clear" w:color="auto" w:fill="FFFFFF"/>
        </w:rPr>
        <w:t>一、总体情况</w:t>
      </w:r>
    </w:p>
    <w:p>
      <w:pPr>
        <w:pStyle w:val="4"/>
        <w:widowControl/>
        <w:spacing w:beforeAutospacing="0" w:afterAutospacing="0"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eastAsia="zh-CN"/>
        </w:rPr>
        <w:t>县委</w:t>
      </w:r>
      <w:r>
        <w:rPr>
          <w:rFonts w:hint="eastAsia" w:ascii="仿宋_GB2312" w:hAnsi="仿宋_GB2312" w:eastAsia="仿宋_GB2312" w:cs="仿宋_GB2312"/>
          <w:sz w:val="32"/>
          <w:szCs w:val="32"/>
          <w:highlight w:val="none"/>
        </w:rPr>
        <w:t>县政务的统一部</w:t>
      </w:r>
      <w:r>
        <w:rPr>
          <w:rFonts w:hint="eastAsia" w:ascii="仿宋_GB2312" w:hAnsi="仿宋_GB2312" w:eastAsia="仿宋_GB2312" w:cs="仿宋_GB2312"/>
          <w:color w:val="auto"/>
          <w:sz w:val="32"/>
          <w:szCs w:val="32"/>
          <w:highlight w:val="none"/>
        </w:rPr>
        <w:t>署，</w:t>
      </w:r>
      <w:r>
        <w:rPr>
          <w:rFonts w:hint="eastAsia" w:ascii="仿宋_GB2312" w:hAnsi="仿宋_GB2312" w:eastAsia="仿宋_GB2312" w:cs="仿宋_GB2312"/>
          <w:color w:val="auto"/>
          <w:sz w:val="32"/>
          <w:szCs w:val="32"/>
          <w:highlight w:val="none"/>
          <w:lang w:eastAsia="zh-CN"/>
        </w:rPr>
        <w:t>卫健局</w:t>
      </w:r>
      <w:r>
        <w:rPr>
          <w:rFonts w:hint="eastAsia" w:ascii="仿宋_GB2312" w:hAnsi="仿宋_GB2312" w:eastAsia="仿宋_GB2312" w:cs="仿宋_GB2312"/>
          <w:color w:val="auto"/>
          <w:sz w:val="32"/>
          <w:szCs w:val="32"/>
          <w:highlight w:val="none"/>
        </w:rPr>
        <w:t>认</w:t>
      </w:r>
      <w:r>
        <w:rPr>
          <w:rFonts w:hint="eastAsia" w:ascii="仿宋_GB2312" w:hAnsi="仿宋_GB2312" w:eastAsia="仿宋_GB2312" w:cs="仿宋_GB2312"/>
          <w:sz w:val="32"/>
          <w:szCs w:val="32"/>
          <w:highlight w:val="none"/>
        </w:rPr>
        <w:t>真贯彻执行县委县政府有关规定，按照要求，认真学习和领会上级部门关于政府信息公开的指示精神，转变行政观念，坚持以人民为中心，强化</w:t>
      </w:r>
      <w:r>
        <w:rPr>
          <w:rFonts w:hint="eastAsia" w:ascii="仿宋_GB2312" w:hAnsi="仿宋_GB2312" w:eastAsia="仿宋_GB2312" w:cs="仿宋_GB2312"/>
          <w:color w:val="auto"/>
          <w:sz w:val="32"/>
          <w:szCs w:val="32"/>
          <w:highlight w:val="none"/>
        </w:rPr>
        <w:t>政府部门服务职能，结合我县疾病预防控制、公共卫生服务工作实际，着重抓好制度建设、平台维护、日常管理等方面工作，加大政务公开工作力度。现将2021年度政务公开工作情况汇报如下。</w:t>
      </w:r>
    </w:p>
    <w:p>
      <w:pPr>
        <w:pStyle w:val="4"/>
        <w:widowControl/>
        <w:spacing w:beforeAutospacing="0" w:afterAutospacing="0" w:line="560" w:lineRule="exact"/>
        <w:ind w:firstLine="640" w:firstLineChars="200"/>
        <w:jc w:val="both"/>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（一）结合行业职责，深化主动公开。</w:t>
      </w:r>
      <w:r>
        <w:rPr>
          <w:rFonts w:hint="eastAsia" w:ascii="仿宋_GB2312" w:hAnsi="仿宋_GB2312" w:eastAsia="仿宋_GB2312" w:cs="仿宋_GB2312"/>
          <w:color w:val="auto"/>
          <w:sz w:val="32"/>
          <w:szCs w:val="32"/>
          <w:highlight w:val="none"/>
        </w:rPr>
        <w:t>公开新冠肺炎疫情防控、医疗卫生等方面的信息、政策、措施及其实施情况107条，公开突发公共事件的应急预案、预警信息及应对情况信息1条，公开卫生监督执法检查、卫生行政审批情况信息37条，公开各类卫生资格考试、卫生人员招聘报考条件信息1条。公开法律、法规、规章和国家有关规定应当主动公开的其他政府信息1条。我们采取的具体措施是：</w:t>
      </w:r>
      <w:r>
        <w:rPr>
          <w:rFonts w:hint="eastAsia" w:ascii="仿宋_GB2312" w:hAnsi="仿宋_GB2312" w:eastAsia="仿宋_GB2312" w:cs="仿宋_GB2312"/>
          <w:b/>
          <w:bCs/>
          <w:color w:val="auto"/>
          <w:sz w:val="32"/>
          <w:szCs w:val="32"/>
          <w:highlight w:val="none"/>
        </w:rPr>
        <w:t>一是完善工作机制。</w:t>
      </w:r>
      <w:r>
        <w:rPr>
          <w:rFonts w:hint="eastAsia" w:ascii="仿宋_GB2312" w:hAnsi="仿宋_GB2312" w:eastAsia="仿宋_GB2312" w:cs="仿宋_GB2312"/>
          <w:color w:val="auto"/>
          <w:sz w:val="32"/>
          <w:szCs w:val="32"/>
          <w:highlight w:val="none"/>
        </w:rPr>
        <w:t>按照相关工作方案，完善政务公开管理机制、保密机制、责任追究机制等规章制度，使卫生系统政务公开工作制度进一步完善，确保政务公开工作有序开展。</w:t>
      </w:r>
      <w:r>
        <w:rPr>
          <w:rFonts w:hint="eastAsia" w:ascii="仿宋_GB2312" w:hAnsi="仿宋_GB2312" w:eastAsia="仿宋_GB2312" w:cs="仿宋_GB2312"/>
          <w:b/>
          <w:bCs/>
          <w:color w:val="auto"/>
          <w:sz w:val="32"/>
          <w:szCs w:val="32"/>
          <w:highlight w:val="none"/>
        </w:rPr>
        <w:t>二是细化工作内容。</w:t>
      </w:r>
      <w:r>
        <w:rPr>
          <w:rFonts w:hint="eastAsia" w:ascii="仿宋_GB2312" w:hAnsi="仿宋_GB2312" w:eastAsia="仿宋_GB2312" w:cs="仿宋_GB2312"/>
          <w:color w:val="auto"/>
          <w:sz w:val="32"/>
          <w:szCs w:val="32"/>
          <w:highlight w:val="none"/>
        </w:rPr>
        <w:t>认真梳理制发的规范性文件，及时准确发布疫情信息，加强公共卫生知识日常普及，加强网</w:t>
      </w:r>
      <w:r>
        <w:rPr>
          <w:rFonts w:hint="eastAsia" w:ascii="仿宋_GB2312" w:hAnsi="仿宋_GB2312" w:eastAsia="仿宋_GB2312" w:cs="仿宋_GB2312"/>
          <w:color w:val="auto"/>
          <w:sz w:val="32"/>
          <w:szCs w:val="32"/>
          <w:highlight w:val="none"/>
          <w:lang w:eastAsia="zh-CN"/>
        </w:rPr>
        <w:t>上</w:t>
      </w:r>
      <w:r>
        <w:rPr>
          <w:rFonts w:hint="eastAsia" w:ascii="仿宋_GB2312" w:hAnsi="仿宋_GB2312" w:eastAsia="仿宋_GB2312" w:cs="仿宋_GB2312"/>
          <w:color w:val="auto"/>
          <w:sz w:val="32"/>
          <w:szCs w:val="32"/>
          <w:highlight w:val="none"/>
        </w:rPr>
        <w:t>留言办理，明确原则，规范流程，依法办理，积极回应。我局微信公众号积极向社会推送医疗卫生政策法规和新冠疫情防控动态消息。</w:t>
      </w:r>
    </w:p>
    <w:p>
      <w:pPr>
        <w:pStyle w:val="4"/>
        <w:widowControl/>
        <w:spacing w:beforeAutospacing="0" w:afterAutospacing="0" w:line="560" w:lineRule="exact"/>
        <w:ind w:firstLine="640" w:firstLineChars="200"/>
        <w:jc w:val="both"/>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（二）完善工作流程，加强依申请公开。</w:t>
      </w:r>
      <w:r>
        <w:rPr>
          <w:rFonts w:hint="eastAsia" w:ascii="仿宋_GB2312" w:hAnsi="仿宋_GB2312" w:eastAsia="仿宋_GB2312" w:cs="仿宋_GB2312"/>
          <w:color w:val="auto"/>
          <w:sz w:val="32"/>
          <w:szCs w:val="32"/>
          <w:highlight w:val="none"/>
        </w:rPr>
        <w:t>我局政务公开工作由</w:t>
      </w:r>
      <w:r>
        <w:rPr>
          <w:rFonts w:hint="eastAsia" w:ascii="仿宋_GB2312" w:hAnsi="仿宋_GB2312" w:eastAsia="仿宋_GB2312" w:cs="仿宋_GB2312"/>
          <w:color w:val="auto"/>
          <w:sz w:val="32"/>
          <w:szCs w:val="32"/>
          <w:highlight w:val="none"/>
          <w:lang w:eastAsia="zh-CN"/>
        </w:rPr>
        <w:t>党办</w:t>
      </w:r>
      <w:r>
        <w:rPr>
          <w:rFonts w:hint="eastAsia" w:ascii="仿宋_GB2312" w:hAnsi="仿宋_GB2312" w:eastAsia="仿宋_GB2312" w:cs="仿宋_GB2312"/>
          <w:color w:val="auto"/>
          <w:sz w:val="32"/>
          <w:szCs w:val="32"/>
          <w:highlight w:val="none"/>
        </w:rPr>
        <w:t>设兼职人员负责此项工作，接收渠道为县政府官方网站，明确了公开申请提出、补正申请内容、答复形式规范、征求意见程序、提交时间起算等内容，并要求行政机关建立健全政府信息公开申请登记、审核、办理、答复、归档的工作制度，加强工作规范。2021年</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rPr>
        <w:t>收到依申请公开事项。</w:t>
      </w:r>
    </w:p>
    <w:p>
      <w:pPr>
        <w:pStyle w:val="4"/>
        <w:widowControl/>
        <w:spacing w:beforeAutospacing="0" w:afterAutospacing="0" w:line="560" w:lineRule="exact"/>
        <w:ind w:firstLine="640" w:firstLineChars="200"/>
        <w:jc w:val="both"/>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highlight w:val="none"/>
        </w:rPr>
        <w:t>（三）持续有序推进，规范政府信息管理。</w:t>
      </w:r>
      <w:r>
        <w:rPr>
          <w:rFonts w:hint="eastAsia" w:ascii="仿宋_GB2312" w:hAnsi="仿宋_GB2312" w:eastAsia="仿宋_GB2312" w:cs="仿宋_GB2312"/>
          <w:color w:val="auto"/>
          <w:sz w:val="32"/>
          <w:szCs w:val="32"/>
          <w:highlight w:val="none"/>
        </w:rPr>
        <w:t>2021年，我局按照</w:t>
      </w:r>
      <w:r>
        <w:rPr>
          <w:rFonts w:hint="eastAsia" w:ascii="仿宋_GB2312" w:hAnsi="仿宋_GB2312" w:eastAsia="仿宋_GB2312" w:cs="仿宋_GB2312"/>
          <w:color w:val="auto"/>
          <w:sz w:val="32"/>
          <w:szCs w:val="32"/>
          <w:highlight w:val="none"/>
          <w:lang w:eastAsia="zh-CN"/>
        </w:rPr>
        <w:t>县委</w:t>
      </w:r>
      <w:r>
        <w:rPr>
          <w:rFonts w:hint="eastAsia" w:ascii="仿宋_GB2312" w:hAnsi="仿宋_GB2312" w:eastAsia="仿宋_GB2312" w:cs="仿宋_GB2312"/>
          <w:color w:val="auto"/>
          <w:sz w:val="32"/>
          <w:szCs w:val="32"/>
          <w:highlight w:val="none"/>
        </w:rPr>
        <w:t>县政府统一要求，规范开展政府信息公开工作。严格按照信息公开工作“公开为原则，不公开为例外”的要求认真执</w:t>
      </w:r>
      <w:r>
        <w:rPr>
          <w:rFonts w:hint="eastAsia" w:ascii="仿宋_GB2312" w:hAnsi="仿宋_GB2312" w:eastAsia="仿宋_GB2312" w:cs="仿宋_GB2312"/>
          <w:color w:val="auto"/>
          <w:sz w:val="32"/>
          <w:szCs w:val="32"/>
        </w:rPr>
        <w:t>行。分工进一步明确，政务信息的收集、整理、审核、发布进一步规范。对涉及人民群众的重要文件、信息进行主动公开，并及时回应群众关切的热点问题。公开信息及时更新，公开内容得到拓展，大到以县政府名义举办的活动、会议信息，小到健康小知识，均能及时发布，政务公开工作走上制度化、规范化的轨道。</w:t>
      </w:r>
    </w:p>
    <w:p>
      <w:pPr>
        <w:pStyle w:val="4"/>
        <w:widowControl/>
        <w:spacing w:beforeAutospacing="0" w:afterAutospacing="0" w:line="560" w:lineRule="exact"/>
        <w:ind w:firstLine="640" w:firstLineChars="200"/>
        <w:jc w:val="both"/>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（四）加强运行管理，推进平台建设。</w:t>
      </w:r>
      <w:r>
        <w:rPr>
          <w:rFonts w:hint="eastAsia" w:ascii="仿宋_GB2312" w:hAnsi="仿宋" w:eastAsia="仿宋_GB2312" w:cs="仿宋"/>
          <w:color w:val="auto"/>
          <w:sz w:val="32"/>
        </w:rPr>
        <w:t>加强信息公开平台建设，充分利用单位大屏幕、公开栏及宣传单等方式公开，</w:t>
      </w:r>
      <w:r>
        <w:rPr>
          <w:rFonts w:hint="eastAsia" w:ascii="仿宋_GB2312" w:hAnsi="仿宋_GB2312" w:eastAsia="仿宋_GB2312" w:cs="仿宋_GB2312"/>
          <w:color w:val="auto"/>
          <w:sz w:val="32"/>
          <w:szCs w:val="32"/>
        </w:rPr>
        <w:t>加强微信公众号新媒体平台管理，落实专人运维。</w:t>
      </w:r>
    </w:p>
    <w:p>
      <w:pPr>
        <w:pStyle w:val="4"/>
        <w:widowControl/>
        <w:spacing w:beforeAutospacing="0" w:afterAutospacing="0" w:line="560" w:lineRule="exact"/>
        <w:ind w:firstLine="640" w:firstLineChars="200"/>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（五）抓好保密审查，强化监督保障。</w:t>
      </w:r>
      <w:r>
        <w:rPr>
          <w:rFonts w:hint="eastAsia" w:ascii="仿宋_GB2312" w:hAnsi="仿宋_GB2312" w:eastAsia="仿宋_GB2312" w:cs="仿宋_GB2312"/>
          <w:color w:val="auto"/>
          <w:sz w:val="32"/>
          <w:szCs w:val="32"/>
        </w:rPr>
        <w:t>我局十分重视政务公开监督管理工作，不断强化日常管理，并持续推动此项工作的深入开展。在主动公开政府信息过程中，我局始终做好保密工作，做到“公开信息不涉密，涉密信息不公开”，确保在做好政府信息公开工作中，不发生失泄密问题。凡属要公开的信息，都严格做到行政审批与法规科把好初审关、专职科室把好业务关、负责人把好密审关、局领导把好审签关。切实履行将保密审查程序与公文流转程序、信息发布程序紧密结合，防止保密审查和政府信息发布脱节。</w:t>
      </w:r>
    </w:p>
    <w:p>
      <w:pPr>
        <w:pStyle w:val="4"/>
        <w:widowControl/>
        <w:spacing w:beforeAutospacing="0" w:afterAutospacing="0" w:line="560" w:lineRule="exact"/>
        <w:ind w:firstLine="640" w:firstLineChars="200"/>
        <w:jc w:val="both"/>
        <w:rPr>
          <w:rFonts w:hint="eastAsia" w:ascii="仿宋_GB2312" w:hAnsi="仿宋_GB2312" w:eastAsia="仿宋_GB2312" w:cs="仿宋_GB2312"/>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s="黑体"/>
          <w:b w:val="0"/>
          <w:bCs/>
          <w:color w:val="333333"/>
          <w:sz w:val="32"/>
          <w:szCs w:val="32"/>
          <w:shd w:val="clear" w:color="auto" w:fill="FFFFFF"/>
        </w:rPr>
      </w:pPr>
      <w:r>
        <w:rPr>
          <w:rFonts w:hint="eastAsia" w:ascii="黑体" w:hAnsi="黑体" w:eastAsia="黑体" w:cs="黑体"/>
          <w:b w:val="0"/>
          <w:bCs/>
          <w:color w:val="333333"/>
          <w:sz w:val="32"/>
          <w:szCs w:val="32"/>
          <w:shd w:val="clear" w:color="auto" w:fill="FFFFFF"/>
        </w:rPr>
        <w:t>二、主动公开政府信息情况</w:t>
      </w:r>
    </w:p>
    <w:tbl>
      <w:tblPr>
        <w:tblStyle w:val="5"/>
        <w:tblW w:w="9740" w:type="dxa"/>
        <w:jc w:val="center"/>
        <w:tblLayout w:type="autofit"/>
        <w:tblCellMar>
          <w:top w:w="15" w:type="dxa"/>
          <w:left w:w="15" w:type="dxa"/>
          <w:bottom w:w="15" w:type="dxa"/>
          <w:right w:w="15" w:type="dxa"/>
        </w:tblCellMar>
      </w:tblPr>
      <w:tblGrid>
        <w:gridCol w:w="2435"/>
        <w:gridCol w:w="2435"/>
        <w:gridCol w:w="2435"/>
        <w:gridCol w:w="2435"/>
      </w:tblGrid>
      <w:tr>
        <w:tblPrEx>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第二十条第（一）项</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本年</w:t>
            </w:r>
            <w:r>
              <w:rPr>
                <w:rFonts w:ascii="Calibri" w:hAnsi="Calibri" w:cs="Calibri"/>
                <w:color w:val="000000"/>
                <w:kern w:val="0"/>
                <w:sz w:val="20"/>
                <w:szCs w:val="20"/>
              </w:rPr>
              <w:t>制</w:t>
            </w:r>
            <w:r>
              <w:rPr>
                <w:rFonts w:hint="eastAsia" w:ascii="宋体" w:hAnsi="宋体" w:eastAsia="宋体" w:cs="宋体"/>
                <w:color w:val="000000"/>
                <w:kern w:val="0"/>
                <w:sz w:val="20"/>
                <w:szCs w:val="20"/>
              </w:rPr>
              <w:t>发件</w:t>
            </w:r>
            <w:r>
              <w:rPr>
                <w:rFonts w:ascii="Calibri" w:hAnsi="Calibri" w:cs="Calibri"/>
                <w:color w:val="000000"/>
                <w:kern w:val="0"/>
                <w:sz w:val="20"/>
                <w:szCs w:val="20"/>
              </w:rPr>
              <w:t>数</w:t>
            </w:r>
          </w:p>
        </w:tc>
        <w:tc>
          <w:tcPr>
            <w:tcW w:w="2435"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现行有效件</w:t>
            </w:r>
            <w:r>
              <w:rPr>
                <w:rFonts w:ascii="Calibri" w:hAnsi="Calibri" w:cs="Calibri"/>
                <w:color w:val="000000"/>
                <w:kern w:val="0"/>
                <w:sz w:val="20"/>
                <w:szCs w:val="20"/>
              </w:rPr>
              <w:t>数</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第二十条第（五）项</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本年处理决定数量</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r>
      <w:tr>
        <w:tblPrEx>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第二十条第（六）项</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本年处理决定数量</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8</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r>
      <w:tr>
        <w:tblPrEx>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第二十条第（八）项</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本年收费金额（单位：万元）</w:t>
            </w:r>
          </w:p>
        </w:tc>
      </w:tr>
      <w:tr>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shd w:val="clear" w:color="auto" w:fill="E6F4FF"/>
            <w:tcMar>
              <w:top w:w="0" w:type="dxa"/>
              <w:left w:w="57" w:type="dxa"/>
              <w:bottom w:w="0" w:type="dxa"/>
              <w:right w:w="57" w:type="dxa"/>
            </w:tcMar>
            <w:vAlign w:val="center"/>
          </w:tcPr>
          <w:p>
            <w:pPr>
              <w:jc w:val="center"/>
              <w:rPr>
                <w:rFonts w:ascii="宋体" w:eastAsia="宋体"/>
                <w:color w:val="000000"/>
                <w:sz w:val="24"/>
              </w:rPr>
            </w:pPr>
            <w:r>
              <w:rPr>
                <w:rFonts w:hint="eastAsia" w:ascii="宋体" w:hAnsi="宋体" w:eastAsia="宋体" w:cs="宋体"/>
                <w:color w:val="000000"/>
                <w:kern w:val="0"/>
                <w:sz w:val="20"/>
                <w:szCs w:val="20"/>
              </w:rPr>
              <w:t>0</w:t>
            </w:r>
          </w:p>
        </w:tc>
      </w:tr>
    </w:tbl>
    <w:p>
      <w:pPr>
        <w:pStyle w:val="4"/>
        <w:widowControl/>
        <w:numPr>
          <w:ilvl w:val="0"/>
          <w:numId w:val="0"/>
        </w:numPr>
        <w:spacing w:beforeAutospacing="0" w:after="192" w:afterAutospacing="0"/>
        <w:jc w:val="both"/>
        <w:rPr>
          <w:rFonts w:hint="eastAsia" w:ascii="黑体" w:hAnsi="黑体" w:eastAsia="黑体" w:cs="黑体"/>
          <w:b w:val="0"/>
          <w:bCs/>
          <w:color w:val="333333"/>
          <w:sz w:val="32"/>
          <w:szCs w:val="32"/>
          <w:shd w:val="clear" w:color="auto" w:fill="FFFFFF"/>
          <w:lang w:eastAsia="zh-CN"/>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192" w:afterAutospacing="0" w:line="560" w:lineRule="exact"/>
        <w:ind w:firstLine="640" w:firstLineChars="200"/>
        <w:jc w:val="both"/>
        <w:textAlignment w:val="auto"/>
        <w:rPr>
          <w:rFonts w:ascii="黑体" w:hAnsi="黑体" w:eastAsia="黑体" w:cs="黑体"/>
          <w:b w:val="0"/>
          <w:bCs/>
          <w:color w:val="333333"/>
          <w:sz w:val="32"/>
          <w:szCs w:val="32"/>
          <w:shd w:val="clear" w:color="auto" w:fill="FFFFFF"/>
        </w:rPr>
      </w:pPr>
      <w:r>
        <w:rPr>
          <w:rFonts w:hint="eastAsia" w:ascii="黑体" w:hAnsi="黑体" w:eastAsia="黑体" w:cs="黑体"/>
          <w:b w:val="0"/>
          <w:bCs/>
          <w:color w:val="333333"/>
          <w:sz w:val="32"/>
          <w:szCs w:val="32"/>
          <w:shd w:val="clear" w:color="auto" w:fill="FFFFFF"/>
          <w:lang w:eastAsia="zh-CN"/>
        </w:rPr>
        <w:t>三、</w:t>
      </w:r>
      <w:r>
        <w:rPr>
          <w:rFonts w:hint="eastAsia" w:ascii="黑体" w:hAnsi="黑体" w:eastAsia="黑体" w:cs="黑体"/>
          <w:b w:val="0"/>
          <w:bCs/>
          <w:color w:val="333333"/>
          <w:sz w:val="32"/>
          <w:szCs w:val="32"/>
          <w:shd w:val="clear" w:color="auto" w:fill="FFFFFF"/>
        </w:rPr>
        <w:t>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E6F4FF"/>
            <w:tcMar>
              <w:top w:w="0" w:type="dxa"/>
              <w:left w:w="108" w:type="dxa"/>
              <w:bottom w:w="0" w:type="dxa"/>
              <w:right w:w="108" w:type="dxa"/>
            </w:tcMar>
            <w:vAlign w:val="center"/>
          </w:tcPr>
          <w:p>
            <w:pPr>
              <w:widowControl/>
              <w:jc w:val="left"/>
              <w:rPr>
                <w:color w:val="000000"/>
              </w:rPr>
            </w:pPr>
            <w:r>
              <w:rPr>
                <w:rFonts w:ascii="楷体" w:hAnsi="楷体" w:eastAsia="楷体" w:cs="楷体"/>
                <w:color w:val="000000"/>
                <w:kern w:val="0"/>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E6F4FF"/>
            <w:tcMar>
              <w:top w:w="0" w:type="dxa"/>
              <w:left w:w="108" w:type="dxa"/>
              <w:bottom w:w="0" w:type="dxa"/>
              <w:right w:w="108" w:type="dxa"/>
            </w:tcMar>
            <w:vAlign w:val="center"/>
          </w:tcPr>
          <w:p>
            <w:pPr>
              <w:rPr>
                <w:rFonts w:ascii="宋体"/>
                <w:color w:val="000000"/>
                <w:sz w:val="24"/>
              </w:rPr>
            </w:pPr>
          </w:p>
        </w:tc>
        <w:tc>
          <w:tcPr>
            <w:tcW w:w="688" w:type="dxa"/>
            <w:vMerge w:val="restart"/>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E6F4FF"/>
            <w:tcMar>
              <w:top w:w="0" w:type="dxa"/>
              <w:left w:w="108" w:type="dxa"/>
              <w:bottom w:w="0" w:type="dxa"/>
              <w:right w:w="108" w:type="dxa"/>
            </w:tcMar>
            <w:vAlign w:val="center"/>
          </w:tcPr>
          <w:p>
            <w:pPr>
              <w:rPr>
                <w:rFonts w:ascii="宋体"/>
                <w:color w:val="000000"/>
                <w:sz w:val="24"/>
              </w:rPr>
            </w:pPr>
          </w:p>
        </w:tc>
        <w:tc>
          <w:tcPr>
            <w:tcW w:w="688" w:type="dxa"/>
            <w:vMerge w:val="continue"/>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68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商业</w:t>
            </w:r>
          </w:p>
          <w:p>
            <w:pPr>
              <w:widowControl/>
              <w:jc w:val="center"/>
              <w:rPr>
                <w:color w:val="000000"/>
              </w:rPr>
            </w:pPr>
            <w:r>
              <w:rPr>
                <w:rFonts w:hint="eastAsia" w:ascii="宋体" w:hAnsi="宋体" w:eastAsia="宋体" w:cs="宋体"/>
                <w:color w:val="000000"/>
                <w:kern w:val="0"/>
                <w:sz w:val="20"/>
                <w:szCs w:val="20"/>
              </w:rPr>
              <w:t>企业</w:t>
            </w:r>
          </w:p>
        </w:tc>
        <w:tc>
          <w:tcPr>
            <w:tcW w:w="68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科研</w:t>
            </w:r>
          </w:p>
          <w:p>
            <w:pPr>
              <w:widowControl/>
              <w:jc w:val="center"/>
              <w:rPr>
                <w:color w:val="000000"/>
              </w:rPr>
            </w:pPr>
            <w:r>
              <w:rPr>
                <w:rFonts w:hint="eastAsia" w:ascii="宋体" w:hAnsi="宋体" w:eastAsia="宋体" w:cs="宋体"/>
                <w:color w:val="000000"/>
                <w:kern w:val="0"/>
                <w:sz w:val="20"/>
                <w:szCs w:val="20"/>
              </w:rPr>
              <w:t>机构</w:t>
            </w:r>
          </w:p>
        </w:tc>
        <w:tc>
          <w:tcPr>
            <w:tcW w:w="688"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其他</w:t>
            </w:r>
          </w:p>
        </w:tc>
        <w:tc>
          <w:tcPr>
            <w:tcW w:w="689" w:type="dxa"/>
            <w:vMerge w:val="continue"/>
            <w:tcBorders>
              <w:top w:val="single" w:color="auto" w:sz="8" w:space="0"/>
              <w:left w:val="nil"/>
              <w:bottom w:val="outset" w:color="auto" w:sz="8" w:space="0"/>
              <w:right w:val="single" w:color="auto" w:sz="8" w:space="0"/>
            </w:tcBorders>
            <w:shd w:val="clear" w:color="auto" w:fill="E6F4FF"/>
            <w:tcMar>
              <w:top w:w="0" w:type="dxa"/>
              <w:left w:w="108" w:type="dxa"/>
              <w:bottom w:w="0" w:type="dxa"/>
              <w:right w:w="108" w:type="dxa"/>
            </w:tcMar>
            <w:vAlign w:val="center"/>
          </w:tcPr>
          <w:p>
            <w:pPr>
              <w:rPr>
                <w:rFonts w:ascii="宋体"/>
                <w:color w:val="000000"/>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left"/>
              <w:rPr>
                <w:color w:val="000000"/>
              </w:rPr>
            </w:pPr>
            <w:r>
              <w:rPr>
                <w:rFonts w:hint="eastAsia" w:ascii="宋体" w:hAnsi="宋体" w:eastAsia="宋体" w:cs="宋体"/>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rFonts w:hint="eastAsia" w:eastAsiaTheme="minorEastAsia"/>
                <w:color w:val="000000"/>
                <w:lang w:val="en-US" w:eastAsia="zh-CN"/>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rFonts w:hint="default" w:eastAsiaTheme="minorEastAsia"/>
                <w:color w:val="000000"/>
                <w:lang w:val="en-US" w:eastAsia="zh-CN"/>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left"/>
              <w:rPr>
                <w:color w:val="000000"/>
              </w:rPr>
            </w:pPr>
            <w:r>
              <w:rPr>
                <w:rFonts w:hint="eastAsia" w:ascii="宋体" w:hAnsi="宋体" w:eastAsia="宋体" w:cs="宋体"/>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768" w:type="dxa"/>
            <w:vMerge w:val="restart"/>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widowControl/>
              <w:jc w:val="left"/>
              <w:rPr>
                <w:color w:val="000000"/>
              </w:rPr>
            </w:pPr>
            <w:r>
              <w:rPr>
                <w:rFonts w:hint="eastAsia" w:ascii="宋体" w:hAnsi="宋体" w:eastAsia="宋体" w:cs="宋体"/>
                <w:color w:val="000000"/>
                <w:kern w:val="0"/>
                <w:sz w:val="20"/>
                <w:szCs w:val="20"/>
              </w:rPr>
              <w:t>三、本年度办理结果</w:t>
            </w:r>
          </w:p>
        </w:tc>
        <w:tc>
          <w:tcPr>
            <w:tcW w:w="4163" w:type="dxa"/>
            <w:gridSpan w:val="2"/>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left"/>
              <w:rPr>
                <w:color w:val="000000"/>
              </w:rPr>
            </w:pPr>
            <w:r>
              <w:rPr>
                <w:rFonts w:hint="eastAsia" w:ascii="宋体" w:hAnsi="宋体" w:eastAsia="宋体" w:cs="宋体"/>
                <w:color w:val="000000"/>
                <w:kern w:val="0"/>
                <w:sz w:val="20"/>
                <w:szCs w:val="20"/>
              </w:rPr>
              <w:t>（一）予以公开</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4163" w:type="dxa"/>
            <w:gridSpan w:val="2"/>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left"/>
              <w:rPr>
                <w:color w:val="000000"/>
              </w:rPr>
            </w:pPr>
            <w:r>
              <w:rPr>
                <w:rFonts w:hint="eastAsia" w:ascii="宋体" w:hAnsi="宋体" w:eastAsia="宋体" w:cs="宋体"/>
                <w:color w:val="000000"/>
                <w:kern w:val="0"/>
                <w:sz w:val="20"/>
                <w:szCs w:val="20"/>
              </w:rPr>
              <w:t>（二）部分公开</w:t>
            </w:r>
            <w:r>
              <w:rPr>
                <w:rFonts w:hint="eastAsia" w:ascii="楷体" w:hAnsi="楷体" w:eastAsia="楷体" w:cs="楷体"/>
                <w:color w:val="000000"/>
                <w:kern w:val="0"/>
                <w:sz w:val="20"/>
                <w:szCs w:val="20"/>
              </w:rPr>
              <w:t>（区分处理的，只计这一情形，不计其他情形）</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943" w:type="dxa"/>
            <w:vMerge w:val="restart"/>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widowControl/>
              <w:jc w:val="left"/>
              <w:rPr>
                <w:color w:val="000000"/>
              </w:rPr>
            </w:pPr>
            <w:r>
              <w:rPr>
                <w:rFonts w:hint="eastAsia" w:ascii="宋体" w:hAnsi="宋体" w:eastAsia="宋体" w:cs="宋体"/>
                <w:color w:val="000000"/>
                <w:kern w:val="0"/>
                <w:sz w:val="20"/>
                <w:szCs w:val="20"/>
              </w:rPr>
              <w:t>（三）不予公开</w:t>
            </w: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left"/>
              <w:rPr>
                <w:color w:val="000000"/>
              </w:rPr>
            </w:pPr>
            <w:r>
              <w:rPr>
                <w:rFonts w:hint="eastAsia" w:ascii="宋体" w:hAnsi="宋体" w:eastAsia="宋体" w:cs="宋体"/>
                <w:color w:val="000000"/>
                <w:kern w:val="0"/>
                <w:sz w:val="20"/>
                <w:szCs w:val="20"/>
              </w:rPr>
              <w:t>1.属于国家秘密</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left"/>
              <w:rPr>
                <w:color w:val="000000"/>
              </w:rPr>
            </w:pPr>
            <w:r>
              <w:rPr>
                <w:rFonts w:hint="eastAsia" w:ascii="宋体" w:hAnsi="宋体" w:eastAsia="宋体" w:cs="宋体"/>
                <w:color w:val="000000"/>
                <w:kern w:val="0"/>
                <w:sz w:val="20"/>
                <w:szCs w:val="20"/>
              </w:rPr>
              <w:t>2.其他法律行政法规禁止公开</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left"/>
              <w:rPr>
                <w:color w:val="000000"/>
              </w:rPr>
            </w:pPr>
            <w:r>
              <w:rPr>
                <w:rFonts w:hint="eastAsia" w:ascii="宋体" w:hAnsi="宋体" w:eastAsia="宋体" w:cs="宋体"/>
                <w:color w:val="000000"/>
                <w:kern w:val="0"/>
                <w:sz w:val="20"/>
                <w:szCs w:val="20"/>
              </w:rPr>
              <w:t>3.危及“三安全一稳定”</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left"/>
              <w:rPr>
                <w:color w:val="000000"/>
              </w:rPr>
            </w:pPr>
            <w:r>
              <w:rPr>
                <w:rFonts w:hint="eastAsia" w:ascii="宋体" w:hAnsi="宋体" w:eastAsia="宋体" w:cs="宋体"/>
                <w:color w:val="000000"/>
                <w:kern w:val="0"/>
                <w:sz w:val="20"/>
                <w:szCs w:val="20"/>
              </w:rPr>
              <w:t>4.保护第三方合法权益</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left"/>
              <w:rPr>
                <w:color w:val="000000"/>
              </w:rPr>
            </w:pPr>
            <w:r>
              <w:rPr>
                <w:rFonts w:hint="eastAsia" w:ascii="宋体" w:hAnsi="宋体" w:eastAsia="宋体" w:cs="宋体"/>
                <w:color w:val="000000"/>
                <w:kern w:val="0"/>
                <w:sz w:val="20"/>
                <w:szCs w:val="20"/>
              </w:rPr>
              <w:t>5.属于三类内部事务信息</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left"/>
              <w:rPr>
                <w:color w:val="000000"/>
              </w:rPr>
            </w:pPr>
            <w:r>
              <w:rPr>
                <w:rFonts w:hint="eastAsia" w:ascii="宋体" w:hAnsi="宋体" w:eastAsia="宋体" w:cs="宋体"/>
                <w:color w:val="000000"/>
                <w:kern w:val="0"/>
                <w:sz w:val="20"/>
                <w:szCs w:val="20"/>
              </w:rPr>
              <w:t>6.属于四类过程性信息</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left"/>
              <w:rPr>
                <w:color w:val="000000"/>
              </w:rPr>
            </w:pPr>
            <w:r>
              <w:rPr>
                <w:rFonts w:hint="eastAsia" w:ascii="宋体" w:hAnsi="宋体" w:eastAsia="宋体" w:cs="宋体"/>
                <w:color w:val="000000"/>
                <w:kern w:val="0"/>
                <w:sz w:val="20"/>
                <w:szCs w:val="20"/>
              </w:rPr>
              <w:t>7.属于行政执法案卷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left"/>
              <w:rPr>
                <w:color w:val="000000"/>
              </w:rPr>
            </w:pPr>
            <w:r>
              <w:rPr>
                <w:rFonts w:hint="eastAsia" w:ascii="宋体" w:hAnsi="宋体" w:eastAsia="宋体" w:cs="宋体"/>
                <w:color w:val="000000"/>
                <w:kern w:val="0"/>
                <w:sz w:val="20"/>
                <w:szCs w:val="20"/>
              </w:rPr>
              <w:t>8.属于行政查询事项</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943" w:type="dxa"/>
            <w:vMerge w:val="restart"/>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widowControl/>
              <w:jc w:val="left"/>
              <w:rPr>
                <w:color w:val="000000"/>
              </w:rPr>
            </w:pPr>
            <w:r>
              <w:rPr>
                <w:rFonts w:hint="eastAsia" w:ascii="宋体" w:hAnsi="宋体" w:eastAsia="宋体" w:cs="宋体"/>
                <w:color w:val="000000"/>
                <w:kern w:val="0"/>
                <w:sz w:val="20"/>
                <w:szCs w:val="20"/>
              </w:rPr>
              <w:t>（四）无法提供</w:t>
            </w: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left"/>
              <w:rPr>
                <w:color w:val="000000"/>
              </w:rPr>
            </w:pPr>
            <w:r>
              <w:rPr>
                <w:rFonts w:hint="eastAsia" w:ascii="宋体" w:hAnsi="宋体" w:eastAsia="宋体" w:cs="宋体"/>
                <w:color w:val="000000"/>
                <w:kern w:val="0"/>
                <w:sz w:val="20"/>
                <w:szCs w:val="20"/>
              </w:rPr>
              <w:t>1.本机关不掌握相关政府信息</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left"/>
              <w:rPr>
                <w:color w:val="000000"/>
              </w:rPr>
            </w:pPr>
            <w:r>
              <w:rPr>
                <w:rFonts w:hint="eastAsia" w:ascii="宋体" w:hAnsi="宋体" w:eastAsia="宋体" w:cs="宋体"/>
                <w:color w:val="000000"/>
                <w:kern w:val="0"/>
                <w:sz w:val="20"/>
                <w:szCs w:val="20"/>
              </w:rPr>
              <w:t>2.没有现成信息需要另行制作</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left"/>
              <w:rPr>
                <w:color w:val="000000"/>
              </w:rPr>
            </w:pPr>
            <w:r>
              <w:rPr>
                <w:rFonts w:hint="eastAsia" w:ascii="宋体" w:hAnsi="宋体" w:eastAsia="宋体" w:cs="宋体"/>
                <w:color w:val="000000"/>
                <w:kern w:val="0"/>
                <w:sz w:val="20"/>
                <w:szCs w:val="20"/>
              </w:rPr>
              <w:t>3.补正后申请内容仍不明确</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943" w:type="dxa"/>
            <w:vMerge w:val="restart"/>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widowControl/>
              <w:jc w:val="left"/>
              <w:rPr>
                <w:color w:val="000000"/>
              </w:rPr>
            </w:pPr>
            <w:r>
              <w:rPr>
                <w:rFonts w:hint="eastAsia" w:ascii="宋体" w:hAnsi="宋体" w:eastAsia="宋体" w:cs="宋体"/>
                <w:color w:val="000000"/>
                <w:kern w:val="0"/>
                <w:sz w:val="20"/>
                <w:szCs w:val="20"/>
              </w:rPr>
              <w:t>（五）不予处理</w:t>
            </w: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left"/>
              <w:rPr>
                <w:color w:val="000000"/>
              </w:rPr>
            </w:pPr>
            <w:r>
              <w:rPr>
                <w:rFonts w:hint="eastAsia" w:ascii="宋体" w:hAnsi="宋体" w:eastAsia="宋体" w:cs="宋体"/>
                <w:color w:val="000000"/>
                <w:kern w:val="0"/>
                <w:sz w:val="20"/>
                <w:szCs w:val="20"/>
              </w:rPr>
              <w:t>1.信访举报投诉类申请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left"/>
              <w:rPr>
                <w:color w:val="000000"/>
              </w:rPr>
            </w:pPr>
            <w:r>
              <w:rPr>
                <w:rFonts w:hint="eastAsia" w:ascii="宋体" w:hAnsi="宋体" w:eastAsia="宋体" w:cs="宋体"/>
                <w:color w:val="000000"/>
                <w:kern w:val="0"/>
                <w:sz w:val="20"/>
                <w:szCs w:val="20"/>
              </w:rPr>
              <w:t>2.重复申请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left"/>
              <w:rPr>
                <w:color w:val="000000"/>
              </w:rPr>
            </w:pPr>
            <w:r>
              <w:rPr>
                <w:rFonts w:hint="eastAsia" w:ascii="宋体" w:hAnsi="宋体" w:eastAsia="宋体" w:cs="宋体"/>
                <w:color w:val="000000"/>
                <w:kern w:val="0"/>
                <w:sz w:val="20"/>
                <w:szCs w:val="20"/>
              </w:rPr>
              <w:t>3.要求提供公开出版物</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left"/>
              <w:rPr>
                <w:color w:val="000000"/>
              </w:rPr>
            </w:pPr>
            <w:r>
              <w:rPr>
                <w:rFonts w:hint="eastAsia" w:ascii="宋体" w:hAnsi="宋体" w:eastAsia="宋体" w:cs="宋体"/>
                <w:color w:val="000000"/>
                <w:kern w:val="0"/>
                <w:sz w:val="20"/>
                <w:szCs w:val="20"/>
              </w:rPr>
              <w:t>4.无正当理由大量反复申请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3220"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widowControl/>
              <w:rPr>
                <w:color w:val="000000"/>
              </w:rPr>
            </w:pPr>
            <w:r>
              <w:rPr>
                <w:rFonts w:hint="eastAsia" w:ascii="宋体" w:hAnsi="宋体" w:eastAsia="宋体" w:cs="宋体"/>
                <w:color w:val="000000"/>
                <w:kern w:val="0"/>
                <w:sz w:val="20"/>
                <w:szCs w:val="20"/>
              </w:rPr>
              <w:t>5.要求行政机关确认或重新出具已获取信息</w:t>
            </w:r>
          </w:p>
        </w:tc>
        <w:tc>
          <w:tcPr>
            <w:tcW w:w="688"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943" w:type="dxa"/>
            <w:vMerge w:val="restart"/>
            <w:tcBorders>
              <w:top w:val="outset"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pPr>
              <w:widowControl/>
              <w:jc w:val="left"/>
              <w:rPr>
                <w:color w:val="000000"/>
              </w:rPr>
            </w:pPr>
            <w:r>
              <w:rPr>
                <w:rFonts w:hint="eastAsia" w:ascii="宋体" w:hAnsi="宋体" w:eastAsia="宋体" w:cs="宋体"/>
                <w:color w:val="000000"/>
                <w:kern w:val="0"/>
                <w:sz w:val="20"/>
                <w:szCs w:val="20"/>
              </w:rPr>
              <w:t>（六）其他处理</w:t>
            </w: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rPr>
                <w:color w:val="000000"/>
              </w:rPr>
            </w:pPr>
            <w:r>
              <w:rPr>
                <w:rFonts w:hint="eastAsia" w:ascii="宋体" w:hAnsi="宋体" w:eastAsia="宋体" w:cs="宋体"/>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943" w:type="dxa"/>
            <w:vMerge w:val="continue"/>
            <w:tcBorders>
              <w:top w:val="outset"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rPr>
                <w:color w:val="000000"/>
              </w:rPr>
            </w:pPr>
            <w:r>
              <w:rPr>
                <w:rFonts w:hint="eastAsia" w:ascii="宋体" w:hAnsi="宋体" w:eastAsia="宋体" w:cs="宋体"/>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943" w:type="dxa"/>
            <w:vMerge w:val="continue"/>
            <w:tcBorders>
              <w:top w:val="outset"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left"/>
              <w:rPr>
                <w:color w:val="000000"/>
              </w:rPr>
            </w:pPr>
            <w:r>
              <w:rPr>
                <w:rFonts w:hint="eastAsia" w:ascii="宋体" w:hAnsi="宋体" w:eastAsia="宋体" w:cs="宋体"/>
                <w:color w:val="000000"/>
                <w:kern w:val="0"/>
                <w:sz w:val="20"/>
                <w:szCs w:val="20"/>
              </w:rPr>
              <w:t>3.其他</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ascii="宋体"/>
                <w:color w:val="000000"/>
                <w:sz w:val="24"/>
              </w:rPr>
            </w:pPr>
          </w:p>
        </w:tc>
        <w:tc>
          <w:tcPr>
            <w:tcW w:w="4163" w:type="dxa"/>
            <w:gridSpan w:val="2"/>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left"/>
              <w:rPr>
                <w:color w:val="000000"/>
              </w:rPr>
            </w:pPr>
            <w:r>
              <w:rPr>
                <w:rFonts w:hint="eastAsia" w:ascii="宋体" w:hAnsi="宋体" w:eastAsia="宋体" w:cs="宋体"/>
                <w:color w:val="000000"/>
                <w:kern w:val="0"/>
                <w:sz w:val="20"/>
                <w:szCs w:val="20"/>
              </w:rPr>
              <w:t>（七）总计</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left"/>
              <w:rPr>
                <w:color w:val="000000"/>
              </w:rPr>
            </w:pPr>
            <w:r>
              <w:rPr>
                <w:rFonts w:hint="eastAsia" w:ascii="宋体" w:hAnsi="宋体" w:eastAsia="宋体" w:cs="宋体"/>
                <w:color w:val="000000"/>
                <w:kern w:val="0"/>
                <w:sz w:val="20"/>
                <w:szCs w:val="20"/>
              </w:rPr>
              <w:t>四、结转下年度继续办理</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pPr>
              <w:widowControl/>
              <w:jc w:val="center"/>
              <w:rPr>
                <w:color w:val="000000"/>
              </w:rPr>
            </w:pPr>
            <w:r>
              <w:rPr>
                <w:rFonts w:hint="eastAsia" w:ascii="宋体" w:hAnsi="宋体" w:eastAsia="宋体" w:cs="宋体"/>
                <w:color w:val="000000"/>
                <w:kern w:val="0"/>
                <w:sz w:val="20"/>
                <w:szCs w:val="20"/>
              </w:rPr>
              <w:t>0</w:t>
            </w:r>
          </w:p>
        </w:tc>
      </w:tr>
    </w:tbl>
    <w:p>
      <w:pPr>
        <w:pStyle w:val="4"/>
        <w:widowControl/>
        <w:spacing w:beforeAutospacing="0" w:afterAutospacing="0"/>
        <w:ind w:firstLine="643" w:firstLineChars="200"/>
        <w:jc w:val="both"/>
        <w:rPr>
          <w:rFonts w:ascii="黑体" w:hAnsi="黑体" w:eastAsia="黑体" w:cs="黑体"/>
          <w:b/>
          <w:color w:val="333333"/>
          <w:sz w:val="32"/>
          <w:szCs w:val="32"/>
          <w:shd w:val="clear" w:color="auto" w:fill="FFFFFF"/>
        </w:rPr>
      </w:pPr>
    </w:p>
    <w:p>
      <w:pPr>
        <w:pStyle w:val="4"/>
        <w:widowControl/>
        <w:spacing w:beforeAutospacing="0" w:afterAutospacing="0"/>
        <w:ind w:firstLine="643" w:firstLineChars="200"/>
        <w:jc w:val="both"/>
        <w:rPr>
          <w:rFonts w:ascii="黑体" w:hAnsi="黑体" w:eastAsia="黑体" w:cs="黑体"/>
          <w:b/>
          <w:color w:val="333333"/>
          <w:sz w:val="32"/>
          <w:szCs w:val="32"/>
          <w:shd w:val="clear" w:color="auto" w:fill="FFFFFF"/>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color w:val="333333"/>
          <w:sz w:val="32"/>
          <w:szCs w:val="32"/>
          <w:shd w:val="clear" w:color="auto" w:fill="FFFFFF"/>
        </w:rPr>
      </w:pPr>
      <w:r>
        <w:rPr>
          <w:rFonts w:hint="eastAsia" w:ascii="黑体" w:hAnsi="黑体" w:eastAsia="黑体" w:cs="黑体"/>
          <w:b w:val="0"/>
          <w:bCs/>
          <w:color w:val="333333"/>
          <w:sz w:val="32"/>
          <w:szCs w:val="32"/>
          <w:shd w:val="clear" w:color="auto" w:fill="FFFFFF"/>
        </w:rPr>
        <w:t>四、政府信息公开行政复议、行政诉讼情况</w:t>
      </w:r>
    </w:p>
    <w:tbl>
      <w:tblPr>
        <w:tblStyle w:val="5"/>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结果纠正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其他结果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尚未审结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ascii="宋体"/>
                <w:color w:val="000000"/>
                <w:sz w:val="24"/>
              </w:rPr>
            </w:pPr>
          </w:p>
        </w:tc>
        <w:tc>
          <w:tcPr>
            <w:tcW w:w="649"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ascii="宋体"/>
                <w:color w:val="000000"/>
                <w:sz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ascii="宋体"/>
                <w:color w:val="000000"/>
                <w:sz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ascii="宋体"/>
                <w:color w:val="000000"/>
                <w:sz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ascii="宋体"/>
                <w:color w:val="000000"/>
                <w:sz w:val="24"/>
              </w:rPr>
            </w:pPr>
          </w:p>
        </w:tc>
        <w:tc>
          <w:tcPr>
            <w:tcW w:w="649"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结果维持</w:t>
            </w:r>
          </w:p>
        </w:tc>
        <w:tc>
          <w:tcPr>
            <w:tcW w:w="649"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结果纠正</w:t>
            </w:r>
          </w:p>
        </w:tc>
        <w:tc>
          <w:tcPr>
            <w:tcW w:w="650"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其他结果</w:t>
            </w:r>
          </w:p>
        </w:tc>
        <w:tc>
          <w:tcPr>
            <w:tcW w:w="650"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尚未审结</w:t>
            </w:r>
          </w:p>
        </w:tc>
        <w:tc>
          <w:tcPr>
            <w:tcW w:w="650"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结果维持</w:t>
            </w:r>
          </w:p>
        </w:tc>
        <w:tc>
          <w:tcPr>
            <w:tcW w:w="650"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结果纠正</w:t>
            </w:r>
          </w:p>
        </w:tc>
        <w:tc>
          <w:tcPr>
            <w:tcW w:w="650"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其他结果</w:t>
            </w:r>
          </w:p>
        </w:tc>
        <w:tc>
          <w:tcPr>
            <w:tcW w:w="650"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尚未审结</w:t>
            </w:r>
          </w:p>
        </w:tc>
        <w:tc>
          <w:tcPr>
            <w:tcW w:w="650"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jc w:val="center"/>
        </w:trPr>
        <w:tc>
          <w:tcPr>
            <w:tcW w:w="649"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ascii="Calibri" w:hAnsi="Calibri" w:cs="Calibri"/>
                <w:color w:val="000000"/>
                <w:kern w:val="0"/>
                <w:sz w:val="20"/>
                <w:szCs w:val="20"/>
              </w:rPr>
              <w:t> </w:t>
            </w:r>
            <w:r>
              <w:rPr>
                <w:rFonts w:hint="eastAsia" w:ascii="宋体" w:hAnsi="宋体" w:eastAsia="宋体" w:cs="宋体"/>
                <w:color w:val="000000"/>
                <w:kern w:val="0"/>
                <w:sz w:val="20"/>
                <w:szCs w:val="20"/>
              </w:rPr>
              <w:t>0</w:t>
            </w:r>
          </w:p>
        </w:tc>
        <w:tc>
          <w:tcPr>
            <w:tcW w:w="649"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49"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49"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49"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49"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49"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ascii="Calibri" w:hAnsi="Calibri" w:cs="Calibri"/>
                <w:color w:val="000000"/>
                <w:kern w:val="0"/>
                <w:sz w:val="20"/>
                <w:szCs w:val="20"/>
              </w:rPr>
              <w:t> </w:t>
            </w:r>
            <w:r>
              <w:rPr>
                <w:rFonts w:hint="eastAsia" w:ascii="宋体" w:hAnsi="宋体" w:eastAsia="宋体" w:cs="宋体"/>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rPr>
            </w:pPr>
            <w:r>
              <w:rPr>
                <w:rFonts w:hint="eastAsia" w:ascii="宋体" w:hAnsi="宋体" w:eastAsia="宋体" w:cs="宋体"/>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jc w:val="center"/>
              <w:rPr>
                <w:rFonts w:ascii="宋体"/>
                <w:color w:val="000000"/>
                <w:sz w:val="24"/>
              </w:rPr>
            </w:pPr>
            <w:r>
              <w:rPr>
                <w:rFonts w:hint="eastAsia" w:ascii="宋体" w:hAnsi="宋体" w:eastAsia="宋体" w:cs="宋体"/>
                <w:color w:val="000000"/>
                <w:kern w:val="0"/>
                <w:sz w:val="20"/>
                <w:szCs w:val="20"/>
              </w:rPr>
              <w:t>0</w:t>
            </w:r>
          </w:p>
        </w:tc>
      </w:tr>
    </w:tbl>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color w:val="333333"/>
          <w:sz w:val="32"/>
          <w:szCs w:val="32"/>
          <w:shd w:val="clear" w:color="auto" w:fill="FFFFFF"/>
        </w:rPr>
      </w:pPr>
      <w:r>
        <w:rPr>
          <w:rFonts w:hint="eastAsia" w:ascii="黑体" w:hAnsi="黑体" w:eastAsia="黑体" w:cs="黑体"/>
          <w:b w:val="0"/>
          <w:bCs/>
          <w:color w:val="333333"/>
          <w:sz w:val="32"/>
          <w:szCs w:val="32"/>
          <w:shd w:val="clear" w:color="auto" w:fill="FFFFFF"/>
        </w:rPr>
        <w:t>五、存在的主要问题及改进情况</w:t>
      </w:r>
    </w:p>
    <w:p>
      <w:pPr>
        <w:pStyle w:val="4"/>
        <w:widowControl/>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我局信息公开工作总体上稳步推进，但也存在一些问题，主要表现在：</w:t>
      </w:r>
    </w:p>
    <w:p>
      <w:pPr>
        <w:pStyle w:val="4"/>
        <w:widowControl/>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（一）主动公开政府信息意识方面，</w:t>
      </w:r>
      <w:r>
        <w:rPr>
          <w:rFonts w:hint="eastAsia" w:ascii="仿宋_GB2312" w:hAnsi="仿宋_GB2312" w:eastAsia="仿宋_GB2312" w:cs="仿宋_GB2312"/>
          <w:sz w:val="32"/>
          <w:szCs w:val="32"/>
        </w:rPr>
        <w:t>在贯彻《中华人民共和国政府信息公开条例》的工作中，主动公开政府信息的意识还需要进一步提高。下一步要提高思想认识，切实加强组织领导，充分领会和落实政府信息公开要求。</w:t>
      </w:r>
    </w:p>
    <w:p>
      <w:pPr>
        <w:pStyle w:val="4"/>
        <w:widowControl/>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（二）政府信息公开工作的配套制度和工作机制方面，</w:t>
      </w:r>
      <w:r>
        <w:rPr>
          <w:rFonts w:hint="eastAsia" w:ascii="仿宋_GB2312" w:hAnsi="仿宋_GB2312" w:eastAsia="仿宋_GB2312" w:cs="仿宋_GB2312"/>
          <w:sz w:val="32"/>
          <w:szCs w:val="32"/>
        </w:rPr>
        <w:t>政府信息公开工作的配套制度和工作机制还需要进一步完善。下一步要强化日常管理，将政府信息公开工作和日常业务工作紧密结合，在我委各类文件产生之初就鉴定其属性是否公开及公开范围，重点保证信息及时公开。</w:t>
      </w:r>
    </w:p>
    <w:p>
      <w:pPr>
        <w:pStyle w:val="4"/>
        <w:widowControl/>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（三）政府信息公开形式和内容方面，</w:t>
      </w:r>
      <w:r>
        <w:rPr>
          <w:rFonts w:hint="eastAsia" w:ascii="仿宋_GB2312" w:hAnsi="仿宋_GB2312" w:eastAsia="仿宋_GB2312" w:cs="仿宋_GB2312"/>
          <w:sz w:val="32"/>
          <w:szCs w:val="32"/>
        </w:rPr>
        <w:t>信息公开内容与社会各界的需求相比还有一定差距，信息公开形式有待进一步拓展。下一步要进一步完善和优化政府信息公开形式，增强服务功能，方便公众获取和检索相关政府信息。加强对公众关注度高的热点信息进行梳理，深入推进卫生健康重点领域信息公开，加强解读回应和公众参与，不断提升政务公开服务能效。</w:t>
      </w:r>
    </w:p>
    <w:p>
      <w:pPr>
        <w:pStyle w:val="4"/>
        <w:widowControl/>
        <w:spacing w:beforeAutospacing="0" w:afterAutospacing="0" w:line="560" w:lineRule="exact"/>
        <w:ind w:firstLine="640" w:firstLineChars="200"/>
        <w:jc w:val="both"/>
        <w:rPr>
          <w:rFonts w:hint="eastAsia" w:ascii="黑体" w:hAnsi="黑体" w:eastAsia="黑体" w:cs="黑体"/>
          <w:b w:val="0"/>
          <w:bCs/>
          <w:color w:val="333333"/>
          <w:sz w:val="32"/>
          <w:szCs w:val="32"/>
          <w:shd w:val="clear" w:color="auto" w:fill="FFFFFF"/>
        </w:rPr>
      </w:pPr>
      <w:r>
        <w:rPr>
          <w:rFonts w:hint="eastAsia" w:ascii="黑体" w:hAnsi="黑体" w:eastAsia="黑体" w:cs="黑体"/>
          <w:b w:val="0"/>
          <w:bCs/>
          <w:color w:val="333333"/>
          <w:sz w:val="32"/>
          <w:szCs w:val="32"/>
          <w:shd w:val="clear" w:color="auto" w:fill="FFFFFF"/>
        </w:rPr>
        <w:t>六、其他需要报告的事项</w:t>
      </w:r>
    </w:p>
    <w:p>
      <w:pPr>
        <w:pStyle w:val="4"/>
        <w:widowControl/>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pStyle w:val="4"/>
        <w:widowControl/>
        <w:spacing w:beforeAutospacing="0" w:afterAutospacing="0" w:line="560" w:lineRule="exact"/>
        <w:ind w:firstLine="640" w:firstLineChars="200"/>
        <w:jc w:val="both"/>
        <w:rPr>
          <w:rFonts w:hint="eastAsia" w:ascii="仿宋_GB2312" w:hAnsi="仿宋_GB2312" w:eastAsia="仿宋_GB2312" w:cs="仿宋_GB2312"/>
          <w:sz w:val="32"/>
          <w:szCs w:val="32"/>
        </w:rPr>
      </w:pPr>
    </w:p>
    <w:p>
      <w:pPr>
        <w:pStyle w:val="4"/>
        <w:widowControl/>
        <w:spacing w:beforeAutospacing="0" w:afterAutospacing="0" w:line="560" w:lineRule="exact"/>
        <w:ind w:firstLine="420"/>
        <w:jc w:val="both"/>
        <w:rPr>
          <w:rFonts w:ascii="仿宋" w:hAnsi="仿宋" w:eastAsia="仿宋" w:cs="仿宋"/>
          <w:sz w:val="32"/>
          <w:szCs w:val="32"/>
        </w:rPr>
      </w:pPr>
    </w:p>
    <w:p>
      <w:pPr>
        <w:pStyle w:val="4"/>
        <w:widowControl/>
        <w:spacing w:beforeAutospacing="0" w:afterAutospacing="0" w:line="560" w:lineRule="exact"/>
        <w:ind w:firstLine="5120" w:firstLineChars="1600"/>
        <w:jc w:val="both"/>
        <w:rPr>
          <w:rFonts w:ascii="仿宋" w:hAnsi="仿宋" w:eastAsia="仿宋" w:cs="仿宋"/>
          <w:sz w:val="32"/>
          <w:szCs w:val="32"/>
        </w:rPr>
      </w:pPr>
      <w:bookmarkStart w:id="0" w:name="_GoBack"/>
      <w:bookmarkEnd w:id="0"/>
    </w:p>
    <w:sectPr>
      <w:footerReference r:id="rId3" w:type="default"/>
      <w:pgSz w:w="11906" w:h="16838"/>
      <w:pgMar w:top="1701" w:right="1701" w:bottom="1417" w:left="170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A19043B"/>
    <w:rsid w:val="000231A3"/>
    <w:rsid w:val="00403E24"/>
    <w:rsid w:val="00470876"/>
    <w:rsid w:val="004771A7"/>
    <w:rsid w:val="004B48CF"/>
    <w:rsid w:val="00567AC0"/>
    <w:rsid w:val="00573607"/>
    <w:rsid w:val="005E5E54"/>
    <w:rsid w:val="00600700"/>
    <w:rsid w:val="00683AE9"/>
    <w:rsid w:val="006C624B"/>
    <w:rsid w:val="006E5DC4"/>
    <w:rsid w:val="007758BB"/>
    <w:rsid w:val="007A78BE"/>
    <w:rsid w:val="00C04D95"/>
    <w:rsid w:val="00C32A9E"/>
    <w:rsid w:val="00C51091"/>
    <w:rsid w:val="00DA1A4E"/>
    <w:rsid w:val="00E514C9"/>
    <w:rsid w:val="0ABB11E3"/>
    <w:rsid w:val="0EB67D00"/>
    <w:rsid w:val="0F0F1D83"/>
    <w:rsid w:val="1013374C"/>
    <w:rsid w:val="14BC7411"/>
    <w:rsid w:val="1C233EE4"/>
    <w:rsid w:val="21227F72"/>
    <w:rsid w:val="23614367"/>
    <w:rsid w:val="254078AB"/>
    <w:rsid w:val="26882D8F"/>
    <w:rsid w:val="29770A8B"/>
    <w:rsid w:val="2AAD03A7"/>
    <w:rsid w:val="2DD218DC"/>
    <w:rsid w:val="31221B99"/>
    <w:rsid w:val="34C4678D"/>
    <w:rsid w:val="3905700A"/>
    <w:rsid w:val="3B0752BB"/>
    <w:rsid w:val="41157B20"/>
    <w:rsid w:val="412D31EF"/>
    <w:rsid w:val="423F533B"/>
    <w:rsid w:val="44286808"/>
    <w:rsid w:val="480D6AF5"/>
    <w:rsid w:val="4A6C643C"/>
    <w:rsid w:val="4E87003C"/>
    <w:rsid w:val="521316EB"/>
    <w:rsid w:val="52C400AC"/>
    <w:rsid w:val="57550FE5"/>
    <w:rsid w:val="57CC5EC1"/>
    <w:rsid w:val="58C16652"/>
    <w:rsid w:val="5BE97D3A"/>
    <w:rsid w:val="5FA61B0D"/>
    <w:rsid w:val="609300F1"/>
    <w:rsid w:val="60EB4BB4"/>
    <w:rsid w:val="616222C6"/>
    <w:rsid w:val="63814D51"/>
    <w:rsid w:val="68C223D4"/>
    <w:rsid w:val="72052EA4"/>
    <w:rsid w:val="739B2A15"/>
    <w:rsid w:val="74F6575E"/>
    <w:rsid w:val="76777D7B"/>
    <w:rsid w:val="77A361C7"/>
    <w:rsid w:val="7A1904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FollowedHyperlink"/>
    <w:basedOn w:val="6"/>
    <w:qFormat/>
    <w:uiPriority w:val="0"/>
    <w:rPr>
      <w:color w:val="666666"/>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Typewriter"/>
    <w:basedOn w:val="6"/>
    <w:qFormat/>
    <w:uiPriority w:val="0"/>
    <w:rPr>
      <w:rFonts w:ascii="monospace" w:hAnsi="monospace" w:eastAsia="monospace" w:cs="monospace"/>
      <w:sz w:val="20"/>
      <w:shd w:val="clear" w:color="auto" w:fill="E0ECF9"/>
    </w:rPr>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666666"/>
      <w:u w:val="none"/>
    </w:rPr>
  </w:style>
  <w:style w:type="character" w:styleId="14">
    <w:name w:val="HTML Code"/>
    <w:basedOn w:val="6"/>
    <w:qFormat/>
    <w:uiPriority w:val="0"/>
    <w:rPr>
      <w:rFonts w:hint="default" w:ascii="monospace" w:hAnsi="monospace" w:eastAsia="monospace" w:cs="monospace"/>
      <w:sz w:val="20"/>
    </w:rPr>
  </w:style>
  <w:style w:type="character" w:styleId="15">
    <w:name w:val="HTML Cite"/>
    <w:basedOn w:val="6"/>
    <w:qFormat/>
    <w:uiPriority w:val="0"/>
  </w:style>
  <w:style w:type="character" w:styleId="16">
    <w:name w:val="HTML Keyboard"/>
    <w:basedOn w:val="6"/>
    <w:qFormat/>
    <w:uiPriority w:val="0"/>
    <w:rPr>
      <w:rFonts w:hint="default" w:ascii="monospace" w:hAnsi="monospace" w:eastAsia="monospace" w:cs="monospace"/>
      <w:sz w:val="20"/>
    </w:rPr>
  </w:style>
  <w:style w:type="character" w:styleId="17">
    <w:name w:val="HTML Sample"/>
    <w:basedOn w:val="6"/>
    <w:qFormat/>
    <w:uiPriority w:val="0"/>
    <w:rPr>
      <w:rFonts w:hint="default" w:ascii="monospace" w:hAnsi="monospace" w:eastAsia="monospace" w:cs="monospace"/>
    </w:rPr>
  </w:style>
  <w:style w:type="character" w:customStyle="1" w:styleId="18">
    <w:name w:val="no12"/>
    <w:basedOn w:val="6"/>
    <w:qFormat/>
    <w:uiPriority w:val="0"/>
  </w:style>
  <w:style w:type="character" w:customStyle="1" w:styleId="19">
    <w:name w:val="no22"/>
    <w:basedOn w:val="6"/>
    <w:qFormat/>
    <w:uiPriority w:val="0"/>
  </w:style>
  <w:style w:type="character" w:customStyle="1" w:styleId="20">
    <w:name w:val="num2"/>
    <w:basedOn w:val="6"/>
    <w:qFormat/>
    <w:uiPriority w:val="0"/>
    <w:rPr>
      <w:bdr w:val="single" w:color="FF0000" w:sz="2" w:space="0"/>
    </w:rPr>
  </w:style>
  <w:style w:type="character" w:customStyle="1" w:styleId="21">
    <w:name w:val="no32"/>
    <w:basedOn w:val="6"/>
    <w:qFormat/>
    <w:uiPriority w:val="0"/>
  </w:style>
  <w:style w:type="character" w:customStyle="1" w:styleId="22">
    <w:name w:val="non2"/>
    <w:basedOn w:val="6"/>
    <w:qFormat/>
    <w:uiPriority w:val="0"/>
    <w:rPr>
      <w:color w:val="333333"/>
    </w:rPr>
  </w:style>
  <w:style w:type="character" w:customStyle="1" w:styleId="23">
    <w:name w:val="bsharetext"/>
    <w:basedOn w:val="6"/>
    <w:qFormat/>
    <w:uiPriority w:val="0"/>
  </w:style>
  <w:style w:type="character" w:customStyle="1" w:styleId="24">
    <w:name w:val="no1"/>
    <w:basedOn w:val="6"/>
    <w:qFormat/>
    <w:uiPriority w:val="0"/>
  </w:style>
  <w:style w:type="character" w:customStyle="1" w:styleId="25">
    <w:name w:val="no2"/>
    <w:basedOn w:val="6"/>
    <w:qFormat/>
    <w:uiPriority w:val="0"/>
  </w:style>
  <w:style w:type="character" w:customStyle="1" w:styleId="26">
    <w:name w:val="non"/>
    <w:basedOn w:val="6"/>
    <w:qFormat/>
    <w:uiPriority w:val="0"/>
    <w:rPr>
      <w:color w:val="333333"/>
    </w:rPr>
  </w:style>
  <w:style w:type="paragraph" w:customStyle="1" w:styleId="27">
    <w:name w:val="p"/>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1600</Words>
  <Characters>1633</Characters>
  <Lines>326</Lines>
  <Paragraphs>161</Paragraphs>
  <TotalTime>7</TotalTime>
  <ScaleCrop>false</ScaleCrop>
  <LinksUpToDate>false</LinksUpToDate>
  <CharactersWithSpaces>3072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2021-01-20T02:25:00Z</dcterms:created>
  <dc:creator>束</dc:creator>
  <cp:lastModifiedBy>Administrator</cp:lastModifiedBy>
  <cp:lastPrinted>2022-01-19T06:21:00Z</cp:lastPrinted>
  <dcterms:modified xsi:type="dcterms:W3CDTF">2022-01-26T05:46:53Z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5BC0A28CB68E4FB7928DEAD292312D04</vt:lpwstr>
  </property>
</Properties>
</file>