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绥滨县</w:t>
      </w:r>
      <w:r>
        <w:rPr>
          <w:rFonts w:hint="eastAsia" w:ascii="方正小标宋简体" w:hAnsi="方正小标宋简体" w:eastAsia="方正小标宋简体" w:cs="方正小标宋简体"/>
          <w:b w:val="0"/>
          <w:bCs w:val="0"/>
          <w:sz w:val="44"/>
          <w:szCs w:val="44"/>
        </w:rPr>
        <w:t>新富乡</w:t>
      </w:r>
      <w:r>
        <w:rPr>
          <w:rFonts w:hint="eastAsia" w:ascii="方正小标宋简体" w:hAnsi="方正小标宋简体" w:eastAsia="方正小标宋简体" w:cs="方正小标宋简体"/>
          <w:b w:val="0"/>
          <w:bCs w:val="0"/>
          <w:sz w:val="44"/>
          <w:szCs w:val="44"/>
          <w:lang w:eastAsia="zh-CN"/>
        </w:rPr>
        <w:t>人民</w:t>
      </w:r>
      <w:r>
        <w:rPr>
          <w:rFonts w:hint="eastAsia" w:ascii="方正小标宋简体" w:hAnsi="方正小标宋简体" w:eastAsia="方正小标宋简体" w:cs="方正小标宋简体"/>
          <w:b w:val="0"/>
          <w:bCs w:val="0"/>
          <w:sz w:val="44"/>
          <w:szCs w:val="44"/>
        </w:rPr>
        <w:t>政府</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2021年政府</w:t>
      </w:r>
      <w:r>
        <w:rPr>
          <w:rFonts w:hint="eastAsia" w:ascii="方正小标宋简体" w:hAnsi="方正小标宋简体" w:eastAsia="方正小标宋简体" w:cs="方正小标宋简体"/>
          <w:b w:val="0"/>
          <w:bCs w:val="0"/>
          <w:sz w:val="44"/>
          <w:szCs w:val="44"/>
        </w:rPr>
        <w:t>信息公开工作年度报告</w:t>
      </w:r>
    </w:p>
    <w:p>
      <w:pPr>
        <w:pStyle w:val="4"/>
        <w:widowControl/>
        <w:spacing w:beforeAutospacing="0" w:afterAutospacing="0"/>
        <w:jc w:val="center"/>
        <w:rPr>
          <w:rFonts w:ascii="宋体" w:hAnsi="宋体" w:eastAsia="宋体" w:cs="宋体"/>
          <w:b/>
          <w:bCs/>
          <w:sz w:val="44"/>
          <w:szCs w:val="44"/>
        </w:rPr>
      </w:pPr>
    </w:p>
    <w:p>
      <w:pPr>
        <w:pStyle w:val="4"/>
        <w:widowControl/>
        <w:spacing w:beforeAutospacing="0" w:afterAutospacing="0" w:line="560" w:lineRule="exact"/>
        <w:ind w:firstLine="632" w:firstLineChars="200"/>
        <w:jc w:val="both"/>
        <w:rPr>
          <w:rFonts w:ascii="仿宋_GB2312" w:hAnsi="仿宋" w:eastAsia="仿宋_GB2312" w:cs="仿宋"/>
          <w:sz w:val="32"/>
        </w:rPr>
      </w:pPr>
      <w:r>
        <w:rPr>
          <w:rFonts w:hint="eastAsia" w:ascii="仿宋_GB2312" w:hAnsi="仿宋" w:eastAsia="仿宋_GB2312" w:cs="仿宋"/>
          <w:sz w:val="32"/>
        </w:rPr>
        <w:t>我乡按照国务院办公厅政府信息与政务公开办公室关于印发《中华人民共和国政府信息公开工作年度报告格式》的通知（国办公开办函〔2021〕30号）的要求和根据《中华人民共和国政府信息公开条例》（以下简称《条例》）有关要求，向社会公开发布新富乡2021年度政府信息公开年度报告。本报告由新富乡人民政府编制，本报告中所列数据的统计期限自2021年1月1日起至2021年12月31日止。</w:t>
      </w:r>
    </w:p>
    <w:p>
      <w:pPr>
        <w:pStyle w:val="4"/>
        <w:widowControl/>
        <w:spacing w:beforeAutospacing="0" w:afterAutospacing="0" w:line="560" w:lineRule="exact"/>
        <w:ind w:firstLine="632" w:firstLineChars="200"/>
        <w:jc w:val="both"/>
        <w:rPr>
          <w:rFonts w:ascii="黑体" w:hAnsi="黑体" w:eastAsia="黑体" w:cs="黑体"/>
          <w:sz w:val="32"/>
        </w:rPr>
      </w:pPr>
      <w:r>
        <w:rPr>
          <w:rFonts w:hint="eastAsia" w:ascii="黑体" w:hAnsi="黑体" w:eastAsia="黑体" w:cs="黑体"/>
          <w:sz w:val="32"/>
        </w:rPr>
        <w:t>一、总体情况</w:t>
      </w:r>
    </w:p>
    <w:p>
      <w:pPr>
        <w:pStyle w:val="4"/>
        <w:widowControl/>
        <w:spacing w:beforeAutospacing="0" w:afterAutospacing="0" w:line="560" w:lineRule="exact"/>
        <w:ind w:firstLine="632" w:firstLineChars="200"/>
        <w:jc w:val="both"/>
        <w:rPr>
          <w:rFonts w:ascii="仿宋_GB2312" w:hAnsi="仿宋" w:eastAsia="仿宋_GB2312" w:cs="仿宋"/>
          <w:sz w:val="32"/>
        </w:rPr>
      </w:pPr>
      <w:r>
        <w:rPr>
          <w:rFonts w:hint="eastAsia" w:ascii="仿宋_GB2312" w:hAnsi="仿宋" w:eastAsia="仿宋_GB2312" w:cs="仿宋"/>
          <w:sz w:val="32"/>
        </w:rPr>
        <w:t>2021年，新富乡人民政府在各级政府的正确领导及县政务信息化管理服务中心的直接指导下，坚持以习近平新时代中国特色社会主义思想和党的十九大和十九届六中全会精神为指导，以建立责任型、法治型、公开型政府为目标，认真贯彻落实省、市、县政府信息公开工作部署。结合本乡实际，不断纵深发展，2021年我乡信息公开工作取得新进展。现将全年政务公开工作情况报告如下：</w:t>
      </w:r>
    </w:p>
    <w:p>
      <w:pPr>
        <w:pStyle w:val="4"/>
        <w:widowControl/>
        <w:spacing w:beforeAutospacing="0" w:afterAutospacing="0" w:line="560" w:lineRule="exact"/>
        <w:ind w:firstLine="632" w:firstLineChars="200"/>
        <w:jc w:val="both"/>
        <w:rPr>
          <w:rFonts w:ascii="楷体" w:hAnsi="楷体" w:eastAsia="楷体" w:cs="楷体"/>
          <w:sz w:val="32"/>
        </w:rPr>
      </w:pPr>
      <w:r>
        <w:rPr>
          <w:rFonts w:hint="eastAsia" w:ascii="楷体" w:hAnsi="楷体" w:eastAsia="楷体" w:cs="楷体"/>
          <w:sz w:val="32"/>
        </w:rPr>
        <w:t>（一）政府信息主动公开情况</w:t>
      </w:r>
    </w:p>
    <w:p>
      <w:pPr>
        <w:spacing w:line="560" w:lineRule="exact"/>
        <w:ind w:firstLine="632" w:firstLineChars="200"/>
        <w:rPr>
          <w:rFonts w:ascii="仿宋_GB2312" w:hAnsi="仿宋" w:eastAsia="仿宋_GB2312" w:cs="仿宋"/>
          <w:color w:val="FF0000"/>
          <w:kern w:val="0"/>
        </w:rPr>
      </w:pPr>
      <w:r>
        <w:rPr>
          <w:rFonts w:hint="eastAsia" w:ascii="仿宋_GB2312" w:hAnsi="仿宋" w:eastAsia="仿宋_GB2312" w:cs="仿宋"/>
          <w:kern w:val="0"/>
        </w:rPr>
        <w:t>我乡主动公开政府信息途径有：绥滨县政府门户网站及单位公示栏等，截至2021年12月31日，主动公开信息37篇。</w:t>
      </w:r>
    </w:p>
    <w:p>
      <w:pPr>
        <w:pStyle w:val="4"/>
        <w:widowControl/>
        <w:spacing w:beforeAutospacing="0" w:afterAutospacing="0" w:line="560" w:lineRule="exact"/>
        <w:ind w:firstLine="632" w:firstLineChars="200"/>
        <w:jc w:val="both"/>
        <w:rPr>
          <w:rFonts w:ascii="楷体" w:hAnsi="楷体" w:eastAsia="楷体" w:cs="楷体"/>
          <w:sz w:val="32"/>
        </w:rPr>
      </w:pPr>
      <w:r>
        <w:rPr>
          <w:rFonts w:hint="eastAsia" w:ascii="楷体" w:hAnsi="楷体" w:eastAsia="楷体" w:cs="楷体"/>
          <w:sz w:val="32"/>
        </w:rPr>
        <w:t>（二）政府信息依申请公开情况</w:t>
      </w:r>
    </w:p>
    <w:p>
      <w:pPr>
        <w:spacing w:line="560" w:lineRule="exact"/>
        <w:ind w:firstLine="632" w:firstLineChars="200"/>
        <w:rPr>
          <w:rFonts w:ascii="仿宋_GB2312" w:hAnsi="仿宋" w:eastAsia="仿宋_GB2312" w:cs="仿宋"/>
          <w:kern w:val="0"/>
        </w:rPr>
      </w:pPr>
      <w:r>
        <w:rPr>
          <w:rFonts w:hint="eastAsia" w:ascii="仿宋_GB2312" w:hAnsi="仿宋" w:eastAsia="仿宋_GB2312" w:cs="仿宋"/>
          <w:kern w:val="0"/>
        </w:rPr>
        <w:t>2021年我乡未收到依申请公开事项。</w:t>
      </w:r>
    </w:p>
    <w:p>
      <w:pPr>
        <w:pStyle w:val="4"/>
        <w:widowControl/>
        <w:spacing w:beforeAutospacing="0" w:afterAutospacing="0" w:line="560" w:lineRule="exact"/>
        <w:ind w:firstLine="632" w:firstLineChars="200"/>
        <w:jc w:val="both"/>
        <w:rPr>
          <w:rFonts w:ascii="楷体" w:hAnsi="楷体" w:eastAsia="楷体" w:cs="楷体"/>
          <w:sz w:val="32"/>
        </w:rPr>
      </w:pPr>
      <w:r>
        <w:rPr>
          <w:rFonts w:hint="eastAsia" w:ascii="楷体" w:hAnsi="楷体" w:eastAsia="楷体" w:cs="楷体"/>
          <w:sz w:val="32"/>
        </w:rPr>
        <w:t>（三）政府信息管理情况</w:t>
      </w:r>
    </w:p>
    <w:p>
      <w:pPr>
        <w:pStyle w:val="4"/>
        <w:widowControl/>
        <w:spacing w:beforeAutospacing="0" w:afterAutospacing="0" w:line="560" w:lineRule="exact"/>
        <w:ind w:firstLine="632" w:firstLineChars="200"/>
        <w:jc w:val="both"/>
        <w:rPr>
          <w:rFonts w:ascii="仿宋_GB2312" w:hAnsi="仿宋" w:eastAsia="仿宋_GB2312" w:cs="仿宋"/>
          <w:sz w:val="32"/>
        </w:rPr>
      </w:pPr>
      <w:r>
        <w:rPr>
          <w:rFonts w:hint="eastAsia" w:ascii="仿宋_GB2312" w:hAnsi="仿宋" w:eastAsia="仿宋_GB2312" w:cs="仿宋"/>
          <w:sz w:val="32"/>
        </w:rPr>
        <w:t>2021年，我乡严格落实信息发布审核制度，严把信息审核关，坚决做到未经审核信息不公开。认真审核公开信息内容，严把政策关、时效关、文字关，遵照国家有关政策要求，按照规定的时限、格式发布文字、图片和视频信息，确保信息及时、准确、规范公开，发布的政府信息涉及其他部门的，在公开该政府信息前，信息公开人员与所涉及的部门进行沟通、确认，保证公开的政府信息准确一致。</w:t>
      </w:r>
    </w:p>
    <w:p>
      <w:pPr>
        <w:pStyle w:val="4"/>
        <w:widowControl/>
        <w:spacing w:beforeAutospacing="0" w:afterAutospacing="0" w:line="560" w:lineRule="exact"/>
        <w:ind w:firstLine="632" w:firstLineChars="200"/>
        <w:jc w:val="both"/>
        <w:rPr>
          <w:rFonts w:ascii="楷体" w:hAnsi="楷体" w:eastAsia="楷体" w:cs="楷体"/>
          <w:sz w:val="32"/>
        </w:rPr>
      </w:pPr>
      <w:r>
        <w:rPr>
          <w:rFonts w:hint="eastAsia" w:ascii="楷体" w:hAnsi="楷体" w:eastAsia="楷体" w:cs="楷体"/>
          <w:sz w:val="32"/>
        </w:rPr>
        <w:t>（四）政府信息公开平台建设情况</w:t>
      </w:r>
    </w:p>
    <w:p>
      <w:pPr>
        <w:pStyle w:val="4"/>
        <w:widowControl/>
        <w:spacing w:beforeAutospacing="0" w:afterAutospacing="0" w:line="560" w:lineRule="exact"/>
        <w:ind w:firstLine="632" w:firstLineChars="200"/>
        <w:jc w:val="both"/>
        <w:rPr>
          <w:rFonts w:ascii="仿宋_GB2312" w:hAnsi="仿宋" w:eastAsia="仿宋_GB2312" w:cs="仿宋"/>
          <w:sz w:val="32"/>
        </w:rPr>
      </w:pPr>
      <w:r>
        <w:rPr>
          <w:rFonts w:hint="eastAsia" w:ascii="仿宋_GB2312" w:hAnsi="仿宋" w:eastAsia="仿宋_GB2312" w:cs="仿宋"/>
          <w:sz w:val="32"/>
        </w:rPr>
        <w:t>加强信息公开平台建设，充分利用单位公开栏、宣传单等方式公开，对重点领域信息、社会救助与社会福利等信息进行公开，保障人民基本权益；严格落实网络意识形态责任制，切实加强信息发布审核。</w:t>
      </w:r>
    </w:p>
    <w:p>
      <w:pPr>
        <w:pStyle w:val="4"/>
        <w:widowControl/>
        <w:spacing w:beforeAutospacing="0" w:afterAutospacing="0" w:line="560" w:lineRule="exact"/>
        <w:ind w:firstLine="632" w:firstLineChars="200"/>
        <w:jc w:val="both"/>
        <w:rPr>
          <w:rFonts w:ascii="楷体" w:hAnsi="楷体" w:eastAsia="楷体" w:cs="楷体"/>
          <w:sz w:val="32"/>
        </w:rPr>
      </w:pPr>
      <w:r>
        <w:rPr>
          <w:rFonts w:hint="eastAsia" w:ascii="楷体" w:hAnsi="楷体" w:eastAsia="楷体" w:cs="楷体"/>
          <w:sz w:val="32"/>
        </w:rPr>
        <w:t>（五）监督保障情况</w:t>
      </w:r>
    </w:p>
    <w:p>
      <w:pPr>
        <w:pStyle w:val="4"/>
        <w:widowControl/>
        <w:spacing w:beforeAutospacing="0" w:afterAutospacing="0" w:line="560" w:lineRule="exact"/>
        <w:ind w:firstLine="632" w:firstLineChars="200"/>
        <w:jc w:val="both"/>
        <w:rPr>
          <w:rFonts w:ascii="仿宋_GB2312" w:hAnsi="仿宋" w:eastAsia="仿宋_GB2312" w:cs="仿宋"/>
          <w:sz w:val="32"/>
        </w:rPr>
      </w:pPr>
      <w:r>
        <w:rPr>
          <w:rFonts w:hint="eastAsia" w:ascii="仿宋_GB2312" w:hAnsi="仿宋" w:eastAsia="仿宋_GB2312" w:cs="仿宋"/>
          <w:sz w:val="32"/>
        </w:rPr>
        <w:t>加强日常监测，对发布的信息内容质量等进行日常监督检查，发现问题及时纠正错漏并做好记录，保证核查的有效性。建立健全监督制度，强化督导落实，完善政府信息公开保密审查制度、政府信息公开责任追究制度和依申请政府信息按时公开制度，同步抓好各项制度的落实。</w:t>
      </w:r>
    </w:p>
    <w:p>
      <w:pPr>
        <w:pStyle w:val="4"/>
        <w:widowControl/>
        <w:spacing w:beforeAutospacing="0" w:afterAutospacing="0" w:line="560" w:lineRule="exact"/>
        <w:ind w:firstLine="632" w:firstLineChars="200"/>
        <w:jc w:val="both"/>
        <w:rPr>
          <w:rFonts w:ascii="黑体" w:hAnsi="黑体" w:eastAsia="黑体" w:cs="黑体"/>
          <w:sz w:val="32"/>
        </w:rPr>
      </w:pPr>
      <w:r>
        <w:rPr>
          <w:rFonts w:hint="eastAsia" w:ascii="黑体" w:hAnsi="黑体" w:eastAsia="黑体" w:cs="黑体"/>
          <w:sz w:val="32"/>
        </w:rPr>
        <w:t>二、主动公开政府信息情况</w:t>
      </w:r>
    </w:p>
    <w:tbl>
      <w:tblPr>
        <w:tblStyle w:val="5"/>
        <w:tblW w:w="9740" w:type="dxa"/>
        <w:jc w:val="center"/>
        <w:tblLayout w:type="fixed"/>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widowControl/>
              <w:spacing w:beforeAutospacing="1"/>
              <w:jc w:val="center"/>
            </w:pPr>
            <w:r>
              <w:rPr>
                <w:rFonts w:hint="eastAsia" w:ascii="宋体" w:hAnsi="宋体" w:eastAsia="宋体" w:cs="宋体"/>
                <w:color w:val="000000"/>
                <w:kern w:val="0"/>
                <w:sz w:val="20"/>
                <w:szCs w:val="20"/>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beforeAutospacing="1"/>
              <w:jc w:val="center"/>
            </w:pPr>
            <w:r>
              <w:rPr>
                <w:rFonts w:hint="eastAsia" w:ascii="宋体" w:hAnsi="宋体" w:eastAsia="宋体" w:cs="宋体"/>
                <w:color w:val="000000"/>
                <w:kern w:val="0"/>
                <w:sz w:val="20"/>
                <w:szCs w:val="20"/>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beforeAutospacing="1"/>
              <w:jc w:val="center"/>
            </w:pPr>
            <w:r>
              <w:rPr>
                <w:rFonts w:hint="eastAsia" w:ascii="宋体" w:hAnsi="宋体" w:eastAsia="宋体" w:cs="宋体"/>
                <w:color w:val="000000"/>
                <w:kern w:val="0"/>
                <w:sz w:val="20"/>
                <w:szCs w:val="20"/>
              </w:rPr>
              <w:t>本年</w:t>
            </w:r>
            <w:r>
              <w:rPr>
                <w:rFonts w:hint="eastAsia" w:ascii="宋体" w:hAnsi="宋体" w:eastAsia="宋体" w:cs="宋体"/>
                <w:kern w:val="0"/>
                <w:sz w:val="20"/>
                <w:szCs w:val="20"/>
              </w:rPr>
              <w:t>制发件数</w:t>
            </w:r>
          </w:p>
        </w:tc>
        <w:tc>
          <w:tcPr>
            <w:tcW w:w="2435" w:type="dxa"/>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pPr>
              <w:widowControl/>
              <w:spacing w:beforeAutospacing="1"/>
              <w:jc w:val="center"/>
            </w:pPr>
            <w:r>
              <w:rPr>
                <w:rFonts w:hint="eastAsia" w:ascii="宋体" w:hAnsi="宋体" w:eastAsia="宋体" w:cs="宋体"/>
                <w:color w:val="000000"/>
                <w:kern w:val="0"/>
                <w:sz w:val="20"/>
                <w:szCs w:val="20"/>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beforeAutospacing="1"/>
              <w:jc w:val="center"/>
            </w:pPr>
            <w:r>
              <w:rPr>
                <w:rFonts w:hint="eastAsia" w:ascii="宋体" w:hAnsi="宋体" w:eastAsia="宋体" w:cs="宋体"/>
                <w:color w:val="000000"/>
                <w:kern w:val="0"/>
                <w:sz w:val="20"/>
                <w:szCs w:val="20"/>
              </w:rPr>
              <w:t>现行有效件</w:t>
            </w:r>
            <w:r>
              <w:rPr>
                <w:rFonts w:hint="eastAsia" w:ascii="宋体" w:hAnsi="宋体" w:eastAsia="宋体" w:cs="宋体"/>
                <w:kern w:val="0"/>
                <w:sz w:val="20"/>
                <w:szCs w:val="20"/>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beforeAutospacing="1"/>
              <w:jc w:val="left"/>
            </w:pPr>
            <w:r>
              <w:rPr>
                <w:rFonts w:hint="eastAsia" w:ascii="宋体" w:hAnsi="宋体" w:eastAsia="宋体" w:cs="宋体"/>
                <w:color w:val="000000"/>
                <w:kern w:val="0"/>
                <w:sz w:val="20"/>
                <w:szCs w:val="20"/>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beforeAutospacing="1"/>
              <w:jc w:val="center"/>
            </w:pPr>
            <w:r>
              <w:rPr>
                <w:rFonts w:hint="eastAsia" w:ascii="宋体" w:hAnsi="宋体" w:eastAsia="宋体" w:cs="宋体"/>
                <w:color w:val="000000"/>
                <w:kern w:val="0"/>
                <w:sz w:val="20"/>
                <w:szCs w:val="20"/>
              </w:rPr>
              <w:t>0</w:t>
            </w:r>
          </w:p>
        </w:tc>
        <w:tc>
          <w:tcPr>
            <w:tcW w:w="2435" w:type="dxa"/>
            <w:tcBorders>
              <w:top w:val="nil"/>
              <w:left w:val="nil"/>
              <w:bottom w:val="single" w:color="auto" w:sz="8" w:space="0"/>
              <w:right w:val="single" w:color="auto" w:sz="4" w:space="0"/>
            </w:tcBorders>
            <w:shd w:val="clear" w:color="auto" w:fill="auto"/>
            <w:tcMar>
              <w:left w:w="57" w:type="dxa"/>
              <w:right w:w="57" w:type="dxa"/>
            </w:tcMar>
            <w:vAlign w:val="center"/>
          </w:tcPr>
          <w:p>
            <w:pPr>
              <w:widowControl/>
              <w:spacing w:beforeAutospacing="1"/>
              <w:jc w:val="center"/>
            </w:pPr>
            <w:r>
              <w:rPr>
                <w:rFonts w:hint="eastAsia" w:ascii="宋体" w:hAnsi="宋体" w:eastAsia="宋体" w:cs="宋体"/>
                <w:color w:val="000000"/>
                <w:kern w:val="0"/>
                <w:sz w:val="20"/>
                <w:szCs w:val="20"/>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beforeAutospacing="1"/>
              <w:jc w:val="center"/>
            </w:pPr>
            <w:r>
              <w:rPr>
                <w:rFonts w:hint="eastAsia" w:ascii="宋体" w:hAnsi="宋体" w:eastAsia="宋体" w:cs="宋体"/>
                <w:color w:val="000000"/>
                <w:kern w:val="0"/>
                <w:sz w:val="20"/>
                <w:szCs w:val="20"/>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beforeAutospacing="1"/>
              <w:jc w:val="left"/>
            </w:pPr>
            <w:r>
              <w:rPr>
                <w:rFonts w:hint="eastAsia" w:ascii="宋体" w:hAnsi="宋体" w:eastAsia="宋体" w:cs="宋体"/>
                <w:color w:val="000000"/>
                <w:kern w:val="0"/>
                <w:sz w:val="20"/>
                <w:szCs w:val="20"/>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beforeAutospacing="1"/>
              <w:jc w:val="center"/>
            </w:pPr>
            <w:r>
              <w:rPr>
                <w:rFonts w:hint="eastAsia" w:ascii="宋体" w:hAnsi="宋体" w:eastAsia="宋体" w:cs="宋体"/>
                <w:color w:val="000000"/>
                <w:kern w:val="0"/>
                <w:sz w:val="20"/>
                <w:szCs w:val="20"/>
              </w:rPr>
              <w:t>0</w:t>
            </w:r>
          </w:p>
        </w:tc>
        <w:tc>
          <w:tcPr>
            <w:tcW w:w="2435" w:type="dxa"/>
            <w:tcBorders>
              <w:top w:val="nil"/>
              <w:left w:val="nil"/>
              <w:bottom w:val="single" w:color="auto" w:sz="8" w:space="0"/>
              <w:right w:val="single" w:color="auto" w:sz="4" w:space="0"/>
            </w:tcBorders>
            <w:shd w:val="clear" w:color="auto" w:fill="auto"/>
            <w:tcMar>
              <w:left w:w="57" w:type="dxa"/>
              <w:right w:w="57" w:type="dxa"/>
            </w:tcMar>
            <w:vAlign w:val="center"/>
          </w:tcPr>
          <w:p>
            <w:pPr>
              <w:widowControl/>
              <w:spacing w:beforeAutospacing="1"/>
              <w:jc w:val="center"/>
            </w:pPr>
            <w:r>
              <w:rPr>
                <w:rFonts w:hint="eastAsia" w:ascii="宋体" w:hAnsi="宋体" w:eastAsia="宋体" w:cs="宋体"/>
                <w:color w:val="000000"/>
                <w:kern w:val="0"/>
                <w:sz w:val="20"/>
                <w:szCs w:val="20"/>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beforeAutospacing="1"/>
              <w:jc w:val="center"/>
            </w:pPr>
            <w:r>
              <w:rPr>
                <w:rFonts w:hint="eastAsia" w:ascii="宋体" w:hAnsi="宋体" w:eastAsia="宋体" w:cs="宋体"/>
                <w:color w:val="000000"/>
                <w:kern w:val="0"/>
                <w:sz w:val="20"/>
                <w:szCs w:val="20"/>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spacing w:beforeAutospacing="1"/>
              <w:jc w:val="center"/>
            </w:pPr>
            <w:r>
              <w:rPr>
                <w:rFonts w:hint="eastAsia" w:ascii="宋体" w:hAnsi="宋体" w:eastAsia="宋体" w:cs="宋体"/>
                <w:color w:val="000000"/>
                <w:kern w:val="0"/>
                <w:sz w:val="20"/>
                <w:szCs w:val="20"/>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pPr>
              <w:widowControl/>
              <w:spacing w:beforeAutospacing="1"/>
              <w:jc w:val="center"/>
            </w:pPr>
            <w:r>
              <w:rPr>
                <w:rFonts w:hint="eastAsia" w:ascii="宋体" w:hAnsi="宋体" w:eastAsia="宋体" w:cs="宋体"/>
                <w:color w:val="000000"/>
                <w:kern w:val="0"/>
                <w:sz w:val="20"/>
                <w:szCs w:val="20"/>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beforeAutospacing="1"/>
              <w:jc w:val="center"/>
            </w:pPr>
            <w:r>
              <w:rPr>
                <w:rFonts w:hint="eastAsia" w:ascii="宋体" w:hAnsi="宋体" w:eastAsia="宋体" w:cs="宋体"/>
                <w:color w:val="000000"/>
                <w:kern w:val="0"/>
                <w:sz w:val="20"/>
                <w:szCs w:val="2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pPr>
              <w:widowControl/>
              <w:spacing w:beforeAutospacing="1"/>
              <w:jc w:val="left"/>
            </w:pPr>
            <w:r>
              <w:rPr>
                <w:rFonts w:hint="eastAsia" w:ascii="宋体" w:hAnsi="宋体" w:eastAsia="宋体" w:cs="宋体"/>
                <w:color w:val="000000"/>
                <w:kern w:val="0"/>
                <w:sz w:val="20"/>
                <w:szCs w:val="20"/>
              </w:rPr>
              <w:t>行政许可</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beforeAutospacing="1"/>
              <w:jc w:val="center"/>
            </w:pPr>
            <w:r>
              <w:rPr>
                <w:rFonts w:hint="eastAsia" w:ascii="宋体" w:hAnsi="宋体" w:eastAsia="宋体" w:cs="宋体"/>
                <w:color w:val="000000"/>
                <w:kern w:val="0"/>
                <w:sz w:val="20"/>
                <w:szCs w:val="20"/>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spacing w:beforeAutospacing="1"/>
              <w:jc w:val="center"/>
            </w:pPr>
            <w:r>
              <w:rPr>
                <w:rFonts w:hint="eastAsia" w:ascii="宋体" w:hAnsi="宋体" w:eastAsia="宋体" w:cs="宋体"/>
                <w:color w:val="000000"/>
                <w:kern w:val="0"/>
                <w:sz w:val="20"/>
                <w:szCs w:val="20"/>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beforeAutospacing="1"/>
              <w:jc w:val="center"/>
            </w:pPr>
            <w:r>
              <w:rPr>
                <w:rFonts w:hint="eastAsia" w:ascii="宋体" w:hAnsi="宋体" w:eastAsia="宋体" w:cs="宋体"/>
                <w:color w:val="000000"/>
                <w:kern w:val="0"/>
                <w:sz w:val="20"/>
                <w:szCs w:val="20"/>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beforeAutospacing="1"/>
              <w:jc w:val="center"/>
            </w:pPr>
            <w:r>
              <w:rPr>
                <w:rFonts w:hint="eastAsia" w:ascii="宋体" w:hAnsi="宋体" w:eastAsia="宋体" w:cs="宋体"/>
                <w:color w:val="000000"/>
                <w:kern w:val="0"/>
                <w:sz w:val="20"/>
                <w:szCs w:val="2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beforeAutospacing="1"/>
              <w:jc w:val="left"/>
            </w:pPr>
            <w:r>
              <w:rPr>
                <w:rFonts w:hint="eastAsia" w:ascii="宋体" w:hAnsi="宋体" w:eastAsia="宋体" w:cs="宋体"/>
                <w:color w:val="000000"/>
                <w:kern w:val="0"/>
                <w:sz w:val="20"/>
                <w:szCs w:val="20"/>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beforeAutospacing="1"/>
              <w:jc w:val="center"/>
            </w:pPr>
            <w:r>
              <w:rPr>
                <w:rFonts w:hint="eastAsia" w:ascii="宋体" w:hAnsi="宋体" w:eastAsia="宋体" w:cs="宋体"/>
                <w:color w:val="000000"/>
                <w:kern w:val="0"/>
                <w:sz w:val="20"/>
                <w:szCs w:val="20"/>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beforeAutospacing="1"/>
              <w:jc w:val="left"/>
            </w:pPr>
            <w:r>
              <w:rPr>
                <w:rFonts w:hint="eastAsia" w:ascii="宋体" w:hAnsi="宋体" w:eastAsia="宋体" w:cs="宋体"/>
                <w:color w:val="000000"/>
                <w:kern w:val="0"/>
                <w:sz w:val="20"/>
                <w:szCs w:val="20"/>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beforeAutospacing="1"/>
              <w:jc w:val="center"/>
            </w:pPr>
            <w:r>
              <w:rPr>
                <w:rFonts w:hint="eastAsia" w:ascii="宋体" w:hAnsi="宋体" w:eastAsia="宋体" w:cs="宋体"/>
                <w:color w:val="000000"/>
                <w:kern w:val="0"/>
                <w:sz w:val="20"/>
                <w:szCs w:val="20"/>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spacing w:beforeAutospacing="1"/>
              <w:jc w:val="center"/>
            </w:pPr>
            <w:r>
              <w:rPr>
                <w:rFonts w:hint="eastAsia" w:ascii="宋体" w:hAnsi="宋体" w:eastAsia="宋体" w:cs="宋体"/>
                <w:color w:val="000000"/>
                <w:kern w:val="0"/>
                <w:sz w:val="20"/>
                <w:szCs w:val="20"/>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beforeAutospacing="1"/>
              <w:jc w:val="center"/>
            </w:pPr>
            <w:r>
              <w:rPr>
                <w:rFonts w:hint="eastAsia" w:ascii="宋体" w:hAnsi="宋体" w:eastAsia="宋体" w:cs="宋体"/>
                <w:color w:val="000000"/>
                <w:kern w:val="0"/>
                <w:sz w:val="20"/>
                <w:szCs w:val="20"/>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widowControl/>
              <w:spacing w:beforeAutospacing="1"/>
              <w:jc w:val="center"/>
            </w:pPr>
            <w:r>
              <w:rPr>
                <w:rFonts w:hint="eastAsia" w:ascii="宋体" w:hAnsi="宋体" w:eastAsia="宋体" w:cs="宋体"/>
                <w:color w:val="000000"/>
                <w:kern w:val="0"/>
                <w:sz w:val="20"/>
                <w:szCs w:val="20"/>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spacing w:beforeAutospacing="1"/>
              <w:jc w:val="left"/>
            </w:pPr>
            <w:r>
              <w:rPr>
                <w:rFonts w:hint="eastAsia" w:ascii="宋体" w:hAnsi="宋体" w:eastAsia="宋体" w:cs="宋体"/>
                <w:color w:val="000000"/>
                <w:kern w:val="0"/>
                <w:sz w:val="20"/>
                <w:szCs w:val="20"/>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center"/>
              <w:rPr>
                <w:rFonts w:ascii="宋体" w:eastAsiaTheme="minorEastAsia"/>
                <w:sz w:val="24"/>
              </w:rPr>
            </w:pPr>
            <w:r>
              <w:rPr>
                <w:rFonts w:hint="eastAsia" w:ascii="宋体"/>
                <w:sz w:val="24"/>
              </w:rPr>
              <w:t>0</w:t>
            </w:r>
          </w:p>
        </w:tc>
      </w:tr>
    </w:tbl>
    <w:p>
      <w:pPr>
        <w:pStyle w:val="4"/>
        <w:widowControl/>
        <w:spacing w:beforeAutospacing="0" w:afterAutospacing="0"/>
        <w:ind w:firstLine="420"/>
        <w:jc w:val="both"/>
        <w:rPr>
          <w:rFonts w:ascii="黑体" w:hAnsi="黑体" w:eastAsia="黑体" w:cs="黑体"/>
          <w:sz w:val="32"/>
        </w:rPr>
      </w:pPr>
      <w:r>
        <w:rPr>
          <w:rFonts w:hint="eastAsia" w:ascii="黑体" w:hAnsi="黑体" w:eastAsia="黑体" w:cs="黑体"/>
          <w:sz w:val="32"/>
        </w:rPr>
        <w:t>三、收到和处理政府信息公开申请情况</w:t>
      </w:r>
    </w:p>
    <w:tbl>
      <w:tblPr>
        <w:tblStyle w:val="5"/>
        <w:tblW w:w="974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
      <w:tblGrid>
        <w:gridCol w:w="754"/>
        <w:gridCol w:w="921"/>
        <w:gridCol w:w="3271"/>
        <w:gridCol w:w="685"/>
        <w:gridCol w:w="685"/>
        <w:gridCol w:w="685"/>
        <w:gridCol w:w="685"/>
        <w:gridCol w:w="685"/>
        <w:gridCol w:w="685"/>
        <w:gridCol w:w="68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946" w:type="dxa"/>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widowControl/>
              <w:spacing w:beforeAutospacing="1"/>
              <w:jc w:val="left"/>
            </w:pPr>
            <w:r>
              <w:rPr>
                <w:rFonts w:ascii="楷体" w:hAnsi="楷体" w:eastAsia="楷体" w:cs="楷体"/>
                <w:kern w:val="0"/>
                <w:sz w:val="20"/>
                <w:szCs w:val="20"/>
              </w:rPr>
              <w:t>（本列数据的勾稽关系为：第一项加第二项之和，等于第三项加第四项之和）</w:t>
            </w:r>
          </w:p>
        </w:tc>
        <w:tc>
          <w:tcPr>
            <w:tcW w:w="4795" w:type="dxa"/>
            <w:gridSpan w:val="7"/>
            <w:tcBorders>
              <w:top w:val="single" w:color="auto" w:sz="8" w:space="0"/>
              <w:left w:val="nil"/>
              <w:bottom w:val="single" w:color="auto" w:sz="8" w:space="0"/>
              <w:right w:val="single" w:color="auto" w:sz="8" w:space="0"/>
            </w:tcBorders>
            <w:shd w:val="clear" w:color="auto" w:fill="auto"/>
            <w:vAlign w:val="center"/>
          </w:tcPr>
          <w:p>
            <w:pPr>
              <w:widowControl/>
              <w:spacing w:beforeAutospacing="1"/>
              <w:jc w:val="center"/>
            </w:pPr>
            <w:r>
              <w:rPr>
                <w:rFonts w:hint="eastAsia" w:ascii="宋体" w:hAnsi="宋体" w:eastAsia="宋体" w:cs="宋体"/>
                <w:kern w:val="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946" w:type="dxa"/>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rPr>
                <w:rFonts w:ascii="宋体"/>
                <w:sz w:val="24"/>
              </w:rPr>
            </w:pPr>
          </w:p>
        </w:tc>
        <w:tc>
          <w:tcPr>
            <w:tcW w:w="685" w:type="dxa"/>
            <w:vMerge w:val="restart"/>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hint="eastAsia" w:ascii="宋体" w:hAnsi="宋体" w:eastAsia="宋体" w:cs="宋体"/>
                <w:kern w:val="0"/>
                <w:sz w:val="20"/>
                <w:szCs w:val="20"/>
              </w:rPr>
              <w:t>自然人</w:t>
            </w:r>
          </w:p>
        </w:tc>
        <w:tc>
          <w:tcPr>
            <w:tcW w:w="3425" w:type="dxa"/>
            <w:gridSpan w:val="5"/>
            <w:tcBorders>
              <w:top w:val="single" w:color="auto" w:sz="8" w:space="0"/>
              <w:left w:val="nil"/>
              <w:bottom w:val="single" w:color="auto" w:sz="8" w:space="0"/>
              <w:right w:val="single" w:color="auto" w:sz="8" w:space="0"/>
            </w:tcBorders>
            <w:shd w:val="clear" w:color="auto" w:fill="auto"/>
            <w:vAlign w:val="center"/>
          </w:tcPr>
          <w:p>
            <w:pPr>
              <w:widowControl/>
              <w:spacing w:beforeAutospacing="1"/>
              <w:jc w:val="center"/>
            </w:pPr>
            <w:r>
              <w:rPr>
                <w:rFonts w:hint="eastAsia" w:ascii="宋体" w:hAnsi="宋体" w:eastAsia="宋体" w:cs="宋体"/>
                <w:kern w:val="0"/>
                <w:sz w:val="20"/>
                <w:szCs w:val="20"/>
              </w:rPr>
              <w:t>法人或其他组织</w:t>
            </w:r>
          </w:p>
        </w:tc>
        <w:tc>
          <w:tcPr>
            <w:tcW w:w="685" w:type="dxa"/>
            <w:vMerge w:val="restart"/>
            <w:tcBorders>
              <w:top w:val="single" w:color="auto" w:sz="8" w:space="0"/>
              <w:left w:val="nil"/>
              <w:bottom w:val="outset" w:color="auto" w:sz="6" w:space="0"/>
              <w:right w:val="single" w:color="auto" w:sz="8" w:space="0"/>
            </w:tcBorders>
            <w:shd w:val="clear" w:color="auto" w:fill="auto"/>
            <w:vAlign w:val="center"/>
          </w:tcPr>
          <w:p>
            <w:pPr>
              <w:widowControl/>
              <w:spacing w:beforeAutospacing="1"/>
              <w:jc w:val="center"/>
            </w:pPr>
            <w:r>
              <w:rPr>
                <w:rFonts w:hint="eastAsia" w:ascii="宋体" w:hAnsi="宋体" w:eastAsia="宋体" w:cs="宋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946" w:type="dxa"/>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rPr>
                <w:rFonts w:ascii="宋体"/>
                <w:sz w:val="24"/>
              </w:rPr>
            </w:pPr>
          </w:p>
        </w:tc>
        <w:tc>
          <w:tcPr>
            <w:tcW w:w="685" w:type="dxa"/>
            <w:vMerge w:val="continue"/>
            <w:tcBorders>
              <w:top w:val="nil"/>
              <w:left w:val="nil"/>
              <w:bottom w:val="single" w:color="auto" w:sz="8" w:space="0"/>
              <w:right w:val="single" w:color="auto" w:sz="8" w:space="0"/>
            </w:tcBorders>
            <w:shd w:val="clear" w:color="auto" w:fill="auto"/>
            <w:vAlign w:val="center"/>
          </w:tcPr>
          <w:p>
            <w:pPr>
              <w:rPr>
                <w:rFonts w:ascii="宋体"/>
                <w:sz w:val="24"/>
              </w:rPr>
            </w:pP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hint="eastAsia" w:ascii="宋体" w:hAnsi="宋体" w:eastAsia="宋体" w:cs="宋体"/>
                <w:kern w:val="0"/>
                <w:sz w:val="20"/>
                <w:szCs w:val="20"/>
              </w:rPr>
              <w:t>商业</w:t>
            </w:r>
          </w:p>
          <w:p>
            <w:pPr>
              <w:widowControl/>
              <w:spacing w:beforeAutospacing="1"/>
              <w:jc w:val="center"/>
            </w:pPr>
            <w:r>
              <w:rPr>
                <w:rFonts w:hint="eastAsia" w:ascii="宋体" w:hAnsi="宋体" w:eastAsia="宋体" w:cs="宋体"/>
                <w:kern w:val="0"/>
                <w:sz w:val="20"/>
                <w:szCs w:val="20"/>
              </w:rPr>
              <w:t>企业</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hint="eastAsia" w:ascii="宋体" w:hAnsi="宋体" w:eastAsia="宋体" w:cs="宋体"/>
                <w:kern w:val="0"/>
                <w:sz w:val="20"/>
                <w:szCs w:val="20"/>
              </w:rPr>
              <w:t>科研</w:t>
            </w:r>
          </w:p>
          <w:p>
            <w:pPr>
              <w:widowControl/>
              <w:spacing w:beforeAutospacing="1"/>
              <w:jc w:val="center"/>
            </w:pPr>
            <w:r>
              <w:rPr>
                <w:rFonts w:hint="eastAsia" w:ascii="宋体" w:hAnsi="宋体" w:eastAsia="宋体" w:cs="宋体"/>
                <w:kern w:val="0"/>
                <w:sz w:val="20"/>
                <w:szCs w:val="20"/>
              </w:rPr>
              <w:t>机构</w:t>
            </w:r>
          </w:p>
        </w:tc>
        <w:tc>
          <w:tcPr>
            <w:tcW w:w="685" w:type="dxa"/>
            <w:tcBorders>
              <w:top w:val="single" w:color="auto" w:sz="8" w:space="0"/>
              <w:left w:val="nil"/>
              <w:bottom w:val="single" w:color="auto" w:sz="8" w:space="0"/>
              <w:right w:val="single" w:color="auto" w:sz="8" w:space="0"/>
            </w:tcBorders>
            <w:shd w:val="clear" w:color="auto" w:fill="auto"/>
            <w:vAlign w:val="center"/>
          </w:tcPr>
          <w:p>
            <w:pPr>
              <w:widowControl/>
              <w:spacing w:beforeAutospacing="1"/>
              <w:jc w:val="center"/>
            </w:pPr>
            <w:r>
              <w:rPr>
                <w:rFonts w:hint="eastAsia" w:ascii="宋体" w:hAnsi="宋体" w:eastAsia="宋体" w:cs="宋体"/>
                <w:kern w:val="0"/>
                <w:sz w:val="20"/>
                <w:szCs w:val="20"/>
              </w:rPr>
              <w:t>社会公益组织</w:t>
            </w:r>
          </w:p>
        </w:tc>
        <w:tc>
          <w:tcPr>
            <w:tcW w:w="685" w:type="dxa"/>
            <w:tcBorders>
              <w:top w:val="single" w:color="auto" w:sz="8" w:space="0"/>
              <w:left w:val="nil"/>
              <w:bottom w:val="single" w:color="auto" w:sz="8" w:space="0"/>
              <w:right w:val="single" w:color="auto" w:sz="8" w:space="0"/>
            </w:tcBorders>
            <w:shd w:val="clear" w:color="auto" w:fill="auto"/>
            <w:vAlign w:val="center"/>
          </w:tcPr>
          <w:p>
            <w:pPr>
              <w:widowControl/>
              <w:spacing w:beforeAutospacing="1"/>
              <w:jc w:val="center"/>
            </w:pPr>
            <w:r>
              <w:rPr>
                <w:rFonts w:hint="eastAsia" w:ascii="宋体" w:hAnsi="宋体" w:eastAsia="宋体" w:cs="宋体"/>
                <w:kern w:val="0"/>
                <w:sz w:val="20"/>
                <w:szCs w:val="20"/>
              </w:rPr>
              <w:t>法律服务机构</w:t>
            </w:r>
          </w:p>
        </w:tc>
        <w:tc>
          <w:tcPr>
            <w:tcW w:w="685" w:type="dxa"/>
            <w:tcBorders>
              <w:top w:val="single" w:color="auto" w:sz="8" w:space="0"/>
              <w:left w:val="nil"/>
              <w:bottom w:val="single" w:color="auto" w:sz="8" w:space="0"/>
              <w:right w:val="single" w:color="auto" w:sz="8" w:space="0"/>
            </w:tcBorders>
            <w:shd w:val="clear" w:color="auto" w:fill="auto"/>
            <w:vAlign w:val="center"/>
          </w:tcPr>
          <w:p>
            <w:pPr>
              <w:widowControl/>
              <w:spacing w:beforeAutospacing="1"/>
              <w:jc w:val="center"/>
            </w:pPr>
            <w:r>
              <w:rPr>
                <w:rFonts w:hint="eastAsia" w:ascii="宋体" w:hAnsi="宋体" w:eastAsia="宋体" w:cs="宋体"/>
                <w:kern w:val="0"/>
                <w:sz w:val="20"/>
                <w:szCs w:val="20"/>
              </w:rPr>
              <w:t>其他</w:t>
            </w:r>
          </w:p>
        </w:tc>
        <w:tc>
          <w:tcPr>
            <w:tcW w:w="685" w:type="dxa"/>
            <w:vMerge w:val="continue"/>
            <w:tcBorders>
              <w:top w:val="single" w:color="auto" w:sz="8" w:space="0"/>
              <w:left w:val="nil"/>
              <w:bottom w:val="outset" w:color="auto" w:sz="6" w:space="0"/>
              <w:right w:val="single" w:color="auto" w:sz="8" w:space="0"/>
            </w:tcBorders>
            <w:shd w:val="clear" w:color="auto" w:fill="auto"/>
            <w:vAlign w:val="center"/>
          </w:tcPr>
          <w:p>
            <w:pPr>
              <w:rPr>
                <w:rFonts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946" w:type="dxa"/>
            <w:gridSpan w:val="3"/>
            <w:tcBorders>
              <w:top w:val="nil"/>
              <w:left w:val="single" w:color="auto" w:sz="8" w:space="0"/>
              <w:bottom w:val="single" w:color="auto" w:sz="8" w:space="0"/>
              <w:right w:val="single" w:color="auto" w:sz="8" w:space="0"/>
            </w:tcBorders>
            <w:shd w:val="clear" w:color="auto" w:fill="auto"/>
            <w:vAlign w:val="center"/>
          </w:tcPr>
          <w:p>
            <w:pPr>
              <w:widowControl/>
              <w:spacing w:beforeAutospacing="1"/>
              <w:jc w:val="left"/>
            </w:pPr>
            <w:r>
              <w:rPr>
                <w:rFonts w:hint="eastAsia" w:ascii="宋体" w:hAnsi="宋体" w:eastAsia="宋体" w:cs="宋体"/>
                <w:kern w:val="0"/>
                <w:sz w:val="20"/>
                <w:szCs w:val="20"/>
              </w:rPr>
              <w:t>一、本年新收政府信息公开申请数量</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946" w:type="dxa"/>
            <w:gridSpan w:val="3"/>
            <w:tcBorders>
              <w:top w:val="nil"/>
              <w:left w:val="single" w:color="auto" w:sz="8" w:space="0"/>
              <w:bottom w:val="single" w:color="auto" w:sz="8" w:space="0"/>
              <w:right w:val="single" w:color="auto" w:sz="8" w:space="0"/>
            </w:tcBorders>
            <w:shd w:val="clear" w:color="auto" w:fill="auto"/>
            <w:vAlign w:val="center"/>
          </w:tcPr>
          <w:p>
            <w:pPr>
              <w:widowControl/>
              <w:spacing w:beforeAutospacing="1"/>
              <w:jc w:val="left"/>
            </w:pPr>
            <w:r>
              <w:rPr>
                <w:rFonts w:hint="eastAsia" w:ascii="宋体" w:hAnsi="宋体" w:eastAsia="宋体" w:cs="宋体"/>
                <w:kern w:val="0"/>
                <w:sz w:val="20"/>
                <w:szCs w:val="20"/>
              </w:rPr>
              <w:t>二、上年结转政府信息公开申请数量</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restart"/>
            <w:tcBorders>
              <w:top w:val="nil"/>
              <w:left w:val="single" w:color="auto" w:sz="8" w:space="0"/>
              <w:bottom w:val="outset" w:color="auto" w:sz="6" w:space="0"/>
              <w:right w:val="single" w:color="auto" w:sz="8" w:space="0"/>
            </w:tcBorders>
            <w:shd w:val="clear" w:color="auto" w:fill="auto"/>
            <w:vAlign w:val="center"/>
          </w:tcPr>
          <w:p>
            <w:pPr>
              <w:widowControl/>
              <w:spacing w:beforeAutospacing="1"/>
              <w:jc w:val="left"/>
            </w:pPr>
            <w:r>
              <w:rPr>
                <w:rFonts w:hint="eastAsia" w:ascii="宋体" w:hAnsi="宋体" w:eastAsia="宋体" w:cs="宋体"/>
                <w:kern w:val="0"/>
                <w:sz w:val="20"/>
                <w:szCs w:val="20"/>
              </w:rPr>
              <w:t>三、本年度办理结果</w:t>
            </w:r>
          </w:p>
        </w:tc>
        <w:tc>
          <w:tcPr>
            <w:tcW w:w="4192" w:type="dxa"/>
            <w:gridSpan w:val="2"/>
            <w:tcBorders>
              <w:top w:val="nil"/>
              <w:left w:val="nil"/>
              <w:bottom w:val="single" w:color="auto" w:sz="8" w:space="0"/>
              <w:right w:val="single" w:color="auto" w:sz="8" w:space="0"/>
            </w:tcBorders>
            <w:shd w:val="clear" w:color="auto" w:fill="auto"/>
            <w:vAlign w:val="center"/>
          </w:tcPr>
          <w:p>
            <w:pPr>
              <w:widowControl/>
              <w:spacing w:beforeAutospacing="1"/>
              <w:jc w:val="left"/>
            </w:pPr>
            <w:r>
              <w:rPr>
                <w:rFonts w:hint="eastAsia" w:ascii="宋体" w:hAnsi="宋体" w:eastAsia="宋体" w:cs="宋体"/>
                <w:kern w:val="0"/>
                <w:sz w:val="20"/>
                <w:szCs w:val="20"/>
              </w:rPr>
              <w:t>（一）予以公开</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single" w:color="auto" w:sz="8" w:space="0"/>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pPr>
              <w:rPr>
                <w:rFonts w:ascii="宋体"/>
                <w:sz w:val="24"/>
              </w:rPr>
            </w:pPr>
          </w:p>
        </w:tc>
        <w:tc>
          <w:tcPr>
            <w:tcW w:w="4192" w:type="dxa"/>
            <w:gridSpan w:val="2"/>
            <w:tcBorders>
              <w:top w:val="nil"/>
              <w:left w:val="nil"/>
              <w:bottom w:val="single" w:color="auto" w:sz="8" w:space="0"/>
              <w:right w:val="single" w:color="auto" w:sz="8" w:space="0"/>
            </w:tcBorders>
            <w:shd w:val="clear" w:color="auto" w:fill="auto"/>
            <w:vAlign w:val="center"/>
          </w:tcPr>
          <w:p>
            <w:pPr>
              <w:widowControl/>
              <w:spacing w:beforeAutospacing="1"/>
              <w:jc w:val="left"/>
            </w:pPr>
            <w:r>
              <w:rPr>
                <w:rFonts w:hint="eastAsia" w:ascii="宋体" w:hAnsi="宋体" w:eastAsia="宋体" w:cs="宋体"/>
                <w:kern w:val="0"/>
                <w:sz w:val="20"/>
                <w:szCs w:val="20"/>
              </w:rPr>
              <w:t>（二）部分公开</w:t>
            </w:r>
            <w:r>
              <w:rPr>
                <w:rFonts w:hint="eastAsia" w:ascii="楷体" w:hAnsi="楷体" w:eastAsia="楷体" w:cs="楷体"/>
                <w:kern w:val="0"/>
                <w:sz w:val="20"/>
                <w:szCs w:val="20"/>
              </w:rPr>
              <w:t>（区分处理的，只计这一情形，不计其他情形）</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pPr>
              <w:rPr>
                <w:rFonts w:ascii="宋体"/>
                <w:sz w:val="24"/>
              </w:rPr>
            </w:pPr>
          </w:p>
        </w:tc>
        <w:tc>
          <w:tcPr>
            <w:tcW w:w="921" w:type="dxa"/>
            <w:vMerge w:val="restart"/>
            <w:tcBorders>
              <w:top w:val="nil"/>
              <w:left w:val="nil"/>
              <w:bottom w:val="outset" w:color="auto" w:sz="6" w:space="0"/>
              <w:right w:val="single" w:color="auto" w:sz="8" w:space="0"/>
            </w:tcBorders>
            <w:shd w:val="clear" w:color="auto" w:fill="auto"/>
            <w:vAlign w:val="center"/>
          </w:tcPr>
          <w:p>
            <w:pPr>
              <w:widowControl/>
              <w:spacing w:beforeAutospacing="1"/>
              <w:jc w:val="left"/>
            </w:pPr>
            <w:r>
              <w:rPr>
                <w:rFonts w:hint="eastAsia" w:ascii="宋体" w:hAnsi="宋体" w:eastAsia="宋体" w:cs="宋体"/>
                <w:kern w:val="0"/>
                <w:sz w:val="20"/>
                <w:szCs w:val="20"/>
              </w:rPr>
              <w:t>（三）不予公开</w:t>
            </w:r>
          </w:p>
        </w:tc>
        <w:tc>
          <w:tcPr>
            <w:tcW w:w="3271" w:type="dxa"/>
            <w:tcBorders>
              <w:top w:val="nil"/>
              <w:left w:val="nil"/>
              <w:bottom w:val="single" w:color="auto" w:sz="8" w:space="0"/>
              <w:right w:val="single" w:color="auto" w:sz="8" w:space="0"/>
            </w:tcBorders>
            <w:shd w:val="clear" w:color="auto" w:fill="auto"/>
          </w:tcPr>
          <w:p>
            <w:pPr>
              <w:widowControl/>
              <w:spacing w:beforeAutospacing="1"/>
              <w:jc w:val="left"/>
            </w:pPr>
            <w:r>
              <w:rPr>
                <w:rFonts w:hint="eastAsia" w:ascii="宋体" w:hAnsi="宋体" w:eastAsia="宋体" w:cs="宋体"/>
                <w:kern w:val="0"/>
                <w:sz w:val="20"/>
                <w:szCs w:val="20"/>
              </w:rPr>
              <w:t>1.属于国家秘密</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single" w:color="auto" w:sz="8" w:space="0"/>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pPr>
              <w:rPr>
                <w:rFonts w:ascii="宋体"/>
                <w:sz w:val="24"/>
              </w:rPr>
            </w:pPr>
          </w:p>
        </w:tc>
        <w:tc>
          <w:tcPr>
            <w:tcW w:w="921" w:type="dxa"/>
            <w:vMerge w:val="continue"/>
            <w:tcBorders>
              <w:top w:val="nil"/>
              <w:left w:val="nil"/>
              <w:bottom w:val="outset" w:color="auto" w:sz="6" w:space="0"/>
              <w:right w:val="single" w:color="auto" w:sz="8" w:space="0"/>
            </w:tcBorders>
            <w:shd w:val="clear" w:color="auto" w:fill="auto"/>
            <w:vAlign w:val="center"/>
          </w:tcPr>
          <w:p>
            <w:pPr>
              <w:rPr>
                <w:rFonts w:ascii="宋体"/>
                <w:sz w:val="24"/>
              </w:rPr>
            </w:pPr>
          </w:p>
        </w:tc>
        <w:tc>
          <w:tcPr>
            <w:tcW w:w="3271" w:type="dxa"/>
            <w:tcBorders>
              <w:top w:val="nil"/>
              <w:left w:val="nil"/>
              <w:bottom w:val="single" w:color="auto" w:sz="8" w:space="0"/>
              <w:right w:val="single" w:color="auto" w:sz="8" w:space="0"/>
            </w:tcBorders>
            <w:shd w:val="clear" w:color="auto" w:fill="auto"/>
          </w:tcPr>
          <w:p>
            <w:pPr>
              <w:widowControl/>
              <w:spacing w:beforeAutospacing="1"/>
              <w:jc w:val="left"/>
            </w:pPr>
            <w:r>
              <w:rPr>
                <w:rFonts w:hint="eastAsia" w:ascii="宋体" w:hAnsi="宋体" w:eastAsia="宋体" w:cs="宋体"/>
                <w:kern w:val="0"/>
                <w:sz w:val="20"/>
                <w:szCs w:val="20"/>
              </w:rPr>
              <w:t>2.其他法律行政法规禁止公开</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pPr>
              <w:rPr>
                <w:rFonts w:ascii="宋体"/>
                <w:sz w:val="24"/>
              </w:rPr>
            </w:pPr>
          </w:p>
        </w:tc>
        <w:tc>
          <w:tcPr>
            <w:tcW w:w="921" w:type="dxa"/>
            <w:vMerge w:val="continue"/>
            <w:tcBorders>
              <w:top w:val="nil"/>
              <w:left w:val="nil"/>
              <w:bottom w:val="outset" w:color="auto" w:sz="6" w:space="0"/>
              <w:right w:val="single" w:color="auto" w:sz="8" w:space="0"/>
            </w:tcBorders>
            <w:shd w:val="clear" w:color="auto" w:fill="auto"/>
            <w:vAlign w:val="center"/>
          </w:tcPr>
          <w:p>
            <w:pPr>
              <w:rPr>
                <w:rFonts w:ascii="宋体"/>
                <w:sz w:val="24"/>
              </w:rPr>
            </w:pPr>
          </w:p>
        </w:tc>
        <w:tc>
          <w:tcPr>
            <w:tcW w:w="3271" w:type="dxa"/>
            <w:tcBorders>
              <w:top w:val="nil"/>
              <w:left w:val="nil"/>
              <w:bottom w:val="single" w:color="auto" w:sz="8" w:space="0"/>
              <w:right w:val="single" w:color="auto" w:sz="8" w:space="0"/>
            </w:tcBorders>
            <w:shd w:val="clear" w:color="auto" w:fill="auto"/>
          </w:tcPr>
          <w:p>
            <w:pPr>
              <w:widowControl/>
              <w:spacing w:beforeAutospacing="1"/>
              <w:jc w:val="left"/>
            </w:pPr>
            <w:r>
              <w:rPr>
                <w:rFonts w:hint="eastAsia" w:ascii="宋体" w:hAnsi="宋体" w:eastAsia="宋体" w:cs="宋体"/>
                <w:kern w:val="0"/>
                <w:sz w:val="20"/>
                <w:szCs w:val="20"/>
              </w:rPr>
              <w:t>3.危及“三安全一稳定”</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pPr>
              <w:rPr>
                <w:rFonts w:ascii="宋体"/>
                <w:sz w:val="24"/>
              </w:rPr>
            </w:pPr>
          </w:p>
        </w:tc>
        <w:tc>
          <w:tcPr>
            <w:tcW w:w="921" w:type="dxa"/>
            <w:vMerge w:val="continue"/>
            <w:tcBorders>
              <w:top w:val="nil"/>
              <w:left w:val="nil"/>
              <w:bottom w:val="outset" w:color="auto" w:sz="6" w:space="0"/>
              <w:right w:val="single" w:color="auto" w:sz="8" w:space="0"/>
            </w:tcBorders>
            <w:shd w:val="clear" w:color="auto" w:fill="auto"/>
            <w:vAlign w:val="center"/>
          </w:tcPr>
          <w:p>
            <w:pPr>
              <w:rPr>
                <w:rFonts w:ascii="宋体"/>
                <w:sz w:val="24"/>
              </w:rPr>
            </w:pPr>
          </w:p>
        </w:tc>
        <w:tc>
          <w:tcPr>
            <w:tcW w:w="3271" w:type="dxa"/>
            <w:tcBorders>
              <w:top w:val="nil"/>
              <w:left w:val="nil"/>
              <w:bottom w:val="single" w:color="auto" w:sz="8" w:space="0"/>
              <w:right w:val="single" w:color="auto" w:sz="8" w:space="0"/>
            </w:tcBorders>
            <w:shd w:val="clear" w:color="auto" w:fill="auto"/>
          </w:tcPr>
          <w:p>
            <w:pPr>
              <w:widowControl/>
              <w:spacing w:beforeAutospacing="1"/>
              <w:jc w:val="left"/>
            </w:pPr>
            <w:r>
              <w:rPr>
                <w:rFonts w:hint="eastAsia" w:ascii="宋体" w:hAnsi="宋体" w:eastAsia="宋体" w:cs="宋体"/>
                <w:kern w:val="0"/>
                <w:sz w:val="20"/>
                <w:szCs w:val="20"/>
              </w:rPr>
              <w:t>4.保护第三方合法权益</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pPr>
              <w:rPr>
                <w:rFonts w:ascii="宋体"/>
                <w:sz w:val="24"/>
              </w:rPr>
            </w:pPr>
          </w:p>
        </w:tc>
        <w:tc>
          <w:tcPr>
            <w:tcW w:w="921" w:type="dxa"/>
            <w:vMerge w:val="continue"/>
            <w:tcBorders>
              <w:top w:val="nil"/>
              <w:left w:val="nil"/>
              <w:bottom w:val="outset" w:color="auto" w:sz="6" w:space="0"/>
              <w:right w:val="single" w:color="auto" w:sz="8" w:space="0"/>
            </w:tcBorders>
            <w:shd w:val="clear" w:color="auto" w:fill="auto"/>
            <w:vAlign w:val="center"/>
          </w:tcPr>
          <w:p>
            <w:pPr>
              <w:rPr>
                <w:rFonts w:ascii="宋体"/>
                <w:sz w:val="24"/>
              </w:rPr>
            </w:pPr>
          </w:p>
        </w:tc>
        <w:tc>
          <w:tcPr>
            <w:tcW w:w="3271" w:type="dxa"/>
            <w:tcBorders>
              <w:top w:val="nil"/>
              <w:left w:val="nil"/>
              <w:bottom w:val="single" w:color="auto" w:sz="8" w:space="0"/>
              <w:right w:val="single" w:color="auto" w:sz="8" w:space="0"/>
            </w:tcBorders>
            <w:shd w:val="clear" w:color="auto" w:fill="auto"/>
          </w:tcPr>
          <w:p>
            <w:pPr>
              <w:widowControl/>
              <w:spacing w:beforeAutospacing="1"/>
              <w:jc w:val="left"/>
            </w:pPr>
            <w:r>
              <w:rPr>
                <w:rFonts w:hint="eastAsia" w:ascii="宋体" w:hAnsi="宋体" w:eastAsia="宋体" w:cs="宋体"/>
                <w:kern w:val="0"/>
                <w:sz w:val="20"/>
                <w:szCs w:val="20"/>
              </w:rPr>
              <w:t>5.属于三类内部事务信息</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pPr>
              <w:rPr>
                <w:rFonts w:ascii="宋体"/>
                <w:sz w:val="24"/>
              </w:rPr>
            </w:pPr>
          </w:p>
        </w:tc>
        <w:tc>
          <w:tcPr>
            <w:tcW w:w="921" w:type="dxa"/>
            <w:vMerge w:val="continue"/>
            <w:tcBorders>
              <w:top w:val="nil"/>
              <w:left w:val="nil"/>
              <w:bottom w:val="outset" w:color="auto" w:sz="6" w:space="0"/>
              <w:right w:val="single" w:color="auto" w:sz="8" w:space="0"/>
            </w:tcBorders>
            <w:shd w:val="clear" w:color="auto" w:fill="auto"/>
            <w:vAlign w:val="center"/>
          </w:tcPr>
          <w:p>
            <w:pPr>
              <w:rPr>
                <w:rFonts w:ascii="宋体"/>
                <w:sz w:val="24"/>
              </w:rPr>
            </w:pPr>
          </w:p>
        </w:tc>
        <w:tc>
          <w:tcPr>
            <w:tcW w:w="3271" w:type="dxa"/>
            <w:tcBorders>
              <w:top w:val="nil"/>
              <w:left w:val="nil"/>
              <w:bottom w:val="single" w:color="auto" w:sz="8" w:space="0"/>
              <w:right w:val="single" w:color="auto" w:sz="8" w:space="0"/>
            </w:tcBorders>
            <w:shd w:val="clear" w:color="auto" w:fill="auto"/>
          </w:tcPr>
          <w:p>
            <w:pPr>
              <w:widowControl/>
              <w:spacing w:beforeAutospacing="1"/>
              <w:jc w:val="left"/>
            </w:pPr>
            <w:r>
              <w:rPr>
                <w:rFonts w:hint="eastAsia" w:ascii="宋体" w:hAnsi="宋体" w:eastAsia="宋体" w:cs="宋体"/>
                <w:kern w:val="0"/>
                <w:sz w:val="20"/>
                <w:szCs w:val="20"/>
              </w:rPr>
              <w:t>6.属于四类过程性信息</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pPr>
              <w:rPr>
                <w:rFonts w:ascii="宋体"/>
                <w:sz w:val="24"/>
              </w:rPr>
            </w:pPr>
          </w:p>
        </w:tc>
        <w:tc>
          <w:tcPr>
            <w:tcW w:w="921" w:type="dxa"/>
            <w:vMerge w:val="continue"/>
            <w:tcBorders>
              <w:top w:val="nil"/>
              <w:left w:val="nil"/>
              <w:bottom w:val="outset" w:color="auto" w:sz="6" w:space="0"/>
              <w:right w:val="single" w:color="auto" w:sz="8" w:space="0"/>
            </w:tcBorders>
            <w:shd w:val="clear" w:color="auto" w:fill="auto"/>
            <w:vAlign w:val="center"/>
          </w:tcPr>
          <w:p>
            <w:pPr>
              <w:rPr>
                <w:rFonts w:ascii="宋体"/>
                <w:sz w:val="24"/>
              </w:rPr>
            </w:pPr>
          </w:p>
        </w:tc>
        <w:tc>
          <w:tcPr>
            <w:tcW w:w="3271" w:type="dxa"/>
            <w:tcBorders>
              <w:top w:val="nil"/>
              <w:left w:val="nil"/>
              <w:bottom w:val="single" w:color="auto" w:sz="8" w:space="0"/>
              <w:right w:val="single" w:color="auto" w:sz="8" w:space="0"/>
            </w:tcBorders>
            <w:shd w:val="clear" w:color="auto" w:fill="auto"/>
          </w:tcPr>
          <w:p>
            <w:pPr>
              <w:widowControl/>
              <w:spacing w:beforeAutospacing="1"/>
              <w:jc w:val="left"/>
            </w:pPr>
            <w:r>
              <w:rPr>
                <w:rFonts w:hint="eastAsia" w:ascii="宋体" w:hAnsi="宋体" w:eastAsia="宋体" w:cs="宋体"/>
                <w:kern w:val="0"/>
                <w:sz w:val="20"/>
                <w:szCs w:val="20"/>
              </w:rPr>
              <w:t>7.属于行政执法案卷</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pPr>
              <w:rPr>
                <w:rFonts w:ascii="宋体"/>
                <w:sz w:val="24"/>
              </w:rPr>
            </w:pPr>
          </w:p>
        </w:tc>
        <w:tc>
          <w:tcPr>
            <w:tcW w:w="921" w:type="dxa"/>
            <w:vMerge w:val="continue"/>
            <w:tcBorders>
              <w:top w:val="nil"/>
              <w:left w:val="nil"/>
              <w:bottom w:val="outset" w:color="auto" w:sz="6" w:space="0"/>
              <w:right w:val="single" w:color="auto" w:sz="8" w:space="0"/>
            </w:tcBorders>
            <w:shd w:val="clear" w:color="auto" w:fill="auto"/>
            <w:vAlign w:val="center"/>
          </w:tcPr>
          <w:p>
            <w:pPr>
              <w:rPr>
                <w:rFonts w:ascii="宋体"/>
                <w:sz w:val="24"/>
              </w:rPr>
            </w:pPr>
          </w:p>
        </w:tc>
        <w:tc>
          <w:tcPr>
            <w:tcW w:w="3271" w:type="dxa"/>
            <w:tcBorders>
              <w:top w:val="nil"/>
              <w:left w:val="nil"/>
              <w:bottom w:val="single" w:color="auto" w:sz="8" w:space="0"/>
              <w:right w:val="single" w:color="auto" w:sz="8" w:space="0"/>
            </w:tcBorders>
            <w:shd w:val="clear" w:color="auto" w:fill="auto"/>
          </w:tcPr>
          <w:p>
            <w:pPr>
              <w:widowControl/>
              <w:spacing w:beforeAutospacing="1"/>
              <w:jc w:val="left"/>
            </w:pPr>
            <w:r>
              <w:rPr>
                <w:rFonts w:hint="eastAsia" w:ascii="宋体" w:hAnsi="宋体" w:eastAsia="宋体" w:cs="宋体"/>
                <w:kern w:val="0"/>
                <w:sz w:val="20"/>
                <w:szCs w:val="20"/>
              </w:rPr>
              <w:t>8.属于行政查询事项</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pPr>
              <w:rPr>
                <w:rFonts w:ascii="宋体"/>
                <w:sz w:val="24"/>
              </w:rPr>
            </w:pPr>
          </w:p>
        </w:tc>
        <w:tc>
          <w:tcPr>
            <w:tcW w:w="921" w:type="dxa"/>
            <w:vMerge w:val="restart"/>
            <w:tcBorders>
              <w:top w:val="nil"/>
              <w:left w:val="nil"/>
              <w:bottom w:val="outset" w:color="auto" w:sz="6" w:space="0"/>
              <w:right w:val="single" w:color="auto" w:sz="8" w:space="0"/>
            </w:tcBorders>
            <w:shd w:val="clear" w:color="auto" w:fill="auto"/>
            <w:vAlign w:val="center"/>
          </w:tcPr>
          <w:p>
            <w:pPr>
              <w:widowControl/>
              <w:spacing w:beforeAutospacing="1"/>
              <w:jc w:val="left"/>
            </w:pPr>
            <w:r>
              <w:rPr>
                <w:rFonts w:hint="eastAsia" w:ascii="宋体" w:hAnsi="宋体" w:eastAsia="宋体" w:cs="宋体"/>
                <w:kern w:val="0"/>
                <w:sz w:val="20"/>
                <w:szCs w:val="20"/>
              </w:rPr>
              <w:t>（四）无法提供</w:t>
            </w:r>
          </w:p>
        </w:tc>
        <w:tc>
          <w:tcPr>
            <w:tcW w:w="3271" w:type="dxa"/>
            <w:tcBorders>
              <w:top w:val="nil"/>
              <w:left w:val="nil"/>
              <w:bottom w:val="single" w:color="auto" w:sz="8" w:space="0"/>
              <w:right w:val="single" w:color="auto" w:sz="8" w:space="0"/>
            </w:tcBorders>
            <w:shd w:val="clear" w:color="auto" w:fill="auto"/>
          </w:tcPr>
          <w:p>
            <w:pPr>
              <w:widowControl/>
              <w:spacing w:beforeAutospacing="1"/>
              <w:jc w:val="left"/>
            </w:pPr>
            <w:r>
              <w:rPr>
                <w:rFonts w:hint="eastAsia" w:ascii="宋体" w:hAnsi="宋体" w:eastAsia="宋体" w:cs="宋体"/>
                <w:kern w:val="0"/>
                <w:sz w:val="20"/>
                <w:szCs w:val="20"/>
              </w:rPr>
              <w:t>1.本机关不掌握相关政府信息</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pPr>
              <w:rPr>
                <w:rFonts w:ascii="宋体"/>
                <w:sz w:val="24"/>
              </w:rPr>
            </w:pPr>
          </w:p>
        </w:tc>
        <w:tc>
          <w:tcPr>
            <w:tcW w:w="921" w:type="dxa"/>
            <w:vMerge w:val="continue"/>
            <w:tcBorders>
              <w:top w:val="nil"/>
              <w:left w:val="nil"/>
              <w:bottom w:val="outset" w:color="auto" w:sz="6" w:space="0"/>
              <w:right w:val="single" w:color="auto" w:sz="8" w:space="0"/>
            </w:tcBorders>
            <w:shd w:val="clear" w:color="auto" w:fill="auto"/>
            <w:vAlign w:val="center"/>
          </w:tcPr>
          <w:p>
            <w:pPr>
              <w:rPr>
                <w:rFonts w:ascii="宋体"/>
                <w:sz w:val="24"/>
              </w:rPr>
            </w:pPr>
          </w:p>
        </w:tc>
        <w:tc>
          <w:tcPr>
            <w:tcW w:w="3271" w:type="dxa"/>
            <w:tcBorders>
              <w:top w:val="nil"/>
              <w:left w:val="nil"/>
              <w:bottom w:val="single" w:color="auto" w:sz="8" w:space="0"/>
              <w:right w:val="single" w:color="auto" w:sz="8" w:space="0"/>
            </w:tcBorders>
            <w:shd w:val="clear" w:color="auto" w:fill="auto"/>
          </w:tcPr>
          <w:p>
            <w:pPr>
              <w:widowControl/>
              <w:spacing w:beforeAutospacing="1"/>
              <w:jc w:val="left"/>
            </w:pPr>
            <w:r>
              <w:rPr>
                <w:rFonts w:hint="eastAsia" w:ascii="宋体" w:hAnsi="宋体" w:eastAsia="宋体" w:cs="宋体"/>
                <w:kern w:val="0"/>
                <w:sz w:val="20"/>
                <w:szCs w:val="20"/>
              </w:rPr>
              <w:t>2.没有现成信息需要另行制作</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pPr>
              <w:rPr>
                <w:rFonts w:ascii="宋体"/>
                <w:sz w:val="24"/>
              </w:rPr>
            </w:pPr>
          </w:p>
        </w:tc>
        <w:tc>
          <w:tcPr>
            <w:tcW w:w="921" w:type="dxa"/>
            <w:vMerge w:val="continue"/>
            <w:tcBorders>
              <w:top w:val="nil"/>
              <w:left w:val="nil"/>
              <w:bottom w:val="outset" w:color="auto" w:sz="6" w:space="0"/>
              <w:right w:val="single" w:color="auto" w:sz="8" w:space="0"/>
            </w:tcBorders>
            <w:shd w:val="clear" w:color="auto" w:fill="auto"/>
            <w:vAlign w:val="center"/>
          </w:tcPr>
          <w:p>
            <w:pPr>
              <w:rPr>
                <w:rFonts w:ascii="宋体"/>
                <w:sz w:val="24"/>
              </w:rPr>
            </w:pPr>
          </w:p>
        </w:tc>
        <w:tc>
          <w:tcPr>
            <w:tcW w:w="3271" w:type="dxa"/>
            <w:tcBorders>
              <w:top w:val="nil"/>
              <w:left w:val="nil"/>
              <w:bottom w:val="single" w:color="auto" w:sz="8" w:space="0"/>
              <w:right w:val="single" w:color="auto" w:sz="8" w:space="0"/>
            </w:tcBorders>
            <w:shd w:val="clear" w:color="auto" w:fill="auto"/>
          </w:tcPr>
          <w:p>
            <w:pPr>
              <w:widowControl/>
              <w:spacing w:beforeAutospacing="1"/>
              <w:jc w:val="left"/>
            </w:pPr>
            <w:r>
              <w:rPr>
                <w:rFonts w:hint="eastAsia" w:ascii="宋体" w:hAnsi="宋体" w:eastAsia="宋体" w:cs="宋体"/>
                <w:kern w:val="0"/>
                <w:sz w:val="20"/>
                <w:szCs w:val="20"/>
              </w:rPr>
              <w:t>3.补正后申请内容仍不明确</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pPr>
              <w:rPr>
                <w:rFonts w:ascii="宋体"/>
                <w:sz w:val="24"/>
              </w:rPr>
            </w:pPr>
          </w:p>
        </w:tc>
        <w:tc>
          <w:tcPr>
            <w:tcW w:w="921" w:type="dxa"/>
            <w:vMerge w:val="restart"/>
            <w:tcBorders>
              <w:top w:val="nil"/>
              <w:left w:val="nil"/>
              <w:bottom w:val="outset" w:color="auto" w:sz="6" w:space="0"/>
              <w:right w:val="single" w:color="auto" w:sz="8" w:space="0"/>
            </w:tcBorders>
            <w:shd w:val="clear" w:color="auto" w:fill="auto"/>
            <w:vAlign w:val="center"/>
          </w:tcPr>
          <w:p>
            <w:pPr>
              <w:widowControl/>
              <w:spacing w:beforeAutospacing="1"/>
              <w:jc w:val="left"/>
            </w:pPr>
            <w:r>
              <w:rPr>
                <w:rFonts w:hint="eastAsia" w:ascii="宋体" w:hAnsi="宋体" w:eastAsia="宋体" w:cs="宋体"/>
                <w:kern w:val="0"/>
                <w:sz w:val="20"/>
                <w:szCs w:val="20"/>
              </w:rPr>
              <w:t>（五）不予处理</w:t>
            </w:r>
          </w:p>
        </w:tc>
        <w:tc>
          <w:tcPr>
            <w:tcW w:w="3271" w:type="dxa"/>
            <w:tcBorders>
              <w:top w:val="nil"/>
              <w:left w:val="nil"/>
              <w:bottom w:val="single" w:color="auto" w:sz="8" w:space="0"/>
              <w:right w:val="single" w:color="auto" w:sz="8" w:space="0"/>
            </w:tcBorders>
            <w:shd w:val="clear" w:color="auto" w:fill="auto"/>
          </w:tcPr>
          <w:p>
            <w:pPr>
              <w:widowControl/>
              <w:spacing w:beforeAutospacing="1"/>
              <w:jc w:val="left"/>
            </w:pPr>
            <w:r>
              <w:rPr>
                <w:rFonts w:hint="eastAsia" w:ascii="宋体" w:hAnsi="宋体" w:eastAsia="宋体" w:cs="宋体"/>
                <w:kern w:val="0"/>
                <w:sz w:val="20"/>
                <w:szCs w:val="20"/>
              </w:rPr>
              <w:t>1.信访举报投诉类申请</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pPr>
              <w:rPr>
                <w:rFonts w:ascii="宋体"/>
                <w:sz w:val="24"/>
              </w:rPr>
            </w:pPr>
          </w:p>
        </w:tc>
        <w:tc>
          <w:tcPr>
            <w:tcW w:w="921" w:type="dxa"/>
            <w:vMerge w:val="continue"/>
            <w:tcBorders>
              <w:top w:val="nil"/>
              <w:left w:val="nil"/>
              <w:bottom w:val="outset" w:color="auto" w:sz="6" w:space="0"/>
              <w:right w:val="single" w:color="auto" w:sz="8" w:space="0"/>
            </w:tcBorders>
            <w:shd w:val="clear" w:color="auto" w:fill="auto"/>
            <w:vAlign w:val="center"/>
          </w:tcPr>
          <w:p>
            <w:pPr>
              <w:rPr>
                <w:rFonts w:ascii="宋体"/>
                <w:sz w:val="24"/>
              </w:rPr>
            </w:pPr>
          </w:p>
        </w:tc>
        <w:tc>
          <w:tcPr>
            <w:tcW w:w="3271" w:type="dxa"/>
            <w:tcBorders>
              <w:top w:val="single" w:color="auto" w:sz="8" w:space="0"/>
              <w:left w:val="nil"/>
              <w:bottom w:val="single" w:color="auto" w:sz="8" w:space="0"/>
              <w:right w:val="single" w:color="auto" w:sz="8" w:space="0"/>
            </w:tcBorders>
            <w:shd w:val="clear" w:color="auto" w:fill="auto"/>
          </w:tcPr>
          <w:p>
            <w:pPr>
              <w:widowControl/>
              <w:spacing w:beforeAutospacing="1"/>
              <w:jc w:val="left"/>
            </w:pPr>
            <w:r>
              <w:rPr>
                <w:rFonts w:hint="eastAsia" w:ascii="宋体" w:hAnsi="宋体" w:eastAsia="宋体" w:cs="宋体"/>
                <w:kern w:val="0"/>
                <w:sz w:val="20"/>
                <w:szCs w:val="20"/>
              </w:rPr>
              <w:t>2.重复申请</w:t>
            </w:r>
          </w:p>
        </w:tc>
        <w:tc>
          <w:tcPr>
            <w:tcW w:w="685" w:type="dxa"/>
            <w:tcBorders>
              <w:top w:val="single" w:color="auto" w:sz="8" w:space="0"/>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single" w:color="auto" w:sz="8" w:space="0"/>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single" w:color="auto" w:sz="8" w:space="0"/>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single" w:color="auto" w:sz="8" w:space="0"/>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single" w:color="auto" w:sz="8" w:space="0"/>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single" w:color="auto" w:sz="8" w:space="0"/>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single" w:color="auto" w:sz="8" w:space="0"/>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pPr>
              <w:rPr>
                <w:rFonts w:ascii="宋体"/>
                <w:sz w:val="24"/>
              </w:rPr>
            </w:pPr>
          </w:p>
        </w:tc>
        <w:tc>
          <w:tcPr>
            <w:tcW w:w="921" w:type="dxa"/>
            <w:vMerge w:val="continue"/>
            <w:tcBorders>
              <w:top w:val="nil"/>
              <w:left w:val="nil"/>
              <w:bottom w:val="outset" w:color="auto" w:sz="6" w:space="0"/>
              <w:right w:val="single" w:color="auto" w:sz="8" w:space="0"/>
            </w:tcBorders>
            <w:shd w:val="clear" w:color="auto" w:fill="auto"/>
            <w:vAlign w:val="center"/>
          </w:tcPr>
          <w:p>
            <w:pPr>
              <w:rPr>
                <w:rFonts w:ascii="宋体"/>
                <w:sz w:val="24"/>
              </w:rPr>
            </w:pPr>
          </w:p>
        </w:tc>
        <w:tc>
          <w:tcPr>
            <w:tcW w:w="3271" w:type="dxa"/>
            <w:tcBorders>
              <w:top w:val="single" w:color="auto" w:sz="8" w:space="0"/>
              <w:left w:val="nil"/>
              <w:bottom w:val="single" w:color="auto" w:sz="8" w:space="0"/>
              <w:right w:val="single" w:color="auto" w:sz="8" w:space="0"/>
            </w:tcBorders>
            <w:shd w:val="clear" w:color="auto" w:fill="auto"/>
          </w:tcPr>
          <w:p>
            <w:pPr>
              <w:widowControl/>
              <w:spacing w:beforeAutospacing="1"/>
              <w:jc w:val="left"/>
            </w:pPr>
            <w:r>
              <w:rPr>
                <w:rFonts w:hint="eastAsia" w:ascii="宋体" w:hAnsi="宋体" w:eastAsia="宋体" w:cs="宋体"/>
                <w:kern w:val="0"/>
                <w:sz w:val="20"/>
                <w:szCs w:val="20"/>
              </w:rPr>
              <w:t>3.要求提供公开出版物</w:t>
            </w:r>
          </w:p>
        </w:tc>
        <w:tc>
          <w:tcPr>
            <w:tcW w:w="685" w:type="dxa"/>
            <w:tcBorders>
              <w:top w:val="single" w:color="auto" w:sz="8" w:space="0"/>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single" w:color="auto" w:sz="8" w:space="0"/>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single" w:color="auto" w:sz="8" w:space="0"/>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single" w:color="auto" w:sz="8" w:space="0"/>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single" w:color="auto" w:sz="8" w:space="0"/>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single" w:color="auto" w:sz="8" w:space="0"/>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single" w:color="auto" w:sz="8" w:space="0"/>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pPr>
              <w:rPr>
                <w:rFonts w:ascii="宋体"/>
                <w:sz w:val="24"/>
              </w:rPr>
            </w:pPr>
          </w:p>
        </w:tc>
        <w:tc>
          <w:tcPr>
            <w:tcW w:w="921" w:type="dxa"/>
            <w:vMerge w:val="continue"/>
            <w:tcBorders>
              <w:top w:val="nil"/>
              <w:left w:val="nil"/>
              <w:bottom w:val="outset" w:color="auto" w:sz="6" w:space="0"/>
              <w:right w:val="single" w:color="auto" w:sz="8" w:space="0"/>
            </w:tcBorders>
            <w:shd w:val="clear" w:color="auto" w:fill="auto"/>
            <w:vAlign w:val="center"/>
          </w:tcPr>
          <w:p>
            <w:pPr>
              <w:rPr>
                <w:rFonts w:ascii="宋体"/>
                <w:sz w:val="24"/>
              </w:rPr>
            </w:pPr>
          </w:p>
        </w:tc>
        <w:tc>
          <w:tcPr>
            <w:tcW w:w="3271" w:type="dxa"/>
            <w:tcBorders>
              <w:top w:val="single" w:color="auto" w:sz="8" w:space="0"/>
              <w:left w:val="nil"/>
              <w:bottom w:val="single" w:color="auto" w:sz="8" w:space="0"/>
              <w:right w:val="single" w:color="auto" w:sz="8" w:space="0"/>
            </w:tcBorders>
            <w:shd w:val="clear" w:color="auto" w:fill="auto"/>
          </w:tcPr>
          <w:p>
            <w:pPr>
              <w:widowControl/>
              <w:spacing w:beforeAutospacing="1"/>
              <w:jc w:val="left"/>
            </w:pPr>
            <w:r>
              <w:rPr>
                <w:rFonts w:hint="eastAsia" w:ascii="宋体" w:hAnsi="宋体" w:eastAsia="宋体" w:cs="宋体"/>
                <w:kern w:val="0"/>
                <w:sz w:val="20"/>
                <w:szCs w:val="20"/>
              </w:rPr>
              <w:t>4.无正当理由大量反复申请</w:t>
            </w:r>
          </w:p>
        </w:tc>
        <w:tc>
          <w:tcPr>
            <w:tcW w:w="685" w:type="dxa"/>
            <w:tcBorders>
              <w:top w:val="single" w:color="auto" w:sz="8" w:space="0"/>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single" w:color="auto" w:sz="8" w:space="0"/>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single" w:color="auto" w:sz="8" w:space="0"/>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single" w:color="auto" w:sz="8" w:space="0"/>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single" w:color="auto" w:sz="8" w:space="0"/>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single" w:color="auto" w:sz="8" w:space="0"/>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single" w:color="auto" w:sz="8" w:space="0"/>
              <w:left w:val="nil"/>
              <w:bottom w:val="single" w:color="auto" w:sz="8"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79" w:hRule="atLeast"/>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pPr>
              <w:rPr>
                <w:rFonts w:ascii="宋体"/>
                <w:sz w:val="24"/>
              </w:rPr>
            </w:pPr>
          </w:p>
        </w:tc>
        <w:tc>
          <w:tcPr>
            <w:tcW w:w="921" w:type="dxa"/>
            <w:vMerge w:val="continue"/>
            <w:tcBorders>
              <w:top w:val="nil"/>
              <w:left w:val="nil"/>
              <w:bottom w:val="outset" w:color="auto" w:sz="6" w:space="0"/>
              <w:right w:val="single" w:color="auto" w:sz="8" w:space="0"/>
            </w:tcBorders>
            <w:shd w:val="clear" w:color="auto" w:fill="auto"/>
            <w:vAlign w:val="center"/>
          </w:tcPr>
          <w:p>
            <w:pPr>
              <w:rPr>
                <w:rFonts w:ascii="宋体"/>
                <w:sz w:val="24"/>
              </w:rPr>
            </w:pPr>
          </w:p>
        </w:tc>
        <w:tc>
          <w:tcPr>
            <w:tcW w:w="3271" w:type="dxa"/>
            <w:tcBorders>
              <w:top w:val="nil"/>
              <w:left w:val="nil"/>
              <w:bottom w:val="outset" w:color="auto" w:sz="6" w:space="0"/>
              <w:right w:val="single" w:color="auto" w:sz="8" w:space="0"/>
            </w:tcBorders>
            <w:shd w:val="clear" w:color="auto" w:fill="auto"/>
            <w:vAlign w:val="center"/>
          </w:tcPr>
          <w:p>
            <w:pPr>
              <w:widowControl/>
              <w:spacing w:beforeAutospacing="1"/>
            </w:pPr>
            <w:r>
              <w:rPr>
                <w:rFonts w:hint="eastAsia" w:ascii="宋体" w:hAnsi="宋体" w:eastAsia="宋体" w:cs="宋体"/>
                <w:kern w:val="0"/>
                <w:sz w:val="20"/>
                <w:szCs w:val="20"/>
              </w:rPr>
              <w:t>5.要求行政机关确认或重新出具已获取信息</w:t>
            </w:r>
          </w:p>
        </w:tc>
        <w:tc>
          <w:tcPr>
            <w:tcW w:w="685" w:type="dxa"/>
            <w:tcBorders>
              <w:top w:val="nil"/>
              <w:left w:val="nil"/>
              <w:bottom w:val="outset" w:color="auto" w:sz="6"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outset" w:color="auto" w:sz="6"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outset" w:color="auto" w:sz="6"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outset" w:color="auto" w:sz="6"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outset" w:color="auto" w:sz="6"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outset" w:color="auto" w:sz="6"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outset" w:color="auto" w:sz="6" w:space="0"/>
              <w:right w:val="single" w:color="auto" w:sz="8" w:space="0"/>
            </w:tcBorders>
            <w:shd w:val="clear" w:color="auto" w:fill="auto"/>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pPr>
              <w:rPr>
                <w:rFonts w:ascii="宋体"/>
                <w:sz w:val="24"/>
              </w:rPr>
            </w:pPr>
          </w:p>
        </w:tc>
        <w:tc>
          <w:tcPr>
            <w:tcW w:w="921" w:type="dxa"/>
            <w:vMerge w:val="restart"/>
            <w:tcBorders>
              <w:top w:val="outset" w:color="auto" w:sz="6" w:space="0"/>
              <w:left w:val="nil"/>
              <w:bottom w:val="outset" w:color="auto" w:sz="6" w:space="0"/>
              <w:right w:val="single" w:color="auto" w:sz="8" w:space="0"/>
            </w:tcBorders>
            <w:shd w:val="clear" w:color="auto" w:fill="auto"/>
            <w:vAlign w:val="center"/>
          </w:tcPr>
          <w:p>
            <w:pPr>
              <w:widowControl/>
              <w:spacing w:beforeAutospacing="1"/>
              <w:jc w:val="left"/>
            </w:pPr>
            <w:r>
              <w:rPr>
                <w:rFonts w:hint="eastAsia" w:ascii="宋体" w:hAnsi="宋体" w:eastAsia="宋体" w:cs="宋体"/>
                <w:kern w:val="0"/>
                <w:sz w:val="20"/>
                <w:szCs w:val="20"/>
              </w:rPr>
              <w:t>（六）其他处理</w:t>
            </w:r>
          </w:p>
        </w:tc>
        <w:tc>
          <w:tcPr>
            <w:tcW w:w="3271" w:type="dxa"/>
            <w:tcBorders>
              <w:top w:val="nil"/>
              <w:left w:val="nil"/>
              <w:bottom w:val="single" w:color="auto" w:sz="8" w:space="0"/>
              <w:right w:val="single" w:color="auto" w:sz="8" w:space="0"/>
            </w:tcBorders>
            <w:shd w:val="clear" w:color="auto" w:fill="auto"/>
            <w:vAlign w:val="center"/>
          </w:tcPr>
          <w:p>
            <w:pPr>
              <w:widowControl/>
              <w:spacing w:beforeAutospacing="1"/>
            </w:pPr>
            <w:r>
              <w:rPr>
                <w:rFonts w:hint="eastAsia" w:ascii="宋体" w:hAnsi="宋体" w:eastAsia="宋体" w:cs="宋体"/>
                <w:kern w:val="0"/>
                <w:sz w:val="20"/>
                <w:szCs w:val="20"/>
              </w:rPr>
              <w:t>1.申请人无正当理由逾期不补正、行政机关不再处理其政府信息公开申请</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hint="eastAsia" w:ascii="Calibri" w:hAnsi="Calibri"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pPr>
              <w:rPr>
                <w:rFonts w:ascii="宋体"/>
                <w:sz w:val="24"/>
              </w:rPr>
            </w:pPr>
          </w:p>
        </w:tc>
        <w:tc>
          <w:tcPr>
            <w:tcW w:w="921" w:type="dxa"/>
            <w:vMerge w:val="continue"/>
            <w:tcBorders>
              <w:top w:val="outset" w:color="auto" w:sz="6" w:space="0"/>
              <w:left w:val="nil"/>
              <w:bottom w:val="outset" w:color="auto" w:sz="6" w:space="0"/>
              <w:right w:val="single" w:color="auto" w:sz="8" w:space="0"/>
            </w:tcBorders>
            <w:shd w:val="clear" w:color="auto" w:fill="auto"/>
            <w:vAlign w:val="center"/>
          </w:tcPr>
          <w:p>
            <w:pPr>
              <w:rPr>
                <w:rFonts w:ascii="宋体"/>
                <w:sz w:val="24"/>
              </w:rPr>
            </w:pPr>
          </w:p>
        </w:tc>
        <w:tc>
          <w:tcPr>
            <w:tcW w:w="3271" w:type="dxa"/>
            <w:tcBorders>
              <w:top w:val="nil"/>
              <w:left w:val="nil"/>
              <w:bottom w:val="single" w:color="auto" w:sz="8" w:space="0"/>
              <w:right w:val="single" w:color="auto" w:sz="8" w:space="0"/>
            </w:tcBorders>
            <w:shd w:val="clear" w:color="auto" w:fill="auto"/>
            <w:vAlign w:val="center"/>
          </w:tcPr>
          <w:p>
            <w:pPr>
              <w:widowControl/>
              <w:spacing w:beforeAutospacing="1"/>
            </w:pPr>
            <w:r>
              <w:rPr>
                <w:rFonts w:hint="eastAsia" w:ascii="宋体" w:hAnsi="宋体" w:eastAsia="宋体" w:cs="宋体"/>
                <w:kern w:val="0"/>
                <w:sz w:val="20"/>
                <w:szCs w:val="20"/>
              </w:rPr>
              <w:t>2.申请人逾期未按收费通知要求缴纳费用、行政机关不再处理其政府信息公开申请</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hint="eastAsia" w:ascii="Calibri" w:hAnsi="Calibri"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pPr>
              <w:rPr>
                <w:rFonts w:ascii="宋体"/>
                <w:sz w:val="24"/>
              </w:rPr>
            </w:pPr>
          </w:p>
        </w:tc>
        <w:tc>
          <w:tcPr>
            <w:tcW w:w="921" w:type="dxa"/>
            <w:vMerge w:val="continue"/>
            <w:tcBorders>
              <w:top w:val="outset" w:color="auto" w:sz="6" w:space="0"/>
              <w:left w:val="nil"/>
              <w:bottom w:val="outset" w:color="auto" w:sz="6" w:space="0"/>
              <w:right w:val="single" w:color="auto" w:sz="8" w:space="0"/>
            </w:tcBorders>
            <w:shd w:val="clear" w:color="auto" w:fill="auto"/>
            <w:vAlign w:val="center"/>
          </w:tcPr>
          <w:p>
            <w:pPr>
              <w:rPr>
                <w:rFonts w:ascii="宋体"/>
                <w:sz w:val="24"/>
              </w:rPr>
            </w:pPr>
          </w:p>
        </w:tc>
        <w:tc>
          <w:tcPr>
            <w:tcW w:w="3271" w:type="dxa"/>
            <w:tcBorders>
              <w:top w:val="nil"/>
              <w:left w:val="nil"/>
              <w:bottom w:val="single" w:color="auto" w:sz="8" w:space="0"/>
              <w:right w:val="single" w:color="auto" w:sz="8" w:space="0"/>
            </w:tcBorders>
            <w:shd w:val="clear" w:color="auto" w:fill="auto"/>
            <w:vAlign w:val="center"/>
          </w:tcPr>
          <w:p>
            <w:pPr>
              <w:widowControl/>
              <w:spacing w:beforeAutospacing="1"/>
              <w:jc w:val="left"/>
            </w:pPr>
            <w:r>
              <w:rPr>
                <w:rFonts w:hint="eastAsia" w:ascii="宋体" w:hAnsi="宋体" w:eastAsia="宋体" w:cs="宋体"/>
                <w:kern w:val="0"/>
                <w:sz w:val="20"/>
                <w:szCs w:val="20"/>
              </w:rPr>
              <w:t>3.其他</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hint="eastAsia" w:ascii="Calibri" w:hAnsi="Calibri"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outset" w:color="auto" w:sz="6" w:space="0"/>
              <w:right w:val="single" w:color="auto" w:sz="8" w:space="0"/>
            </w:tcBorders>
            <w:shd w:val="clear" w:color="auto" w:fill="auto"/>
            <w:vAlign w:val="center"/>
          </w:tcPr>
          <w:p>
            <w:pPr>
              <w:rPr>
                <w:rFonts w:ascii="宋体"/>
                <w:sz w:val="24"/>
              </w:rPr>
            </w:pPr>
          </w:p>
        </w:tc>
        <w:tc>
          <w:tcPr>
            <w:tcW w:w="4192" w:type="dxa"/>
            <w:gridSpan w:val="2"/>
            <w:tcBorders>
              <w:top w:val="nil"/>
              <w:left w:val="nil"/>
              <w:bottom w:val="single" w:color="auto" w:sz="8" w:space="0"/>
              <w:right w:val="single" w:color="auto" w:sz="8" w:space="0"/>
            </w:tcBorders>
            <w:shd w:val="clear" w:color="auto" w:fill="auto"/>
            <w:vAlign w:val="center"/>
          </w:tcPr>
          <w:p>
            <w:pPr>
              <w:widowControl/>
              <w:spacing w:beforeAutospacing="1"/>
              <w:jc w:val="left"/>
            </w:pPr>
            <w:r>
              <w:rPr>
                <w:rFonts w:hint="eastAsia" w:ascii="宋体" w:hAnsi="宋体" w:eastAsia="宋体" w:cs="宋体"/>
                <w:kern w:val="0"/>
                <w:sz w:val="20"/>
                <w:szCs w:val="20"/>
              </w:rPr>
              <w:t>（七）总计</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hint="eastAsia" w:ascii="Calibri" w:hAnsi="Calibri" w:cs="Calibri"/>
                <w:kern w:val="0"/>
                <w:sz w:val="20"/>
                <w:szCs w:val="20"/>
              </w:rPr>
              <w:t>0</w:t>
            </w:r>
            <w:r>
              <w:rPr>
                <w:rFonts w:ascii="Calibri" w:hAnsi="Calibri" w:cs="Calibri" w:eastAsiaTheme="minorEastAsia"/>
                <w:kern w:val="0"/>
                <w:sz w:val="20"/>
                <w:szCs w:val="20"/>
              </w:rPr>
              <w:t> </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widowControl/>
              <w:spacing w:beforeAutospacing="1"/>
              <w:jc w:val="center"/>
            </w:pPr>
            <w:r>
              <w:rPr>
                <w:rFonts w:hint="eastAsia" w:ascii="Calibri" w:hAnsi="Calibri" w:cs="Calibri"/>
                <w:kern w:val="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946" w:type="dxa"/>
            <w:gridSpan w:val="3"/>
            <w:tcBorders>
              <w:top w:val="nil"/>
              <w:left w:val="single" w:color="auto" w:sz="8" w:space="0"/>
              <w:bottom w:val="single" w:color="auto" w:sz="8" w:space="0"/>
              <w:right w:val="single" w:color="auto" w:sz="8" w:space="0"/>
            </w:tcBorders>
            <w:shd w:val="clear" w:color="auto" w:fill="auto"/>
            <w:vAlign w:val="center"/>
          </w:tcPr>
          <w:p>
            <w:pPr>
              <w:widowControl/>
              <w:spacing w:beforeAutospacing="1"/>
              <w:jc w:val="left"/>
            </w:pPr>
            <w:r>
              <w:rPr>
                <w:rFonts w:hint="eastAsia" w:ascii="宋体" w:hAnsi="宋体" w:eastAsia="宋体" w:cs="宋体"/>
                <w:kern w:val="0"/>
                <w:sz w:val="20"/>
                <w:szCs w:val="20"/>
              </w:rPr>
              <w:t>四、结转下年度继续办理</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hint="eastAsia" w:ascii="Calibri" w:hAnsi="Calibri" w:cs="Calibri"/>
                <w:kern w:val="0"/>
                <w:sz w:val="20"/>
                <w:szCs w:val="20"/>
              </w:rPr>
              <w:t>0</w:t>
            </w:r>
            <w:r>
              <w:rPr>
                <w:rFonts w:ascii="Calibri" w:hAnsi="Calibri" w:cs="Calibri" w:eastAsiaTheme="minorEastAsia"/>
                <w:kern w:val="0"/>
                <w:sz w:val="20"/>
                <w:szCs w:val="20"/>
              </w:rPr>
              <w:t> </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85" w:type="dxa"/>
            <w:tcBorders>
              <w:top w:val="nil"/>
              <w:left w:val="nil"/>
              <w:bottom w:val="single" w:color="auto" w:sz="8" w:space="0"/>
              <w:right w:val="single" w:color="auto" w:sz="8" w:space="0"/>
            </w:tcBorders>
            <w:shd w:val="clear" w:color="auto" w:fill="auto"/>
          </w:tcPr>
          <w:p>
            <w:pPr>
              <w:jc w:val="center"/>
              <w:rPr>
                <w:rFonts w:ascii="宋体"/>
                <w:sz w:val="24"/>
              </w:rPr>
            </w:pPr>
            <w:r>
              <w:rPr>
                <w:rFonts w:hint="eastAsia" w:ascii="Calibri" w:hAnsi="Calibri" w:cs="Calibri"/>
                <w:kern w:val="0"/>
                <w:sz w:val="20"/>
                <w:szCs w:val="20"/>
              </w:rPr>
              <w:t>0</w:t>
            </w:r>
          </w:p>
        </w:tc>
      </w:tr>
    </w:tbl>
    <w:p>
      <w:pPr>
        <w:pStyle w:val="4"/>
        <w:widowControl/>
        <w:spacing w:beforeAutospacing="0" w:afterAutospacing="0"/>
        <w:ind w:firstLine="420"/>
        <w:jc w:val="both"/>
        <w:rPr>
          <w:rFonts w:ascii="黑体" w:hAnsi="黑体" w:eastAsia="黑体" w:cs="黑体"/>
          <w:sz w:val="32"/>
        </w:rPr>
      </w:pPr>
      <w:r>
        <w:rPr>
          <w:rFonts w:hint="eastAsia" w:ascii="黑体" w:hAnsi="黑体" w:eastAsia="黑体" w:cs="黑体"/>
          <w:sz w:val="32"/>
        </w:rPr>
        <w:t>四、政府信息公开行政复议、行政诉讼情况</w:t>
      </w:r>
    </w:p>
    <w:tbl>
      <w:tblPr>
        <w:tblStyle w:val="5"/>
        <w:tblW w:w="9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650"/>
        <w:gridCol w:w="650"/>
        <w:gridCol w:w="650"/>
        <w:gridCol w:w="650"/>
        <w:gridCol w:w="649"/>
        <w:gridCol w:w="649"/>
        <w:gridCol w:w="650"/>
        <w:gridCol w:w="650"/>
        <w:gridCol w:w="650"/>
        <w:gridCol w:w="650"/>
        <w:gridCol w:w="650"/>
        <w:gridCol w:w="650"/>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21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Autospacing="1"/>
              <w:jc w:val="center"/>
            </w:pPr>
            <w:r>
              <w:rPr>
                <w:rFonts w:hint="eastAsia" w:ascii="宋体" w:hAnsi="宋体" w:eastAsia="宋体" w:cs="宋体"/>
                <w:kern w:val="0"/>
                <w:sz w:val="20"/>
                <w:szCs w:val="20"/>
              </w:rPr>
              <w:t>行政复议</w:t>
            </w:r>
          </w:p>
        </w:tc>
        <w:tc>
          <w:tcPr>
            <w:tcW w:w="6428"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Autospacing="1"/>
              <w:jc w:val="center"/>
            </w:pPr>
            <w:r>
              <w:rPr>
                <w:rFonts w:hint="eastAsia" w:ascii="宋体" w:hAnsi="宋体" w:eastAsia="宋体" w:cs="宋体"/>
                <w:kern w:val="0"/>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2"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beforeAutospacing="1"/>
              <w:jc w:val="center"/>
            </w:pPr>
            <w:r>
              <w:rPr>
                <w:rFonts w:hint="eastAsia" w:ascii="宋体" w:hAnsi="宋体" w:eastAsia="宋体" w:cs="宋体"/>
                <w:kern w:val="0"/>
                <w:sz w:val="20"/>
                <w:szCs w:val="20"/>
              </w:rPr>
              <w:t>结果维持</w:t>
            </w:r>
          </w:p>
        </w:tc>
        <w:tc>
          <w:tcPr>
            <w:tcW w:w="642"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beforeAutospacing="1"/>
              <w:jc w:val="cente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Autospacing="1"/>
              <w:jc w:val="center"/>
            </w:pPr>
            <w:r>
              <w:rPr>
                <w:rFonts w:hint="eastAsia" w:ascii="宋体" w:hAnsi="宋体" w:eastAsia="宋体" w:cs="宋体"/>
                <w:kern w:val="0"/>
                <w:sz w:val="20"/>
                <w:szCs w:val="20"/>
              </w:rPr>
              <w:t>其他</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结果</w:t>
            </w:r>
          </w:p>
        </w:tc>
        <w:tc>
          <w:tcPr>
            <w:tcW w:w="6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Autospacing="1"/>
              <w:jc w:val="center"/>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6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Autospacing="1"/>
              <w:jc w:val="center"/>
            </w:pPr>
            <w:r>
              <w:rPr>
                <w:rFonts w:hint="eastAsia" w:ascii="宋体" w:hAnsi="宋体" w:eastAsia="宋体" w:cs="宋体"/>
                <w:kern w:val="0"/>
                <w:sz w:val="20"/>
                <w:szCs w:val="20"/>
              </w:rPr>
              <w:t>总计</w:t>
            </w:r>
          </w:p>
        </w:tc>
        <w:tc>
          <w:tcPr>
            <w:tcW w:w="321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Autospacing="1"/>
              <w:jc w:val="center"/>
            </w:pPr>
            <w:r>
              <w:rPr>
                <w:rFonts w:hint="eastAsia" w:ascii="宋体" w:hAnsi="宋体" w:eastAsia="宋体" w:cs="宋体"/>
                <w:kern w:val="0"/>
                <w:sz w:val="20"/>
                <w:szCs w:val="20"/>
              </w:rPr>
              <w:t>未经复议直接起诉</w:t>
            </w:r>
          </w:p>
        </w:tc>
        <w:tc>
          <w:tcPr>
            <w:tcW w:w="321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Autospacing="1"/>
              <w:jc w:val="center"/>
            </w:pPr>
            <w:r>
              <w:rPr>
                <w:rFonts w:hint="eastAsia" w:ascii="宋体" w:hAnsi="宋体" w:eastAsia="宋体" w:cs="宋体"/>
                <w:kern w:val="0"/>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2"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宋体"/>
                <w:sz w:val="24"/>
              </w:rPr>
            </w:pPr>
          </w:p>
        </w:tc>
        <w:tc>
          <w:tcPr>
            <w:tcW w:w="642"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sz w:val="24"/>
              </w:rPr>
            </w:pPr>
          </w:p>
        </w:tc>
        <w:tc>
          <w:tcPr>
            <w:tcW w:w="6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Autospacing="1"/>
              <w:jc w:val="cente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维持</w:t>
            </w:r>
          </w:p>
        </w:tc>
        <w:tc>
          <w:tcPr>
            <w:tcW w:w="6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Autospacing="1"/>
              <w:jc w:val="cente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Autospacing="1"/>
              <w:jc w:val="center"/>
            </w:pPr>
            <w:r>
              <w:rPr>
                <w:rFonts w:hint="eastAsia" w:ascii="宋体" w:hAnsi="宋体" w:eastAsia="宋体" w:cs="宋体"/>
                <w:kern w:val="0"/>
                <w:sz w:val="20"/>
                <w:szCs w:val="20"/>
              </w:rPr>
              <w:t>其他</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结果</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Autospacing="1"/>
              <w:jc w:val="center"/>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Autospacing="1"/>
              <w:jc w:val="center"/>
            </w:pPr>
            <w:r>
              <w:rPr>
                <w:rFonts w:hint="eastAsia" w:ascii="宋体" w:hAnsi="宋体" w:eastAsia="宋体" w:cs="宋体"/>
                <w:color w:val="000000"/>
                <w:kern w:val="0"/>
                <w:sz w:val="20"/>
                <w:szCs w:val="20"/>
              </w:rPr>
              <w:t>总计</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Autospacing="1"/>
              <w:jc w:val="cente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维持</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Autospacing="1"/>
              <w:jc w:val="cente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Autospacing="1"/>
              <w:jc w:val="center"/>
            </w:pPr>
            <w:r>
              <w:rPr>
                <w:rFonts w:hint="eastAsia" w:ascii="宋体" w:hAnsi="宋体" w:eastAsia="宋体" w:cs="宋体"/>
                <w:color w:val="000000"/>
                <w:kern w:val="0"/>
                <w:sz w:val="20"/>
                <w:szCs w:val="20"/>
              </w:rPr>
              <w:t>其他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结果</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Autospacing="1"/>
              <w:jc w:val="center"/>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Autospacing="1"/>
              <w:jc w:val="center"/>
            </w:pPr>
            <w:r>
              <w:rPr>
                <w:rFonts w:hint="eastAsia" w:ascii="宋体" w:hAnsi="宋体" w:eastAsia="宋体" w:cs="宋体"/>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Autospacing="1"/>
              <w:jc w:val="center"/>
            </w:pPr>
            <w:r>
              <w:rPr>
                <w:rFonts w:hint="eastAsia" w:ascii="黑体" w:hAnsi="宋体" w:eastAsia="黑体" w:cs="黑体"/>
                <w:sz w:val="20"/>
                <w:szCs w:val="20"/>
              </w:rPr>
              <w:t>0</w:t>
            </w:r>
          </w:p>
        </w:tc>
        <w:tc>
          <w:tcPr>
            <w:tcW w:w="6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Autospacing="1"/>
              <w:jc w:val="center"/>
            </w:pPr>
            <w:r>
              <w:rPr>
                <w:rFonts w:ascii="Calibri" w:hAnsi="Calibri" w:cs="Calibri" w:eastAsiaTheme="minorEastAsia"/>
                <w:kern w:val="0"/>
                <w:sz w:val="20"/>
                <w:szCs w:val="20"/>
              </w:rPr>
              <w:t> </w:t>
            </w:r>
            <w:r>
              <w:rPr>
                <w:rFonts w:hint="eastAsia" w:ascii="Calibri" w:hAnsi="Calibri" w:cs="Calibri"/>
                <w:kern w:val="0"/>
                <w:sz w:val="20"/>
                <w:szCs w:val="20"/>
              </w:rPr>
              <w:t>0</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sz w:val="24"/>
              </w:rPr>
            </w:pPr>
            <w:r>
              <w:rPr>
                <w:rFonts w:ascii="Calibri" w:hAnsi="Calibri" w:cs="Calibri" w:eastAsiaTheme="minorEastAsia"/>
                <w:kern w:val="0"/>
                <w:sz w:val="20"/>
                <w:szCs w:val="20"/>
              </w:rPr>
              <w:t> </w:t>
            </w:r>
            <w:r>
              <w:rPr>
                <w:rFonts w:hint="eastAsia" w:ascii="Calibri" w:hAnsi="Calibri" w:cs="Calibri"/>
                <w:kern w:val="0"/>
                <w:sz w:val="20"/>
                <w:szCs w:val="20"/>
              </w:rPr>
              <w:t>0</w:t>
            </w:r>
          </w:p>
        </w:tc>
      </w:tr>
    </w:tbl>
    <w:p>
      <w:pPr>
        <w:tabs>
          <w:tab w:val="left" w:pos="832"/>
        </w:tabs>
        <w:spacing w:line="560" w:lineRule="exact"/>
        <w:ind w:firstLine="632" w:firstLineChars="200"/>
        <w:jc w:val="left"/>
        <w:rPr>
          <w:rFonts w:ascii="黑体" w:hAnsi="黑体" w:eastAsia="黑体" w:cs="黑体"/>
          <w:szCs w:val="32"/>
          <w:shd w:val="clear" w:color="auto" w:fill="FFFFFF"/>
        </w:rPr>
      </w:pPr>
      <w:r>
        <w:rPr>
          <w:rFonts w:hint="eastAsia" w:ascii="黑体" w:hAnsi="黑体" w:eastAsia="黑体" w:cs="黑体"/>
          <w:szCs w:val="32"/>
          <w:shd w:val="clear" w:color="auto" w:fill="FFFFFF"/>
        </w:rPr>
        <w:t>五、存在的主要问题及改进情况</w:t>
      </w:r>
    </w:p>
    <w:p>
      <w:pPr>
        <w:tabs>
          <w:tab w:val="left" w:pos="832"/>
        </w:tabs>
        <w:spacing w:line="560" w:lineRule="exact"/>
        <w:ind w:firstLine="632" w:firstLineChars="200"/>
        <w:jc w:val="left"/>
        <w:rPr>
          <w:rFonts w:ascii="仿宋_GB2312" w:hAnsi="仿宋_GB2312" w:eastAsia="仿宋_GB2312" w:cs="仿宋_GB2312"/>
          <w:color w:val="000000" w:themeColor="text1"/>
          <w:szCs w:val="32"/>
          <w:shd w:val="clear" w:color="auto" w:fill="FFFFFF"/>
        </w:rPr>
      </w:pPr>
      <w:r>
        <w:rPr>
          <w:rFonts w:hint="eastAsia" w:ascii="仿宋_GB2312" w:hAnsi="仿宋_GB2312" w:eastAsia="仿宋_GB2312" w:cs="仿宋_GB2312"/>
          <w:color w:val="000000" w:themeColor="text1"/>
          <w:szCs w:val="32"/>
          <w:shd w:val="clear" w:color="auto" w:fill="FFFFFF"/>
        </w:rPr>
        <w:t>2021年，我乡政务公开工作取得了新的进展，但与公众需求还存在一些差距，主要是主动公开的意识不够强、信息公开的实效性还有待提高。</w:t>
      </w:r>
    </w:p>
    <w:p>
      <w:pPr>
        <w:tabs>
          <w:tab w:val="left" w:pos="832"/>
        </w:tabs>
        <w:spacing w:line="560" w:lineRule="exact"/>
        <w:ind w:firstLine="632" w:firstLineChars="200"/>
        <w:jc w:val="left"/>
        <w:rPr>
          <w:rFonts w:ascii="仿宋_GB2312" w:hAnsi="仿宋_GB2312" w:eastAsia="仿宋_GB2312" w:cs="仿宋_GB2312"/>
          <w:color w:val="000000" w:themeColor="text1"/>
          <w:szCs w:val="32"/>
          <w:shd w:val="clear" w:color="auto" w:fill="FFFFFF"/>
        </w:rPr>
      </w:pPr>
      <w:r>
        <w:rPr>
          <w:rFonts w:hint="eastAsia" w:ascii="仿宋_GB2312" w:hAnsi="仿宋_GB2312" w:eastAsia="仿宋_GB2312" w:cs="仿宋_GB2312"/>
          <w:color w:val="000000" w:themeColor="text1"/>
          <w:szCs w:val="32"/>
          <w:shd w:val="clear" w:color="auto" w:fill="FFFFFF"/>
        </w:rPr>
        <w:t>下一步，我乡将进一步加强对政务公开工作的组织领导，认真制定切实可行的措施，以求真务实的作</w:t>
      </w:r>
      <w:r>
        <w:rPr>
          <w:rFonts w:hint="eastAsia" w:ascii="仿宋_GB2312" w:hAnsi="仿宋_GB2312" w:eastAsia="仿宋_GB2312" w:cs="仿宋_GB2312"/>
          <w:szCs w:val="32"/>
          <w:shd w:val="clear" w:color="auto" w:fill="FFFFFF"/>
        </w:rPr>
        <w:t>风，扎实做好政务公开工作，重点抓好以下工作：一是进一步提高干部职工对做好政务公开工作的认识，加强宣传教育，营造良好的发展环境。二</w:t>
      </w:r>
      <w:r>
        <w:rPr>
          <w:rFonts w:hint="eastAsia" w:ascii="仿宋_GB2312" w:hAnsi="仿宋_GB2312" w:eastAsia="仿宋_GB2312" w:cs="仿宋_GB2312"/>
          <w:color w:val="000000" w:themeColor="text1"/>
          <w:szCs w:val="32"/>
          <w:shd w:val="clear" w:color="auto" w:fill="FFFFFF"/>
        </w:rPr>
        <w:t>是进一步加强对政务公开工作的领导和监督，层层落实责任，确保把政务公开工作落到实处。三是进一步健全和完善信息公开各项制度，规范和完善政务公开的内容、形式，对涉及公众关心的重大问题、重大决策应该公开的及时公开，同时有区别地抓好对内与对外公开，提高公开针对性、实效性。</w:t>
      </w:r>
    </w:p>
    <w:p>
      <w:pPr>
        <w:tabs>
          <w:tab w:val="left" w:pos="832"/>
        </w:tabs>
        <w:spacing w:line="560" w:lineRule="exact"/>
        <w:ind w:firstLine="632" w:firstLineChars="200"/>
        <w:jc w:val="left"/>
        <w:rPr>
          <w:rFonts w:ascii="黑体" w:hAnsi="黑体" w:eastAsia="黑体" w:cs="黑体"/>
          <w:color w:val="000000" w:themeColor="text1"/>
          <w:szCs w:val="32"/>
          <w:shd w:val="clear" w:color="auto" w:fill="FFFFFF"/>
        </w:rPr>
      </w:pPr>
      <w:r>
        <w:rPr>
          <w:rFonts w:hint="eastAsia" w:ascii="黑体" w:hAnsi="黑体" w:eastAsia="黑体" w:cs="黑体"/>
          <w:color w:val="000000" w:themeColor="text1"/>
          <w:szCs w:val="32"/>
          <w:shd w:val="clear" w:color="auto" w:fill="FFFFFF"/>
        </w:rPr>
        <w:t>六、其他需要报告的事项</w:t>
      </w:r>
    </w:p>
    <w:p>
      <w:pPr>
        <w:tabs>
          <w:tab w:val="left" w:pos="832"/>
        </w:tabs>
        <w:spacing w:line="560" w:lineRule="exact"/>
        <w:ind w:firstLine="632" w:firstLineChars="200"/>
        <w:jc w:val="left"/>
        <w:rPr>
          <w:rFonts w:ascii="仿宋_GB2312" w:hAnsi="仿宋_GB2312" w:eastAsia="仿宋_GB2312" w:cs="仿宋_GB2312"/>
          <w:color w:val="000000" w:themeColor="text1"/>
          <w:szCs w:val="32"/>
          <w:shd w:val="clear" w:color="auto" w:fill="FFFFFF"/>
        </w:rPr>
      </w:pPr>
      <w:r>
        <w:rPr>
          <w:rFonts w:hint="eastAsia" w:ascii="仿宋_GB2312" w:hAnsi="仿宋_GB2312" w:eastAsia="仿宋_GB2312" w:cs="仿宋_GB2312"/>
          <w:color w:val="000000" w:themeColor="text1"/>
          <w:szCs w:val="32"/>
          <w:shd w:val="clear" w:color="auto" w:fill="FFFFFF"/>
        </w:rPr>
        <w:t>无</w:t>
      </w:r>
    </w:p>
    <w:p>
      <w:pPr>
        <w:tabs>
          <w:tab w:val="left" w:pos="832"/>
        </w:tabs>
        <w:spacing w:line="560" w:lineRule="exact"/>
        <w:ind w:firstLine="632" w:firstLineChars="200"/>
        <w:jc w:val="left"/>
        <w:rPr>
          <w:rFonts w:ascii="仿宋_GB2312" w:hAnsi="仿宋_GB2312" w:eastAsia="仿宋_GB2312" w:cs="仿宋_GB2312"/>
          <w:color w:val="000000" w:themeColor="text1"/>
          <w:szCs w:val="32"/>
          <w:shd w:val="clear" w:color="auto" w:fill="FFFFFF"/>
        </w:rPr>
      </w:pPr>
    </w:p>
    <w:p>
      <w:pPr>
        <w:tabs>
          <w:tab w:val="left" w:pos="832"/>
        </w:tabs>
        <w:spacing w:line="560" w:lineRule="exact"/>
        <w:ind w:firstLine="632" w:firstLineChars="200"/>
        <w:jc w:val="left"/>
        <w:rPr>
          <w:rFonts w:ascii="仿宋_GB2312" w:hAnsi="仿宋_GB2312" w:eastAsia="仿宋_GB2312" w:cs="仿宋_GB2312"/>
          <w:color w:val="000000" w:themeColor="text1"/>
          <w:szCs w:val="32"/>
          <w:shd w:val="clear" w:color="auto" w:fill="FFFFFF"/>
        </w:rPr>
      </w:pPr>
    </w:p>
    <w:p>
      <w:pPr>
        <w:tabs>
          <w:tab w:val="left" w:pos="832"/>
        </w:tabs>
        <w:spacing w:line="560" w:lineRule="exact"/>
        <w:ind w:firstLine="6004" w:firstLineChars="1900"/>
        <w:jc w:val="left"/>
        <w:rPr>
          <w:rFonts w:ascii="仿宋_GB2312" w:hAnsi="仿宋_GB2312" w:eastAsia="仿宋_GB2312" w:cs="仿宋_GB2312"/>
          <w:color w:val="000000" w:themeColor="text1"/>
          <w:szCs w:val="32"/>
          <w:shd w:val="clear" w:color="auto" w:fill="FFFFFF"/>
        </w:rPr>
      </w:pPr>
      <w:bookmarkStart w:id="0" w:name="_GoBack"/>
      <w:bookmarkEnd w:id="0"/>
      <w:r>
        <w:rPr>
          <w:rFonts w:hint="eastAsia" w:ascii="仿宋_GB2312" w:hAnsi="仿宋_GB2312" w:eastAsia="仿宋_GB2312" w:cs="仿宋_GB2312"/>
          <w:color w:val="000000" w:themeColor="text1"/>
          <w:szCs w:val="32"/>
          <w:shd w:val="clear" w:color="auto" w:fill="FFFFFF"/>
        </w:rPr>
        <w:t xml:space="preserve">　　　　　　　　　　　　　　　    </w:t>
      </w:r>
    </w:p>
    <w:sectPr>
      <w:footerReference r:id="rId5" w:type="first"/>
      <w:footerReference r:id="rId3" w:type="default"/>
      <w:footerReference r:id="rId4" w:type="even"/>
      <w:pgSz w:w="11906" w:h="16838"/>
      <w:pgMar w:top="2098" w:right="1474" w:bottom="1984" w:left="1588" w:header="851" w:footer="1400" w:gutter="0"/>
      <w:pgNumType w:fmt="numberInDash"/>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eastAsia="宋体" w:cs="宋体"/>
        <w:sz w:val="28"/>
      </w:rPr>
    </w:pPr>
    <w:r>
      <w:rPr>
        <w:sz w:val="2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2F144BD"/>
    <w:rsid w:val="000E1559"/>
    <w:rsid w:val="00175CF7"/>
    <w:rsid w:val="00196923"/>
    <w:rsid w:val="0029504A"/>
    <w:rsid w:val="00301FD6"/>
    <w:rsid w:val="003244EC"/>
    <w:rsid w:val="003D551F"/>
    <w:rsid w:val="00437EFD"/>
    <w:rsid w:val="00440ACF"/>
    <w:rsid w:val="006B6D8A"/>
    <w:rsid w:val="00766E58"/>
    <w:rsid w:val="007B5460"/>
    <w:rsid w:val="008505EE"/>
    <w:rsid w:val="008F4B3A"/>
    <w:rsid w:val="0097408C"/>
    <w:rsid w:val="00A866D6"/>
    <w:rsid w:val="00B27EA4"/>
    <w:rsid w:val="00C16BAF"/>
    <w:rsid w:val="00DA2612"/>
    <w:rsid w:val="00DA6070"/>
    <w:rsid w:val="00F65527"/>
    <w:rsid w:val="00FD6B17"/>
    <w:rsid w:val="02F144BD"/>
    <w:rsid w:val="040B66DE"/>
    <w:rsid w:val="07D819D7"/>
    <w:rsid w:val="08021C34"/>
    <w:rsid w:val="0940376A"/>
    <w:rsid w:val="09557FE7"/>
    <w:rsid w:val="0C30706F"/>
    <w:rsid w:val="0CD93263"/>
    <w:rsid w:val="11247572"/>
    <w:rsid w:val="12047144"/>
    <w:rsid w:val="14DD3F69"/>
    <w:rsid w:val="150A054B"/>
    <w:rsid w:val="192F4E41"/>
    <w:rsid w:val="198B5A24"/>
    <w:rsid w:val="1B5A7C65"/>
    <w:rsid w:val="1C4F550A"/>
    <w:rsid w:val="1E200CF1"/>
    <w:rsid w:val="1E52504F"/>
    <w:rsid w:val="1F2B413D"/>
    <w:rsid w:val="208732AA"/>
    <w:rsid w:val="22DE4A80"/>
    <w:rsid w:val="23A05265"/>
    <w:rsid w:val="25AF19A3"/>
    <w:rsid w:val="25C14C9E"/>
    <w:rsid w:val="25E92392"/>
    <w:rsid w:val="2D07409C"/>
    <w:rsid w:val="303333C9"/>
    <w:rsid w:val="325A00D3"/>
    <w:rsid w:val="33F135D1"/>
    <w:rsid w:val="35AA68CD"/>
    <w:rsid w:val="37E77F9C"/>
    <w:rsid w:val="383C09C6"/>
    <w:rsid w:val="3A3C4CAD"/>
    <w:rsid w:val="3B762441"/>
    <w:rsid w:val="3D273822"/>
    <w:rsid w:val="3EF23B8C"/>
    <w:rsid w:val="40687C28"/>
    <w:rsid w:val="40DD77F0"/>
    <w:rsid w:val="425E3A32"/>
    <w:rsid w:val="46EE732F"/>
    <w:rsid w:val="4A485FEA"/>
    <w:rsid w:val="4A5971B6"/>
    <w:rsid w:val="4A9D48C2"/>
    <w:rsid w:val="4F9130AC"/>
    <w:rsid w:val="4FF600DF"/>
    <w:rsid w:val="51E82577"/>
    <w:rsid w:val="52DE64AA"/>
    <w:rsid w:val="548575B3"/>
    <w:rsid w:val="54AB59CA"/>
    <w:rsid w:val="55E0078B"/>
    <w:rsid w:val="5E622841"/>
    <w:rsid w:val="606F0295"/>
    <w:rsid w:val="65C82528"/>
    <w:rsid w:val="665A08BA"/>
    <w:rsid w:val="66FF40B5"/>
    <w:rsid w:val="68524932"/>
    <w:rsid w:val="6B0E7F99"/>
    <w:rsid w:val="6E096679"/>
    <w:rsid w:val="6ECB1B80"/>
    <w:rsid w:val="71685DAD"/>
    <w:rsid w:val="72353BF7"/>
    <w:rsid w:val="723B1E23"/>
    <w:rsid w:val="777A05BB"/>
    <w:rsid w:val="7A862E00"/>
    <w:rsid w:val="7AF21BC8"/>
    <w:rsid w:val="7B784E3E"/>
    <w:rsid w:val="7F1B62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1372</Words>
  <Characters>1400</Characters>
  <Lines>350</Lines>
  <Paragraphs>153</Paragraphs>
  <TotalTime>123</TotalTime>
  <ScaleCrop>false</ScaleCrop>
  <LinksUpToDate>false</LinksUpToDate>
  <CharactersWithSpaces>2619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2022-01-17T14:08:00Z</dcterms:created>
  <dc:creator>null</dc:creator>
  <cp:lastModifiedBy>Administrator</cp:lastModifiedBy>
  <dcterms:modified xsi:type="dcterms:W3CDTF">2022-01-27T02:09:50Z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E5EFD90F406F487A83C367B5DF671D90</vt:lpwstr>
  </property>
</Properties>
</file>