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cs="方正小标宋简体"/>
          <w:lang w:val="en-US" w:eastAsia="zh-CN"/>
        </w:rPr>
        <w:t>绥滨县工业信息科技局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</w:rPr>
        <w:t>年政府信息</w:t>
      </w:r>
    </w:p>
    <w:p>
      <w:pPr>
        <w:pStyle w:val="2"/>
        <w:bidi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3"/>
        <w:bidi w:val="0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本年报是根据《中华人民共和国政府信息公开条例》的要求，由绥滨县工业信息科技局编制。绥滨县工业信息科技局2022年度信息公开年报全文包括总体情况，主动公开政府信息情况，收到和处理政府信息公开申请情况，政府信息公开行政复议、行政诉讼情况，存在的主要问题及改进情况,其他需要报告的事项等六个方面。本年度报告数据的统计期限为2022年1月1日至2022年12月31日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（一）主动公开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年，绥滨县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工业信息科技局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认真贯彻落实国务院《中华人民共和国政府信息公开条例》文件精神，紧紧围绕工信系统中心工作，进一步强化主动公开力度，及时、准确、有效地向社会发布相关政府信息，做好依申请公开工作，不断增强政府信息公开实效。据统计，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年12月31日，我局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通过公示栏、企业微信群等方式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主动公开政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信息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（二）依申请公开信息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年绥滨县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工业信息科技局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未收到政府信息公开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（三）政府信息管理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为深入推进政府信</w:t>
      </w:r>
      <w:r>
        <w:rPr>
          <w:rFonts w:hint="eastAsia" w:ascii="仿宋_GB2312" w:hAnsi="仿宋_GB2312" w:eastAsia="仿宋_GB2312" w:cs="仿宋_GB2312"/>
          <w:sz w:val="32"/>
          <w:szCs w:val="32"/>
        </w:rPr>
        <w:t>息公开工作，提高信息公开质量和水平，进一步完善信息管理制度，绥滨县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工业信息科技局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结合党的二十大精神，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更新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完善政府信息公开制度、政府信息公开发布协调制度等文件,促进政府信息公开工作制度化、规范化。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（四）信息公开平台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绥滨县工业信息科技局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按照县统一要求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参加各项政务平台培训、进行政务平台录入工作，充分发挥政府网站信息公开第一平台作用，充分利用单位大屏幕、宣传栏等平台，推进我局政务公开工作。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（五）监督保障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绥滨县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工业信息科技局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成立了以局长为组长，副局长为副组长，各股室分管负责同志为成员的工作领导小组。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将政府信息公开工作的纳入对各股办年度工作目标考核中，定期对各股办的政务公开工作推进、制度落实等情况开展督促检查，对出现的问题及时整改，确保信息公开工作落实到位。</w:t>
      </w:r>
    </w:p>
    <w:p>
      <w:pPr>
        <w:pStyle w:val="3"/>
        <w:bidi w:val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/>
        </w:rPr>
        <w:t>二、主动公开政府信息情况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仿宋_GB2312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仿宋_GB2312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bidi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76"/>
        <w:gridCol w:w="3664"/>
        <w:gridCol w:w="750"/>
        <w:gridCol w:w="583"/>
        <w:gridCol w:w="600"/>
        <w:gridCol w:w="733"/>
        <w:gridCol w:w="767"/>
        <w:gridCol w:w="517"/>
        <w:gridCol w:w="5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exact"/>
          <w:jc w:val="center"/>
        </w:trPr>
        <w:tc>
          <w:tcPr>
            <w:tcW w:w="52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52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2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52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52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52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5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52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43"/>
        <w:gridCol w:w="644"/>
        <w:gridCol w:w="644"/>
        <w:gridCol w:w="644"/>
        <w:gridCol w:w="654"/>
        <w:gridCol w:w="644"/>
        <w:gridCol w:w="641"/>
        <w:gridCol w:w="644"/>
        <w:gridCol w:w="644"/>
        <w:gridCol w:w="664"/>
        <w:gridCol w:w="705"/>
        <w:gridCol w:w="645"/>
        <w:gridCol w:w="646"/>
        <w:gridCol w:w="6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五、存在的主要问题及改进情况</w:t>
      </w:r>
      <w:bookmarkStart w:id="0" w:name="_GoBack"/>
      <w:bookmarkEnd w:id="0"/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在全面总结</w:t>
      </w:r>
      <w:r>
        <w:rPr>
          <w:rFonts w:hint="eastAsia" w:ascii="仿宋_GB2312" w:hAnsi="仿宋_GB2312" w:eastAsia="仿宋_GB2312" w:cs="仿宋_GB231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</w:rPr>
        <w:t>年工作的基础上,我们也清醒地看到我局政府信息公开工作中存在的问题和不足,主要表现在信息公开内容的深度和广度不够,公开的形式还不够丰富。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在今后的工作中,我局将继续狠抓政府信息公开工作,切实做到:</w:t>
      </w:r>
      <w:r>
        <w:rPr>
          <w:rFonts w:hint="eastAsia" w:ascii="仿宋_GB2312" w:hAnsi="仿宋_GB2312" w:eastAsia="仿宋_GB2312" w:cs="仿宋_GB2312"/>
          <w:b/>
          <w:bCs/>
        </w:rPr>
        <w:t>一是</w:t>
      </w:r>
      <w:r>
        <w:rPr>
          <w:rFonts w:hint="eastAsia" w:ascii="仿宋_GB2312" w:hAnsi="仿宋_GB2312" w:eastAsia="仿宋_GB2312" w:cs="仿宋_GB2312"/>
        </w:rPr>
        <w:t>进一步健全信息公开机制。把政府信息公开纳入本单位的重点工作,从年初开始就抓好工作计划的谋划,将主动公开、新闻发布、政策解读等任务分解落实到位。加大对信息公开的督促检查力度,不断提升信息公开工作的质量和水平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</w:rPr>
        <w:t>是</w:t>
      </w:r>
      <w:r>
        <w:rPr>
          <w:rFonts w:hint="eastAsia" w:ascii="仿宋_GB2312" w:hAnsi="仿宋_GB2312" w:eastAsia="仿宋_GB2312" w:cs="仿宋_GB2312"/>
        </w:rPr>
        <w:t>进一步提高信息公开工作的时效性。认真做好调研和分析,抓好群众关注热点问题的公开,对涉及群众切身利益的重要政府信息及时公开,保障公众的知情权,切实提高权力运行的透明度,真正接受群众的监督。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、其他需要报告的事项</w:t>
      </w:r>
    </w:p>
    <w:p>
      <w:pPr>
        <w:ind w:left="0" w:leftChars="0" w:firstLine="640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无</w:t>
      </w:r>
    </w:p>
    <w:p>
      <w:pPr>
        <w:ind w:left="0" w:leftChars="0" w:firstLine="640" w:firstLineChars="200"/>
        <w:rPr>
          <w:rFonts w:hint="eastAsia" w:ascii="仿宋_GB2312" w:hAnsi="仿宋_GB2312" w:cs="仿宋_GB2312"/>
          <w:lang w:val="en-US" w:eastAsia="zh-CN"/>
        </w:rPr>
      </w:pPr>
    </w:p>
    <w:p>
      <w:pPr>
        <w:ind w:left="0" w:leftChars="0" w:firstLine="640" w:firstLineChars="200"/>
        <w:rPr>
          <w:rFonts w:hint="default" w:ascii="仿宋_GB2312" w:hAnsi="仿宋_GB2312" w:cs="仿宋_GB2312"/>
          <w:lang w:val="en-US" w:eastAsia="zh-CN"/>
        </w:rPr>
      </w:pPr>
    </w:p>
    <w:p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绥滨县工业信息科技局</w:t>
      </w:r>
    </w:p>
    <w:p>
      <w:pPr>
        <w:ind w:firstLine="4800" w:firstLineChars="1500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2023年1月</w:t>
      </w:r>
      <w:r>
        <w:rPr>
          <w:rFonts w:hint="eastAsia" w:ascii="仿宋_GB2312" w:hAnsi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jIyMzY2NWNiNmZjYWI1NmMxNDlhMGYzMmI1ZTYifQ=="/>
  </w:docVars>
  <w:rsids>
    <w:rsidRoot w:val="6284052B"/>
    <w:rsid w:val="01A67079"/>
    <w:rsid w:val="036939BF"/>
    <w:rsid w:val="05BE38AA"/>
    <w:rsid w:val="0DDC62A8"/>
    <w:rsid w:val="1CAC7327"/>
    <w:rsid w:val="1E321F63"/>
    <w:rsid w:val="1E5A2864"/>
    <w:rsid w:val="21E11C51"/>
    <w:rsid w:val="227777CC"/>
    <w:rsid w:val="262625D8"/>
    <w:rsid w:val="2EB201F0"/>
    <w:rsid w:val="33EF113C"/>
    <w:rsid w:val="35E3377D"/>
    <w:rsid w:val="40B9452C"/>
    <w:rsid w:val="4C5B2503"/>
    <w:rsid w:val="4D9458E1"/>
    <w:rsid w:val="4EFE4E57"/>
    <w:rsid w:val="511307B6"/>
    <w:rsid w:val="528A033B"/>
    <w:rsid w:val="5685756B"/>
    <w:rsid w:val="598C7B04"/>
    <w:rsid w:val="5A804367"/>
    <w:rsid w:val="5D845E7A"/>
    <w:rsid w:val="5F591A4E"/>
    <w:rsid w:val="603B6548"/>
    <w:rsid w:val="6284052B"/>
    <w:rsid w:val="63570EFB"/>
    <w:rsid w:val="6B0C2448"/>
    <w:rsid w:val="70FA3EBE"/>
    <w:rsid w:val="77B62165"/>
    <w:rsid w:val="7A0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2029</Words>
  <Characters>2080</Characters>
  <Lines>0</Lines>
  <Paragraphs>0</Paragraphs>
  <TotalTime>3</TotalTime>
  <ScaleCrop>false</ScaleCrop>
  <LinksUpToDate>false</LinksUpToDate>
  <CharactersWithSpaces>2090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2021-04-21T07:04:00Z</dcterms:created>
  <dc:creator>No_9527</dc:creator>
  <cp:lastModifiedBy>Administrator</cp:lastModifiedBy>
  <dcterms:modified xsi:type="dcterms:W3CDTF">2023-01-10T09:30:52Z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D182A9DBD2D349059202D2755FB1C366</vt:lpwstr>
  </property>
</Properties>
</file>