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绥滨县文体广电和旅游局</w:t>
      </w:r>
      <w:r>
        <w:rPr>
          <w:rFonts w:hint="eastAsia" w:ascii="宋体" w:hAnsi="宋体" w:eastAsia="宋体" w:cs="宋体"/>
          <w:b/>
          <w:bCs/>
          <w:sz w:val="44"/>
          <w:szCs w:val="44"/>
        </w:rPr>
        <w:t>20</w:t>
      </w:r>
      <w:r>
        <w:rPr>
          <w:rFonts w:hint="eastAsia" w:ascii="宋体" w:hAnsi="宋体" w:eastAsia="宋体" w:cs="宋体"/>
          <w:b/>
          <w:bCs/>
          <w:sz w:val="44"/>
          <w:szCs w:val="44"/>
          <w:lang w:val="en-US" w:eastAsia="zh-CN"/>
        </w:rPr>
        <w:t>20</w:t>
      </w:r>
      <w:r>
        <w:rPr>
          <w:rFonts w:hint="eastAsia" w:ascii="宋体" w:hAnsi="宋体" w:eastAsia="宋体" w:cs="宋体"/>
          <w:b/>
          <w:bCs/>
          <w:sz w:val="44"/>
          <w:szCs w:val="44"/>
        </w:rPr>
        <w:t>年</w:t>
      </w:r>
    </w:p>
    <w:p>
      <w:pPr>
        <w:jc w:val="center"/>
        <w:rPr>
          <w:rFonts w:hint="eastAsia" w:ascii="宋体" w:hAnsi="宋体" w:eastAsia="宋体" w:cs="宋体"/>
          <w:b/>
          <w:sz w:val="44"/>
          <w:szCs w:val="44"/>
        </w:rPr>
      </w:pPr>
      <w:r>
        <w:rPr>
          <w:rFonts w:hint="eastAsia" w:ascii="宋体" w:hAnsi="宋体" w:eastAsia="宋体" w:cs="宋体"/>
          <w:b/>
          <w:sz w:val="44"/>
          <w:szCs w:val="44"/>
        </w:rPr>
        <w:t>政府信息公开工作年度报告</w:t>
      </w:r>
    </w:p>
    <w:p>
      <w:pPr>
        <w:jc w:val="center"/>
        <w:rPr>
          <w:rFonts w:hint="eastAsia" w:ascii="方正小标宋简体" w:hAnsi="Calibri" w:eastAsia="方正小标宋简体" w:cs="Times New Roman"/>
          <w:sz w:val="44"/>
          <w:szCs w:val="44"/>
        </w:rPr>
      </w:pPr>
    </w:p>
    <w:p/>
    <w:p>
      <w:pPr>
        <w:ind w:firstLine="960" w:firstLineChars="3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en-US" w:eastAsia="zh-CN"/>
        </w:rPr>
        <w:t>2020</w:t>
      </w:r>
      <w:r>
        <w:rPr>
          <w:rFonts w:hint="eastAsia" w:ascii="仿宋" w:hAnsi="仿宋" w:eastAsia="仿宋" w:cs="仿宋"/>
          <w:color w:val="333333"/>
          <w:sz w:val="32"/>
          <w:szCs w:val="32"/>
          <w:shd w:val="clear" w:color="auto" w:fill="FFFFFF"/>
        </w:rPr>
        <w:t>年度，</w:t>
      </w:r>
      <w:r>
        <w:rPr>
          <w:rFonts w:hint="eastAsia" w:ascii="仿宋" w:hAnsi="仿宋" w:eastAsia="仿宋" w:cs="仿宋"/>
          <w:color w:val="333333"/>
          <w:sz w:val="32"/>
          <w:szCs w:val="32"/>
          <w:shd w:val="clear" w:color="auto" w:fill="FFFFFF"/>
          <w:lang w:eastAsia="zh-CN"/>
        </w:rPr>
        <w:t>绥滨</w:t>
      </w:r>
      <w:r>
        <w:rPr>
          <w:rFonts w:hint="eastAsia" w:ascii="仿宋" w:hAnsi="仿宋" w:eastAsia="仿宋" w:cs="仿宋"/>
          <w:color w:val="333333"/>
          <w:sz w:val="32"/>
          <w:szCs w:val="32"/>
          <w:shd w:val="clear" w:color="auto" w:fill="FFFFFF"/>
        </w:rPr>
        <w:t>县文</w:t>
      </w:r>
      <w:r>
        <w:rPr>
          <w:rFonts w:hint="eastAsia" w:ascii="仿宋" w:hAnsi="仿宋" w:eastAsia="仿宋" w:cs="仿宋"/>
          <w:color w:val="333333"/>
          <w:sz w:val="32"/>
          <w:szCs w:val="32"/>
          <w:shd w:val="clear" w:color="auto" w:fill="FFFFFF"/>
          <w:lang w:eastAsia="zh-CN"/>
        </w:rPr>
        <w:t>体</w:t>
      </w:r>
      <w:r>
        <w:rPr>
          <w:rFonts w:hint="eastAsia" w:ascii="仿宋" w:hAnsi="仿宋" w:eastAsia="仿宋" w:cs="仿宋"/>
          <w:color w:val="333333"/>
          <w:sz w:val="32"/>
          <w:szCs w:val="32"/>
          <w:shd w:val="clear" w:color="auto" w:fill="FFFFFF"/>
        </w:rPr>
        <w:t>广电和旅游局按照</w:t>
      </w:r>
      <w:r>
        <w:rPr>
          <w:rFonts w:hint="eastAsia" w:ascii="仿宋" w:hAnsi="仿宋" w:eastAsia="仿宋" w:cs="仿宋"/>
          <w:sz w:val="32"/>
          <w:szCs w:val="32"/>
          <w:shd w:val="clear" w:color="auto" w:fill="FFFFFF"/>
        </w:rPr>
        <w:t>县政府</w:t>
      </w:r>
      <w:r>
        <w:rPr>
          <w:rFonts w:hint="eastAsia" w:ascii="仿宋" w:hAnsi="仿宋" w:eastAsia="仿宋" w:cs="仿宋"/>
          <w:color w:val="333333"/>
          <w:sz w:val="32"/>
          <w:szCs w:val="32"/>
          <w:shd w:val="clear" w:color="auto" w:fill="FFFFFF"/>
        </w:rPr>
        <w:t>要求，认真贯彻落实《</w:t>
      </w:r>
      <w:r>
        <w:rPr>
          <w:rFonts w:hint="eastAsia" w:ascii="仿宋" w:hAnsi="仿宋" w:eastAsia="仿宋" w:cs="仿宋"/>
          <w:color w:val="333333"/>
          <w:sz w:val="32"/>
          <w:szCs w:val="32"/>
          <w:shd w:val="clear" w:color="auto" w:fill="FFFFFF"/>
          <w:lang w:eastAsia="zh-CN"/>
        </w:rPr>
        <w:t>鹤岗</w:t>
      </w:r>
      <w:r>
        <w:rPr>
          <w:rFonts w:hint="eastAsia" w:ascii="仿宋" w:hAnsi="仿宋" w:eastAsia="仿宋" w:cs="仿宋"/>
          <w:color w:val="333333"/>
          <w:sz w:val="32"/>
          <w:szCs w:val="32"/>
          <w:shd w:val="clear" w:color="auto" w:fill="FFFFFF"/>
        </w:rPr>
        <w:t>市进一步加强全市政务公开工作实施方案》的各项安排部署，结合我局工作职能，在主动公开、依申请公开、政府信息管理、政府信息公开平台建设等各个方面，开展了积极有效的工作，提升了信息公开工作的质量。本年度报告包括总体情况、主动公开信息情况、收到和处理政府信息公开申请情况、政府信息公开行政复议、行政诉讼情况、存在的主要问题及改进情况以及其他需要报告情况和信息公开相关数据统计表等。</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一、总体情况</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w:t>
      </w:r>
      <w:r>
        <w:rPr>
          <w:rFonts w:hint="eastAsia" w:ascii="仿宋" w:hAnsi="仿宋" w:eastAsia="仿宋" w:cs="仿宋"/>
          <w:i w:val="0"/>
          <w:caps w:val="0"/>
          <w:color w:val="000000"/>
          <w:spacing w:val="0"/>
          <w:sz w:val="32"/>
          <w:szCs w:val="32"/>
          <w:shd w:val="clear" w:fill="FFFFFF"/>
          <w:lang w:eastAsia="zh-CN"/>
        </w:rPr>
        <w:t>全年共办理行政许可事项</w:t>
      </w:r>
      <w:r>
        <w:rPr>
          <w:rFonts w:hint="eastAsia" w:ascii="仿宋" w:hAnsi="仿宋" w:eastAsia="仿宋" w:cs="仿宋"/>
          <w:i w:val="0"/>
          <w:caps w:val="0"/>
          <w:color w:val="000000"/>
          <w:spacing w:val="0"/>
          <w:sz w:val="32"/>
          <w:szCs w:val="32"/>
          <w:shd w:val="clear" w:fill="FFFFFF"/>
          <w:lang w:val="en-US" w:eastAsia="zh-CN"/>
        </w:rPr>
        <w:t>2个，一般行政处罚4起，将这6个信息在规定的时间内录入到信用黑龙江平台进行信息公开公示。县文体广电和旅游局对政府信息公开进行了信用承诺。将能公开的信息全部公开公示。</w:t>
      </w:r>
      <w:r>
        <w:rPr>
          <w:rStyle w:val="6"/>
          <w:rFonts w:hint="eastAsia" w:ascii="仿宋" w:hAnsi="仿宋" w:eastAsia="仿宋" w:cs="仿宋"/>
          <w:i w:val="0"/>
          <w:caps w:val="0"/>
          <w:color w:val="000000"/>
          <w:spacing w:val="0"/>
          <w:sz w:val="32"/>
          <w:szCs w:val="32"/>
          <w:shd w:val="clear" w:fill="FFFFFF"/>
        </w:rPr>
        <w:t>　</w:t>
      </w:r>
    </w:p>
    <w:p>
      <w:pPr>
        <w:rPr>
          <w:rFonts w:hint="eastAsia" w:ascii="仿宋" w:hAnsi="仿宋" w:eastAsia="仿宋" w:cs="仿宋"/>
          <w:b/>
          <w:bCs w:val="0"/>
          <w:sz w:val="32"/>
          <w:szCs w:val="32"/>
        </w:rPr>
      </w:pPr>
      <w:r>
        <w:rPr>
          <w:rFonts w:hint="eastAsia" w:ascii="微软雅黑" w:hAnsi="微软雅黑" w:eastAsia="微软雅黑" w:cs="微软雅黑"/>
          <w:b/>
          <w:snapToGrid w:val="0"/>
          <w:color w:val="000000"/>
          <w:kern w:val="2"/>
          <w:sz w:val="21"/>
          <w:szCs w:val="21"/>
          <w:lang w:val="en-US" w:eastAsia="zh-CN" w:bidi="ar-SA"/>
        </w:rPr>
        <w:t xml:space="preserve">   </w:t>
      </w:r>
      <w:r>
        <w:rPr>
          <w:rFonts w:hint="eastAsia" w:ascii="仿宋" w:hAnsi="仿宋" w:eastAsia="仿宋" w:cs="仿宋"/>
          <w:b/>
          <w:bCs w:val="0"/>
          <w:snapToGrid w:val="0"/>
          <w:color w:val="000000"/>
          <w:kern w:val="2"/>
          <w:sz w:val="32"/>
          <w:szCs w:val="32"/>
          <w:lang w:val="en-US" w:eastAsia="zh-CN" w:bidi="ar-SA"/>
        </w:rPr>
        <w:t xml:space="preserve"> </w:t>
      </w:r>
      <w:r>
        <w:rPr>
          <w:rFonts w:hint="eastAsia" w:ascii="仿宋" w:hAnsi="仿宋" w:eastAsia="仿宋" w:cs="仿宋"/>
          <w:b/>
          <w:bCs w:val="0"/>
          <w:sz w:val="32"/>
          <w:szCs w:val="32"/>
        </w:rPr>
        <w:t>二、主动公开政府信息情况</w:t>
      </w:r>
    </w:p>
    <w:tbl>
      <w:tblPr>
        <w:tblStyle w:val="4"/>
        <w:tblW w:w="81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752"/>
        <w:gridCol w:w="2209"/>
        <w:gridCol w:w="1619"/>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40" w:type="dxa"/>
            <w:gridSpan w:val="4"/>
            <w:shd w:val="clear" w:color="auto" w:fill="C6D9F1"/>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信息内容</w:t>
            </w:r>
          </w:p>
        </w:tc>
        <w:tc>
          <w:tcPr>
            <w:tcW w:w="220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本年新</w:t>
            </w:r>
            <w:r>
              <w:rPr>
                <w:rFonts w:hint="eastAsia" w:cs="宋体"/>
                <w:color w:val="333333"/>
                <w:kern w:val="0"/>
                <w:sz w:val="20"/>
                <w:szCs w:val="20"/>
              </w:rPr>
              <w:t>制作数量</w:t>
            </w:r>
          </w:p>
        </w:tc>
        <w:tc>
          <w:tcPr>
            <w:tcW w:w="1619" w:type="dxa"/>
            <w:vAlign w:val="center"/>
          </w:tcPr>
          <w:p>
            <w:pPr>
              <w:widowControl/>
              <w:spacing w:after="300"/>
              <w:jc w:val="center"/>
              <w:rPr>
                <w:rFonts w:ascii="宋体" w:cs="宋体"/>
                <w:color w:val="333333"/>
                <w:kern w:val="0"/>
                <w:sz w:val="24"/>
                <w:szCs w:val="24"/>
              </w:rPr>
            </w:pPr>
            <w:r>
              <w:rPr>
                <w:rFonts w:hint="eastAsia" w:ascii="宋体" w:hAnsi="宋体" w:cs="宋体"/>
                <w:color w:val="000000"/>
                <w:kern w:val="0"/>
                <w:sz w:val="20"/>
                <w:szCs w:val="20"/>
              </w:rPr>
              <w:t>本年新</w:t>
            </w:r>
            <w:r>
              <w:rPr>
                <w:rFonts w:hint="eastAsia" w:cs="宋体"/>
                <w:color w:val="333333"/>
                <w:kern w:val="0"/>
                <w:sz w:val="20"/>
                <w:szCs w:val="20"/>
              </w:rPr>
              <w:t>公开数量</w:t>
            </w:r>
          </w:p>
        </w:tc>
        <w:tc>
          <w:tcPr>
            <w:tcW w:w="1560" w:type="dxa"/>
            <w:vAlign w:val="center"/>
          </w:tcPr>
          <w:p>
            <w:pPr>
              <w:widowControl/>
              <w:spacing w:after="300"/>
              <w:jc w:val="center"/>
              <w:rPr>
                <w:rFonts w:ascii="宋体" w:cs="宋体"/>
                <w:color w:val="333333"/>
                <w:kern w:val="0"/>
                <w:sz w:val="24"/>
                <w:szCs w:val="24"/>
              </w:rPr>
            </w:pPr>
            <w:r>
              <w:rPr>
                <w:rFonts w:hint="eastAsia" w:ascii="宋体" w:hAnsi="宋体" w:cs="宋体"/>
                <w:color w:val="000000"/>
                <w:kern w:val="0"/>
                <w:sz w:val="20"/>
                <w:szCs w:val="20"/>
              </w:rPr>
              <w:t>对外公开总数量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规章</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规范性文件</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40" w:type="dxa"/>
            <w:gridSpan w:val="4"/>
            <w:shd w:val="clear" w:color="auto" w:fill="C6D9F1"/>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信息内容</w:t>
            </w:r>
          </w:p>
        </w:tc>
        <w:tc>
          <w:tcPr>
            <w:tcW w:w="220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上一年项目数量</w:t>
            </w:r>
          </w:p>
        </w:tc>
        <w:tc>
          <w:tcPr>
            <w:tcW w:w="161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c>
          <w:tcPr>
            <w:tcW w:w="1560" w:type="dxa"/>
            <w:vAlign w:val="center"/>
          </w:tcPr>
          <w:p>
            <w:pPr>
              <w:widowControl/>
              <w:spacing w:after="300"/>
              <w:jc w:val="center"/>
              <w:rPr>
                <w:rFonts w:ascii="宋体" w:cs="宋体"/>
                <w:color w:val="333333"/>
                <w:kern w:val="0"/>
                <w:sz w:val="24"/>
                <w:szCs w:val="24"/>
              </w:rPr>
            </w:pPr>
            <w:r>
              <w:rPr>
                <w:rFonts w:hint="eastAsia" w:ascii="宋体" w:hAnsi="宋体" w:cs="宋体"/>
                <w:color w:val="000000"/>
                <w:kern w:val="0"/>
                <w:sz w:val="20"/>
                <w:szCs w:val="20"/>
              </w:rPr>
              <w:t>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行政许可</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2</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eastAsia="zh-CN"/>
              </w:rPr>
            </w:pPr>
            <w:r>
              <w:rPr>
                <w:rFonts w:hint="eastAsia" w:ascii="宋体" w:hAnsi="宋体" w:cs="宋体"/>
                <w:color w:val="000000"/>
                <w:kern w:val="0"/>
                <w:sz w:val="20"/>
                <w:szCs w:val="20"/>
                <w:lang w:val="en-US" w:eastAsia="zh-CN"/>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其他对外管理服务事项</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40" w:type="dxa"/>
            <w:gridSpan w:val="4"/>
            <w:shd w:val="clear" w:color="auto" w:fill="C6D9F1"/>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信息内容</w:t>
            </w:r>
          </w:p>
        </w:tc>
        <w:tc>
          <w:tcPr>
            <w:tcW w:w="220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上一年项目数量</w:t>
            </w:r>
          </w:p>
        </w:tc>
        <w:tc>
          <w:tcPr>
            <w:tcW w:w="161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c>
          <w:tcPr>
            <w:tcW w:w="1560" w:type="dxa"/>
            <w:vAlign w:val="center"/>
          </w:tcPr>
          <w:p>
            <w:pPr>
              <w:widowControl/>
              <w:spacing w:after="300"/>
              <w:jc w:val="center"/>
              <w:rPr>
                <w:rFonts w:ascii="宋体" w:cs="宋体"/>
                <w:color w:val="333333"/>
                <w:kern w:val="0"/>
                <w:sz w:val="24"/>
                <w:szCs w:val="24"/>
              </w:rPr>
            </w:pPr>
            <w:r>
              <w:rPr>
                <w:rFonts w:hint="eastAsia" w:ascii="宋体" w:hAnsi="宋体" w:cs="宋体"/>
                <w:color w:val="000000"/>
                <w:kern w:val="0"/>
                <w:sz w:val="20"/>
                <w:szCs w:val="20"/>
              </w:rPr>
              <w:t>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行政处罚</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4</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hAnsi="宋体" w:cs="宋体"/>
                <w:color w:val="000000"/>
                <w:kern w:val="0"/>
                <w:sz w:val="20"/>
                <w:szCs w:val="20"/>
                <w:lang w:val="en-US" w:eastAsia="zh-CN"/>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行政强制</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40" w:type="dxa"/>
            <w:gridSpan w:val="4"/>
            <w:shd w:val="clear" w:color="auto" w:fill="C6D9F1"/>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信息内容</w:t>
            </w:r>
          </w:p>
        </w:tc>
        <w:tc>
          <w:tcPr>
            <w:tcW w:w="220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上一年项目数量</w:t>
            </w:r>
          </w:p>
        </w:tc>
        <w:tc>
          <w:tcPr>
            <w:tcW w:w="3179" w:type="dxa"/>
            <w:gridSpan w:val="2"/>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行政事业性收费</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3179" w:type="dxa"/>
            <w:gridSpan w:val="2"/>
            <w:vAlign w:val="center"/>
          </w:tcPr>
          <w:p>
            <w:pPr>
              <w:widowControl/>
              <w:spacing w:after="300"/>
              <w:ind w:firstLine="420"/>
              <w:jc w:val="center"/>
              <w:rPr>
                <w:rFonts w:ascii="宋体" w:cs="宋体"/>
                <w:color w:val="333333"/>
                <w:kern w:val="0"/>
                <w:sz w:val="24"/>
                <w:szCs w:val="24"/>
              </w:rPr>
            </w:pPr>
            <w:r>
              <w:rPr>
                <w:rFonts w:ascii="宋体" w:cs="宋体"/>
                <w:color w:val="333333"/>
                <w:kern w:val="0"/>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40" w:type="dxa"/>
            <w:gridSpan w:val="4"/>
            <w:shd w:val="clear" w:color="auto" w:fill="C6D9F1"/>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第二十条第（九）项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信息内容</w:t>
            </w:r>
          </w:p>
        </w:tc>
        <w:tc>
          <w:tcPr>
            <w:tcW w:w="220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采购项目数量</w:t>
            </w:r>
          </w:p>
        </w:tc>
        <w:tc>
          <w:tcPr>
            <w:tcW w:w="3179" w:type="dxa"/>
            <w:gridSpan w:val="2"/>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采购总金额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政府集中采购</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3179" w:type="dxa"/>
            <w:gridSpan w:val="2"/>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r>
    </w:tbl>
    <w:p>
      <w:pPr>
        <w:widowControl/>
        <w:shd w:val="clear" w:color="auto" w:fill="FFFFFF"/>
        <w:spacing w:after="300"/>
        <w:ind w:firstLine="480"/>
        <w:rPr>
          <w:rFonts w:ascii="宋体" w:cs="宋体"/>
          <w:color w:val="333333"/>
          <w:kern w:val="0"/>
          <w:sz w:val="19"/>
          <w:szCs w:val="19"/>
        </w:rPr>
      </w:pPr>
      <w:r>
        <w:rPr>
          <w:rFonts w:ascii="宋体" w:cs="宋体"/>
          <w:color w:val="333333"/>
          <w:kern w:val="0"/>
          <w:sz w:val="19"/>
          <w:szCs w:val="19"/>
        </w:rPr>
        <w:t> </w:t>
      </w:r>
    </w:p>
    <w:p>
      <w:pPr>
        <w:widowControl/>
        <w:shd w:val="clear" w:color="auto" w:fill="FFFFFF"/>
        <w:spacing w:after="300"/>
        <w:rPr>
          <w:rFonts w:hint="eastAsia" w:ascii="黑体" w:hAnsi="黑体" w:eastAsia="黑体" w:cs="黑体"/>
          <w:bCs/>
          <w:sz w:val="32"/>
          <w:szCs w:val="32"/>
        </w:rPr>
      </w:pPr>
      <w:r>
        <w:rPr>
          <w:rFonts w:hint="eastAsia" w:ascii="仿宋_GB2312" w:hAnsi="仿宋" w:eastAsia="仿宋_GB2312" w:cs="仿宋"/>
          <w:b/>
          <w:snapToGrid w:val="0"/>
          <w:color w:val="000000"/>
          <w:kern w:val="2"/>
          <w:sz w:val="32"/>
          <w:szCs w:val="32"/>
          <w:lang w:val="en-US" w:eastAsia="zh-CN" w:bidi="ar-SA"/>
        </w:rPr>
        <w:t xml:space="preserve">    </w:t>
      </w:r>
      <w:r>
        <w:rPr>
          <w:rFonts w:hint="eastAsia" w:ascii="黑体" w:hAnsi="黑体" w:eastAsia="黑体" w:cs="黑体"/>
          <w:bCs/>
          <w:sz w:val="32"/>
          <w:szCs w:val="32"/>
        </w:rPr>
        <w:t>三、收到和处理政府信息公开申请情况</w:t>
      </w:r>
    </w:p>
    <w:tbl>
      <w:tblPr>
        <w:tblStyle w:val="4"/>
        <w:tblW w:w="90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60"/>
        <w:gridCol w:w="944"/>
        <w:gridCol w:w="2052"/>
        <w:gridCol w:w="803"/>
        <w:gridCol w:w="749"/>
        <w:gridCol w:w="749"/>
        <w:gridCol w:w="803"/>
        <w:gridCol w:w="957"/>
        <w:gridCol w:w="738"/>
        <w:gridCol w:w="7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（本列数据的勾稽关系为：第一项加第二项之和，等于第三项加第四项之和）</w:t>
            </w:r>
          </w:p>
        </w:tc>
        <w:tc>
          <w:tcPr>
            <w:tcW w:w="5515" w:type="dxa"/>
            <w:gridSpan w:val="7"/>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申请人情况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color w:val="333333"/>
                <w:kern w:val="0"/>
                <w:sz w:val="24"/>
                <w:szCs w:val="24"/>
              </w:rPr>
            </w:pPr>
          </w:p>
        </w:tc>
        <w:tc>
          <w:tcPr>
            <w:tcW w:w="803"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rPr>
                <w:rFonts w:ascii="宋体" w:cs="宋体"/>
                <w:color w:val="333333"/>
                <w:kern w:val="0"/>
                <w:sz w:val="24"/>
                <w:szCs w:val="24"/>
              </w:rPr>
            </w:pPr>
            <w:r>
              <w:rPr>
                <w:rFonts w:hint="eastAsia" w:ascii="宋体" w:hAnsi="宋体" w:cs="宋体"/>
                <w:color w:val="333333"/>
                <w:kern w:val="0"/>
                <w:sz w:val="20"/>
                <w:szCs w:val="20"/>
              </w:rPr>
              <w:t>自然人</w:t>
            </w:r>
          </w:p>
        </w:tc>
        <w:tc>
          <w:tcPr>
            <w:tcW w:w="3996" w:type="dxa"/>
            <w:gridSpan w:val="5"/>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法人或其他组织</w:t>
            </w:r>
          </w:p>
        </w:tc>
        <w:tc>
          <w:tcPr>
            <w:tcW w:w="716" w:type="dxa"/>
            <w:vMerge w:val="restart"/>
            <w:tcBorders>
              <w:top w:val="outset" w:color="auto" w:sz="6" w:space="0"/>
              <w:left w:val="outset" w:color="auto" w:sz="6" w:space="0"/>
              <w:bottom w:val="outset" w:color="auto" w:sz="6" w:space="0"/>
            </w:tcBorders>
            <w:vAlign w:val="center"/>
          </w:tcPr>
          <w:p>
            <w:pPr>
              <w:widowControl/>
              <w:spacing w:after="300"/>
              <w:ind w:firstLine="100" w:firstLineChars="50"/>
              <w:jc w:val="center"/>
              <w:rPr>
                <w:rFonts w:ascii="宋体" w:cs="宋体"/>
                <w:color w:val="333333"/>
                <w:kern w:val="0"/>
                <w:sz w:val="24"/>
                <w:szCs w:val="24"/>
              </w:rPr>
            </w:pPr>
            <w:r>
              <w:rPr>
                <w:rFonts w:hint="eastAsia" w:ascii="宋体" w:hAnsi="宋体" w:cs="宋体"/>
                <w:color w:val="333333"/>
                <w:kern w:val="0"/>
                <w:sz w:val="20"/>
                <w:szCs w:val="20"/>
              </w:rPr>
              <w:t>总计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color w:val="333333"/>
                <w:kern w:val="0"/>
                <w:sz w:val="24"/>
                <w:szCs w:val="24"/>
              </w:rPr>
            </w:pPr>
          </w:p>
        </w:tc>
        <w:tc>
          <w:tcPr>
            <w:tcW w:w="80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jc w:val="center"/>
              <w:rPr>
                <w:rFonts w:ascii="宋体" w:cs="宋体"/>
                <w:color w:val="333333"/>
                <w:kern w:val="0"/>
                <w:sz w:val="24"/>
                <w:szCs w:val="24"/>
              </w:rPr>
            </w:pPr>
            <w:r>
              <w:rPr>
                <w:rFonts w:hint="eastAsia" w:ascii="宋体" w:hAnsi="宋体" w:cs="宋体"/>
                <w:color w:val="333333"/>
                <w:kern w:val="0"/>
                <w:sz w:val="20"/>
                <w:szCs w:val="20"/>
              </w:rPr>
              <w:t>商业企业</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jc w:val="center"/>
              <w:rPr>
                <w:rFonts w:ascii="宋体" w:cs="宋体"/>
                <w:color w:val="333333"/>
                <w:kern w:val="0"/>
                <w:sz w:val="24"/>
                <w:szCs w:val="24"/>
              </w:rPr>
            </w:pPr>
            <w:r>
              <w:rPr>
                <w:rFonts w:hint="eastAsia" w:ascii="宋体" w:hAnsi="宋体" w:cs="宋体"/>
                <w:color w:val="333333"/>
                <w:kern w:val="0"/>
                <w:sz w:val="20"/>
                <w:szCs w:val="20"/>
              </w:rPr>
              <w:t>科研机构</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jc w:val="center"/>
              <w:rPr>
                <w:rFonts w:ascii="宋体" w:cs="宋体"/>
                <w:color w:val="333333"/>
                <w:kern w:val="0"/>
                <w:sz w:val="24"/>
                <w:szCs w:val="24"/>
              </w:rPr>
            </w:pPr>
            <w:r>
              <w:rPr>
                <w:rFonts w:hint="eastAsia" w:ascii="宋体" w:hAnsi="宋体" w:cs="宋体"/>
                <w:color w:val="333333"/>
                <w:kern w:val="0"/>
                <w:sz w:val="20"/>
                <w:szCs w:val="20"/>
              </w:rPr>
              <w:t>社会公益组织</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jc w:val="center"/>
              <w:rPr>
                <w:rFonts w:ascii="宋体" w:cs="宋体"/>
                <w:color w:val="333333"/>
                <w:kern w:val="0"/>
                <w:sz w:val="24"/>
                <w:szCs w:val="24"/>
              </w:rPr>
            </w:pPr>
            <w:r>
              <w:rPr>
                <w:rFonts w:hint="eastAsia" w:ascii="宋体" w:hAnsi="宋体" w:cs="宋体"/>
                <w:color w:val="333333"/>
                <w:kern w:val="0"/>
                <w:sz w:val="20"/>
                <w:szCs w:val="20"/>
              </w:rPr>
              <w:t>法律服务机构</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jc w:val="center"/>
              <w:rPr>
                <w:rFonts w:ascii="宋体" w:cs="宋体"/>
                <w:color w:val="333333"/>
                <w:kern w:val="0"/>
                <w:sz w:val="24"/>
                <w:szCs w:val="24"/>
              </w:rPr>
            </w:pPr>
            <w:r>
              <w:rPr>
                <w:rFonts w:hint="eastAsia" w:ascii="宋体" w:hAnsi="宋体" w:cs="宋体"/>
                <w:color w:val="333333"/>
                <w:kern w:val="0"/>
                <w:sz w:val="20"/>
                <w:szCs w:val="20"/>
              </w:rPr>
              <w:t>其他</w:t>
            </w:r>
          </w:p>
        </w:tc>
        <w:tc>
          <w:tcPr>
            <w:tcW w:w="716" w:type="dxa"/>
            <w:vMerge w:val="continue"/>
            <w:tcBorders>
              <w:top w:val="outset" w:color="auto" w:sz="6" w:space="0"/>
              <w:left w:val="outset" w:color="auto" w:sz="6" w:space="0"/>
              <w:bottom w:val="outset" w:color="auto" w:sz="6" w:space="0"/>
            </w:tcBorders>
            <w:vAlign w:val="center"/>
          </w:tcPr>
          <w:p>
            <w:pPr>
              <w:widowControl/>
              <w:jc w:val="center"/>
              <w:rPr>
                <w:rFonts w:ascii="宋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tcBorders>
              <w:top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宋体" w:hAnsi="宋体" w:cs="宋体"/>
                <w:color w:val="333333"/>
                <w:kern w:val="0"/>
                <w:sz w:val="20"/>
                <w:szCs w:val="20"/>
              </w:rPr>
              <w:t>一、本年新收政府信息公开申请数量</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hint="default"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hint="eastAsia" w:ascii="宋体" w:cs="宋体" w:eastAsiaTheme="minorEastAsia"/>
                <w:color w:val="333333"/>
                <w:kern w:val="0"/>
                <w:sz w:val="24"/>
                <w:szCs w:val="24"/>
                <w:lang w:eastAsia="zh-CN"/>
              </w:rPr>
            </w:pPr>
            <w:r>
              <w:rPr>
                <w:rFonts w:hint="eastAsia" w:ascii="宋体" w:cs="宋体"/>
                <w:color w:val="333333"/>
                <w:kern w:val="0"/>
                <w:sz w:val="20"/>
                <w:szCs w:val="20"/>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tcBorders>
              <w:top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宋体" w:hAnsi="宋体" w:cs="宋体"/>
                <w:color w:val="333333"/>
                <w:kern w:val="0"/>
                <w:sz w:val="20"/>
                <w:szCs w:val="20"/>
              </w:rPr>
              <w:t>二、上年结转政府信息公开申请数量</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restart"/>
            <w:tcBorders>
              <w:top w:val="outset" w:color="auto" w:sz="6" w:space="0"/>
              <w:bottom w:val="outset" w:color="auto" w:sz="6" w:space="0"/>
              <w:right w:val="outset" w:color="auto" w:sz="6" w:space="0"/>
            </w:tcBorders>
            <w:vAlign w:val="center"/>
          </w:tcPr>
          <w:p>
            <w:pPr>
              <w:widowControl/>
              <w:spacing w:after="300"/>
              <w:rPr>
                <w:rFonts w:ascii="宋体" w:cs="宋体"/>
                <w:color w:val="333333"/>
                <w:kern w:val="0"/>
                <w:sz w:val="24"/>
                <w:szCs w:val="24"/>
              </w:rPr>
            </w:pPr>
            <w:r>
              <w:rPr>
                <w:rFonts w:hint="eastAsia" w:ascii="宋体" w:hAnsi="宋体" w:cs="宋体"/>
                <w:color w:val="333333"/>
                <w:kern w:val="0"/>
                <w:sz w:val="20"/>
                <w:szCs w:val="20"/>
              </w:rPr>
              <w:t>三、本年度理结果</w:t>
            </w:r>
          </w:p>
        </w:tc>
        <w:tc>
          <w:tcPr>
            <w:tcW w:w="2996" w:type="dxa"/>
            <w:gridSpan w:val="2"/>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（一）予以公开</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hint="eastAsia" w:ascii="宋体" w:cs="宋体" w:eastAsiaTheme="minorEastAsia"/>
                <w:color w:val="333333"/>
                <w:kern w:val="0"/>
                <w:sz w:val="24"/>
                <w:szCs w:val="24"/>
                <w:lang w:eastAsia="zh-CN"/>
              </w:rPr>
            </w:pPr>
            <w:r>
              <w:rPr>
                <w:rFonts w:cs="宋体"/>
                <w:color w:val="333333"/>
                <w:kern w:val="0"/>
                <w:sz w:val="20"/>
                <w:szCs w:val="20"/>
              </w:rPr>
              <w:t> </w:t>
            </w:r>
            <w:r>
              <w:rPr>
                <w:rFonts w:hint="eastAsia" w:ascii="宋体" w:cs="宋体"/>
                <w:color w:val="333333"/>
                <w:kern w:val="0"/>
                <w:sz w:val="20"/>
                <w:szCs w:val="20"/>
                <w:lang w:val="en-US" w:eastAsia="zh-CN"/>
              </w:rPr>
              <w:t>6</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hint="eastAsia" w:ascii="宋体" w:cs="宋体" w:eastAsiaTheme="minorEastAsia"/>
                <w:color w:val="333333"/>
                <w:kern w:val="0"/>
                <w:sz w:val="24"/>
                <w:szCs w:val="24"/>
                <w:lang w:eastAsia="zh-CN"/>
              </w:rPr>
            </w:pPr>
            <w:r>
              <w:rPr>
                <w:rFonts w:hint="eastAsia" w:cs="宋体"/>
                <w:color w:val="333333"/>
                <w:kern w:val="0"/>
                <w:sz w:val="20"/>
                <w:szCs w:val="20"/>
                <w:lang w:val="en-US" w:eastAsia="zh-CN"/>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996" w:type="dxa"/>
            <w:gridSpan w:val="2"/>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（二）部分公开（区分处理的，只计这一情形，不计其他情形）</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（三）不予公开</w:t>
            </w: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1.</w:t>
            </w:r>
            <w:r>
              <w:rPr>
                <w:rFonts w:hint="eastAsia" w:ascii="楷体" w:hAnsi="楷体" w:eastAsia="楷体" w:cs="宋体"/>
                <w:color w:val="333333"/>
                <w:kern w:val="0"/>
                <w:sz w:val="20"/>
                <w:szCs w:val="20"/>
              </w:rPr>
              <w:t>属于国家秘密</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2.</w:t>
            </w:r>
            <w:r>
              <w:rPr>
                <w:rFonts w:hint="eastAsia" w:ascii="楷体" w:hAnsi="楷体" w:eastAsia="楷体" w:cs="宋体"/>
                <w:color w:val="333333"/>
                <w:kern w:val="0"/>
                <w:sz w:val="20"/>
                <w:szCs w:val="20"/>
              </w:rPr>
              <w:t>其他法律行政法规禁止公开</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3.</w:t>
            </w:r>
            <w:r>
              <w:rPr>
                <w:rFonts w:hint="eastAsia" w:ascii="楷体" w:hAnsi="楷体" w:eastAsia="楷体" w:cs="宋体"/>
                <w:color w:val="333333"/>
                <w:kern w:val="0"/>
                <w:sz w:val="20"/>
                <w:szCs w:val="20"/>
              </w:rPr>
              <w:t>危及“三安全一稳定”</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4.</w:t>
            </w:r>
            <w:r>
              <w:rPr>
                <w:rFonts w:hint="eastAsia" w:ascii="楷体" w:hAnsi="楷体" w:eastAsia="楷体" w:cs="宋体"/>
                <w:color w:val="333333"/>
                <w:kern w:val="0"/>
                <w:sz w:val="20"/>
                <w:szCs w:val="20"/>
              </w:rPr>
              <w:t>保护第三方合法权益</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5.</w:t>
            </w:r>
            <w:r>
              <w:rPr>
                <w:rFonts w:hint="eastAsia" w:ascii="楷体" w:hAnsi="楷体" w:eastAsia="楷体" w:cs="宋体"/>
                <w:color w:val="333333"/>
                <w:kern w:val="0"/>
                <w:sz w:val="20"/>
                <w:szCs w:val="20"/>
              </w:rPr>
              <w:t>属于三类内部事务信息</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6.</w:t>
            </w:r>
            <w:r>
              <w:rPr>
                <w:rFonts w:hint="eastAsia" w:ascii="楷体" w:hAnsi="楷体" w:eastAsia="楷体" w:cs="宋体"/>
                <w:color w:val="333333"/>
                <w:kern w:val="0"/>
                <w:sz w:val="20"/>
                <w:szCs w:val="20"/>
              </w:rPr>
              <w:t>属于四类过程性信息</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7.</w:t>
            </w:r>
            <w:r>
              <w:rPr>
                <w:rFonts w:hint="eastAsia" w:ascii="楷体" w:hAnsi="楷体" w:eastAsia="楷体" w:cs="宋体"/>
                <w:color w:val="333333"/>
                <w:kern w:val="0"/>
                <w:sz w:val="20"/>
                <w:szCs w:val="20"/>
              </w:rPr>
              <w:t>属于行政执法案卷</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8.</w:t>
            </w:r>
            <w:r>
              <w:rPr>
                <w:rFonts w:hint="eastAsia" w:ascii="楷体" w:hAnsi="楷体" w:eastAsia="楷体" w:cs="宋体"/>
                <w:color w:val="333333"/>
                <w:kern w:val="0"/>
                <w:sz w:val="20"/>
                <w:szCs w:val="20"/>
              </w:rPr>
              <w:t>属于行政查询事项</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（四）无法提供</w:t>
            </w: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1.</w:t>
            </w:r>
            <w:r>
              <w:rPr>
                <w:rFonts w:hint="eastAsia" w:ascii="楷体" w:hAnsi="楷体" w:eastAsia="楷体" w:cs="宋体"/>
                <w:color w:val="333333"/>
                <w:kern w:val="0"/>
                <w:sz w:val="20"/>
                <w:szCs w:val="20"/>
              </w:rPr>
              <w:t>本机关不掌握相关政府信息</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2.</w:t>
            </w:r>
            <w:r>
              <w:rPr>
                <w:rFonts w:hint="eastAsia" w:ascii="楷体" w:hAnsi="楷体" w:eastAsia="楷体" w:cs="宋体"/>
                <w:color w:val="333333"/>
                <w:kern w:val="0"/>
                <w:sz w:val="20"/>
                <w:szCs w:val="20"/>
              </w:rPr>
              <w:t>没有现成信息需要另行制作</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3.</w:t>
            </w:r>
            <w:r>
              <w:rPr>
                <w:rFonts w:hint="eastAsia" w:ascii="楷体" w:hAnsi="楷体" w:eastAsia="楷体" w:cs="宋体"/>
                <w:color w:val="333333"/>
                <w:kern w:val="0"/>
                <w:sz w:val="20"/>
                <w:szCs w:val="20"/>
              </w:rPr>
              <w:t>补正后申请内容仍不明确</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（五）不予处理</w:t>
            </w: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1.</w:t>
            </w:r>
            <w:r>
              <w:rPr>
                <w:rFonts w:hint="eastAsia" w:ascii="楷体" w:hAnsi="楷体" w:eastAsia="楷体" w:cs="宋体"/>
                <w:color w:val="333333"/>
                <w:kern w:val="0"/>
                <w:sz w:val="20"/>
                <w:szCs w:val="20"/>
              </w:rPr>
              <w:t>信访举报投诉类申请</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2.</w:t>
            </w:r>
            <w:r>
              <w:rPr>
                <w:rFonts w:hint="eastAsia" w:ascii="楷体" w:hAnsi="楷体" w:eastAsia="楷体" w:cs="宋体"/>
                <w:color w:val="333333"/>
                <w:kern w:val="0"/>
                <w:sz w:val="20"/>
                <w:szCs w:val="20"/>
              </w:rPr>
              <w:t>重复申请</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3.</w:t>
            </w:r>
            <w:r>
              <w:rPr>
                <w:rFonts w:hint="eastAsia" w:ascii="楷体" w:hAnsi="楷体" w:eastAsia="楷体" w:cs="宋体"/>
                <w:color w:val="333333"/>
                <w:kern w:val="0"/>
                <w:sz w:val="20"/>
                <w:szCs w:val="20"/>
              </w:rPr>
              <w:t>要求提供公开出版物</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4.</w:t>
            </w:r>
            <w:r>
              <w:rPr>
                <w:rFonts w:hint="eastAsia" w:ascii="楷体" w:hAnsi="楷体" w:eastAsia="楷体" w:cs="宋体"/>
                <w:color w:val="333333"/>
                <w:kern w:val="0"/>
                <w:sz w:val="20"/>
                <w:szCs w:val="20"/>
              </w:rPr>
              <w:t>无正当理由大量反复申请</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5.</w:t>
            </w:r>
            <w:r>
              <w:rPr>
                <w:rFonts w:hint="eastAsia" w:ascii="楷体" w:hAnsi="楷体" w:eastAsia="楷体" w:cs="宋体"/>
                <w:color w:val="333333"/>
                <w:kern w:val="0"/>
                <w:sz w:val="20"/>
                <w:szCs w:val="20"/>
              </w:rPr>
              <w:t>要求行政机关确认或重新出具已获取信息</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996" w:type="dxa"/>
            <w:gridSpan w:val="2"/>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（六）其他处理</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996" w:type="dxa"/>
            <w:gridSpan w:val="2"/>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（七）总计</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tcBorders>
              <w:top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宋体" w:hAnsi="宋体" w:cs="宋体"/>
                <w:color w:val="333333"/>
                <w:kern w:val="0"/>
                <w:sz w:val="20"/>
                <w:szCs w:val="20"/>
              </w:rPr>
              <w:t>四、结转下年度继续办理</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left"/>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bl>
    <w:p>
      <w:pPr>
        <w:widowControl/>
        <w:shd w:val="clear" w:color="auto" w:fill="FFFFFF"/>
        <w:spacing w:after="300"/>
        <w:rPr>
          <w:rFonts w:ascii="宋体" w:cs="宋体"/>
          <w:color w:val="333333"/>
          <w:kern w:val="0"/>
          <w:sz w:val="19"/>
          <w:szCs w:val="19"/>
        </w:rPr>
      </w:pPr>
    </w:p>
    <w:p>
      <w:pPr>
        <w:spacing w:line="560" w:lineRule="exact"/>
        <w:jc w:val="left"/>
        <w:rPr>
          <w:rFonts w:hint="eastAsia" w:ascii="黑体" w:hAnsi="黑体" w:eastAsia="黑体" w:cs="黑体"/>
          <w:bCs/>
          <w:sz w:val="32"/>
          <w:szCs w:val="32"/>
        </w:rPr>
      </w:pPr>
      <w:r>
        <w:rPr>
          <w:rFonts w:hint="eastAsia" w:ascii="仿宋_GB2312" w:hAnsi="仿宋" w:eastAsia="仿宋_GB2312" w:cs="仿宋"/>
          <w:b/>
          <w:snapToGrid w:val="0"/>
          <w:color w:val="000000"/>
          <w:kern w:val="2"/>
          <w:sz w:val="32"/>
          <w:szCs w:val="32"/>
          <w:lang w:val="en-US" w:eastAsia="zh-CN" w:bidi="ar-SA"/>
        </w:rPr>
        <w:t xml:space="preserve">    </w:t>
      </w:r>
      <w:r>
        <w:rPr>
          <w:rFonts w:hint="eastAsia" w:ascii="黑体" w:hAnsi="黑体" w:eastAsia="黑体" w:cs="黑体"/>
          <w:bCs/>
          <w:sz w:val="32"/>
          <w:szCs w:val="32"/>
        </w:rPr>
        <w:t>四、政府信息公开行政复议、行政诉讼情况 </w:t>
      </w:r>
    </w:p>
    <w:tbl>
      <w:tblPr>
        <w:tblStyle w:val="4"/>
        <w:tblW w:w="90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02"/>
        <w:gridCol w:w="601"/>
        <w:gridCol w:w="601"/>
        <w:gridCol w:w="601"/>
        <w:gridCol w:w="666"/>
        <w:gridCol w:w="547"/>
        <w:gridCol w:w="601"/>
        <w:gridCol w:w="601"/>
        <w:gridCol w:w="601"/>
        <w:gridCol w:w="623"/>
        <w:gridCol w:w="601"/>
        <w:gridCol w:w="601"/>
        <w:gridCol w:w="601"/>
        <w:gridCol w:w="601"/>
        <w:gridCol w:w="6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3071" w:type="dxa"/>
            <w:gridSpan w:val="5"/>
            <w:tcBorders>
              <w:top w:val="single" w:color="auto" w:sz="8" w:space="0"/>
              <w:left w:val="single" w:color="auto" w:sz="8" w:space="0"/>
              <w:bottom w:val="single" w:color="auto" w:sz="8" w:space="0"/>
              <w:right w:val="single" w:color="auto" w:sz="8"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行政复议</w:t>
            </w:r>
          </w:p>
        </w:tc>
        <w:tc>
          <w:tcPr>
            <w:tcW w:w="6000" w:type="dxa"/>
            <w:gridSpan w:val="10"/>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行政诉讼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602" w:type="dxa"/>
            <w:vMerge w:val="restart"/>
            <w:tcBorders>
              <w:top w:val="outset" w:color="auto" w:sz="6" w:space="0"/>
              <w:bottom w:val="outset" w:color="auto" w:sz="6" w:space="0"/>
              <w:right w:val="outset" w:color="auto" w:sz="6" w:space="0"/>
            </w:tcBorders>
            <w:vAlign w:val="center"/>
          </w:tcPr>
          <w:p>
            <w:pPr>
              <w:widowControl/>
              <w:spacing w:after="300"/>
              <w:ind w:firstLine="420"/>
              <w:rPr>
                <w:rFonts w:ascii="宋体" w:cs="宋体"/>
                <w:color w:val="333333"/>
                <w:kern w:val="0"/>
                <w:sz w:val="24"/>
                <w:szCs w:val="24"/>
              </w:rPr>
            </w:pPr>
            <w:r>
              <w:rPr>
                <w:rFonts w:hint="eastAsia" w:ascii="宋体" w:hAnsi="宋体" w:cs="宋体"/>
                <w:color w:val="333333"/>
                <w:kern w:val="0"/>
                <w:sz w:val="20"/>
                <w:szCs w:val="20"/>
              </w:rPr>
              <w:t>结果维持</w:t>
            </w:r>
          </w:p>
        </w:tc>
        <w:tc>
          <w:tcPr>
            <w:tcW w:w="601"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结果纠正</w:t>
            </w:r>
          </w:p>
        </w:tc>
        <w:tc>
          <w:tcPr>
            <w:tcW w:w="601"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其他结果</w:t>
            </w:r>
          </w:p>
        </w:tc>
        <w:tc>
          <w:tcPr>
            <w:tcW w:w="601"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尚未审结</w:t>
            </w:r>
          </w:p>
        </w:tc>
        <w:tc>
          <w:tcPr>
            <w:tcW w:w="666"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总计</w:t>
            </w:r>
          </w:p>
        </w:tc>
        <w:tc>
          <w:tcPr>
            <w:tcW w:w="2973" w:type="dxa"/>
            <w:gridSpan w:val="5"/>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未经复议直接起诉</w:t>
            </w:r>
          </w:p>
        </w:tc>
        <w:tc>
          <w:tcPr>
            <w:tcW w:w="3027" w:type="dxa"/>
            <w:gridSpan w:val="5"/>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复议后起诉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2"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60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60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60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666"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54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结果维持</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结果纠正</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其他结果</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尚未审结</w:t>
            </w:r>
          </w:p>
        </w:tc>
        <w:tc>
          <w:tcPr>
            <w:tcW w:w="62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总计</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结果维持</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结果纠正</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其他结果</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尚未审结</w:t>
            </w:r>
          </w:p>
        </w:tc>
        <w:tc>
          <w:tcPr>
            <w:tcW w:w="623"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总计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2" w:type="dxa"/>
            <w:tcBorders>
              <w:top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66"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547"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23"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000000"/>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000000"/>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23" w:type="dxa"/>
            <w:tcBorders>
              <w:top w:val="outset" w:color="auto" w:sz="6" w:space="0"/>
              <w:left w:val="outset" w:color="auto" w:sz="6" w:space="0"/>
              <w:bottom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r>
    </w:tbl>
    <w:p>
      <w:pPr>
        <w:spacing w:line="560" w:lineRule="exact"/>
        <w:jc w:val="left"/>
        <w:rPr>
          <w:rFonts w:hint="eastAsia" w:ascii="仿宋_GB2312" w:hAnsi="仿宋" w:eastAsia="仿宋_GB2312" w:cs="仿宋"/>
          <w:b/>
          <w:snapToGrid w:val="0"/>
          <w:color w:val="000000"/>
          <w:kern w:val="2"/>
          <w:sz w:val="32"/>
          <w:szCs w:val="32"/>
          <w:lang w:val="en-US" w:eastAsia="zh-CN" w:bidi="ar-SA"/>
        </w:rPr>
      </w:pPr>
    </w:p>
    <w:p>
      <w:pPr>
        <w:numPr>
          <w:ilvl w:val="0"/>
          <w:numId w:val="0"/>
        </w:numPr>
        <w:spacing w:line="560" w:lineRule="exact"/>
        <w:ind w:firstLine="1285" w:firstLineChars="400"/>
        <w:jc w:val="left"/>
        <w:rPr>
          <w:rFonts w:hint="eastAsia" w:ascii="仿宋" w:hAnsi="仿宋" w:eastAsia="仿宋" w:cs="仿宋"/>
          <w:b/>
          <w:bCs w:val="0"/>
          <w:sz w:val="32"/>
          <w:szCs w:val="32"/>
        </w:rPr>
      </w:pPr>
      <w:r>
        <w:rPr>
          <w:rFonts w:hint="eastAsia" w:ascii="仿宋" w:hAnsi="仿宋" w:eastAsia="仿宋" w:cs="仿宋"/>
          <w:b/>
          <w:bCs w:val="0"/>
          <w:sz w:val="32"/>
          <w:szCs w:val="32"/>
        </w:rPr>
        <w:t>五、存在的主要问题及改进情况</w:t>
      </w:r>
    </w:p>
    <w:p>
      <w:pPr>
        <w:numPr>
          <w:ilvl w:val="0"/>
          <w:numId w:val="0"/>
        </w:numPr>
        <w:spacing w:line="560" w:lineRule="exact"/>
        <w:ind w:left="642" w:leftChars="0" w:firstLine="320" w:firstLineChars="100"/>
        <w:jc w:val="left"/>
        <w:rPr>
          <w:rFonts w:hint="eastAsia" w:ascii="仿宋" w:hAnsi="仿宋" w:eastAsia="仿宋" w:cs="仿宋"/>
          <w:bCs/>
          <w:sz w:val="32"/>
          <w:szCs w:val="32"/>
        </w:rPr>
      </w:pPr>
      <w:r>
        <w:rPr>
          <w:rFonts w:hint="eastAsia" w:ascii="仿宋" w:hAnsi="仿宋" w:eastAsia="仿宋" w:cs="仿宋"/>
          <w:bCs/>
          <w:sz w:val="32"/>
          <w:szCs w:val="32"/>
        </w:rPr>
        <w:t>（一）存在的问题。一是队伍建设有待加强，专业素质还需进一步提高。政务公开长效机制有待进一步完善，现有制度执行力度还有待加强。</w:t>
      </w:r>
    </w:p>
    <w:p>
      <w:pPr>
        <w:numPr>
          <w:ilvl w:val="0"/>
          <w:numId w:val="0"/>
        </w:numPr>
        <w:spacing w:line="560" w:lineRule="exact"/>
        <w:ind w:left="642" w:leftChars="0"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二）改进情况。一是配强队伍，加大培训力度，提高业务水平。提高工作人员业务水平，确保信息公开工作顺利开展。进一步加强对基层单位政务公开工作的指导和监督，健全有关检查、责任追究、反馈制度，确保政府信息公开工作落到实处；规范公开内容，提高公开质量。</w:t>
      </w:r>
    </w:p>
    <w:p>
      <w:pPr>
        <w:pStyle w:val="3"/>
        <w:spacing w:before="0" w:beforeAutospacing="0" w:after="0" w:afterAutospacing="0" w:line="560" w:lineRule="exact"/>
        <w:ind w:firstLine="960" w:firstLineChars="300"/>
        <w:rPr>
          <w:rFonts w:hint="eastAsia" w:ascii="仿宋" w:hAnsi="仿宋" w:eastAsia="仿宋" w:cs="仿宋"/>
          <w:color w:val="333333"/>
          <w:sz w:val="32"/>
          <w:szCs w:val="32"/>
        </w:rPr>
      </w:pPr>
      <w:r>
        <w:rPr>
          <w:rFonts w:hint="eastAsia" w:ascii="仿宋" w:hAnsi="仿宋" w:eastAsia="仿宋" w:cs="仿宋"/>
          <w:color w:val="000000"/>
          <w:sz w:val="32"/>
          <w:szCs w:val="32"/>
        </w:rPr>
        <w:t>六、其他需要报告的事项</w:t>
      </w:r>
    </w:p>
    <w:p>
      <w:pPr>
        <w:pStyle w:val="3"/>
        <w:spacing w:before="0" w:beforeAutospacing="0" w:after="0" w:afterAutospacing="0" w:line="56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无其他需要报告的事项。</w:t>
      </w:r>
    </w:p>
    <w:p>
      <w:pPr>
        <w:pStyle w:val="3"/>
        <w:spacing w:before="0" w:beforeAutospacing="0" w:after="0" w:afterAutospacing="0" w:line="560" w:lineRule="exact"/>
        <w:ind w:firstLine="960" w:firstLineChars="300"/>
        <w:rPr>
          <w:rFonts w:hint="eastAsia" w:ascii="仿宋" w:hAnsi="仿宋" w:eastAsia="仿宋" w:cs="仿宋"/>
          <w:color w:val="000000"/>
          <w:sz w:val="32"/>
          <w:szCs w:val="32"/>
        </w:rPr>
      </w:pPr>
    </w:p>
    <w:p>
      <w:pPr>
        <w:pStyle w:val="3"/>
        <w:spacing w:before="0" w:beforeAutospacing="0" w:after="0" w:afterAutospacing="0" w:line="560" w:lineRule="exact"/>
        <w:ind w:firstLine="960" w:firstLineChars="300"/>
        <w:rPr>
          <w:rFonts w:hint="eastAsia" w:ascii="仿宋" w:hAnsi="仿宋" w:eastAsia="仿宋" w:cs="仿宋"/>
          <w:color w:val="000000"/>
          <w:sz w:val="32"/>
          <w:szCs w:val="32"/>
        </w:rPr>
      </w:pPr>
    </w:p>
    <w:p>
      <w:pPr>
        <w:pStyle w:val="3"/>
        <w:spacing w:before="0" w:beforeAutospacing="0" w:after="0" w:afterAutospacing="0" w:line="560" w:lineRule="exact"/>
        <w:ind w:firstLine="960" w:firstLineChars="300"/>
        <w:rPr>
          <w:rFonts w:hint="eastAsia" w:ascii="仿宋" w:hAnsi="仿宋" w:eastAsia="仿宋" w:cs="仿宋"/>
          <w:color w:val="000000"/>
          <w:sz w:val="32"/>
          <w:szCs w:val="32"/>
        </w:rPr>
      </w:pPr>
    </w:p>
    <w:p>
      <w:pPr>
        <w:jc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绥滨县文体广电和旅游局</w:t>
      </w:r>
    </w:p>
    <w:p>
      <w:pPr>
        <w:jc w:val="center"/>
        <w:rPr>
          <w:rFonts w:hint="default" w:ascii="宋体" w:hAnsi="宋体" w:eastAsia="宋体" w:cs="宋体"/>
          <w:b/>
          <w:bCs/>
          <w:sz w:val="44"/>
          <w:szCs w:val="44"/>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20</w:t>
      </w:r>
      <w:r>
        <w:rPr>
          <w:rFonts w:hint="eastAsia" w:ascii="仿宋" w:hAnsi="仿宋" w:eastAsia="仿宋" w:cs="仿宋"/>
          <w:b w:val="0"/>
          <w:bCs w:val="0"/>
          <w:sz w:val="32"/>
          <w:szCs w:val="32"/>
          <w:lang w:val="en-US" w:eastAsia="zh-CN"/>
        </w:rPr>
        <w:t>21</w:t>
      </w:r>
      <w:bookmarkStart w:id="0" w:name="_GoBack"/>
      <w:bookmarkEnd w:id="0"/>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1月22日</w:t>
      </w:r>
    </w:p>
    <w:p>
      <w:pPr>
        <w:pStyle w:val="3"/>
        <w:spacing w:before="0" w:beforeAutospacing="0" w:after="0" w:afterAutospacing="0" w:line="560" w:lineRule="exact"/>
        <w:ind w:firstLine="960" w:firstLineChars="300"/>
        <w:rPr>
          <w:rFonts w:hint="eastAsia" w:ascii="仿宋" w:hAnsi="仿宋" w:eastAsia="仿宋" w:cs="仿宋"/>
          <w:color w:val="000000"/>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3D"/>
    <w:rsid w:val="000D447D"/>
    <w:rsid w:val="00130202"/>
    <w:rsid w:val="001F4ABC"/>
    <w:rsid w:val="007863A4"/>
    <w:rsid w:val="00A15B1E"/>
    <w:rsid w:val="00D56E98"/>
    <w:rsid w:val="00F44ECB"/>
    <w:rsid w:val="00FA5A3D"/>
    <w:rsid w:val="066873D1"/>
    <w:rsid w:val="07442980"/>
    <w:rsid w:val="08C11254"/>
    <w:rsid w:val="092F3718"/>
    <w:rsid w:val="0B7D05FD"/>
    <w:rsid w:val="17214D4C"/>
    <w:rsid w:val="288A05A3"/>
    <w:rsid w:val="2A7D2F77"/>
    <w:rsid w:val="2FCD1960"/>
    <w:rsid w:val="367236D4"/>
    <w:rsid w:val="37A27D15"/>
    <w:rsid w:val="38564AC1"/>
    <w:rsid w:val="3D7B3945"/>
    <w:rsid w:val="3DBA1BFB"/>
    <w:rsid w:val="402F7A74"/>
    <w:rsid w:val="404C36B9"/>
    <w:rsid w:val="406175BC"/>
    <w:rsid w:val="42A8363C"/>
    <w:rsid w:val="42F334A1"/>
    <w:rsid w:val="4B541990"/>
    <w:rsid w:val="4C8A208C"/>
    <w:rsid w:val="50567A79"/>
    <w:rsid w:val="53636AE6"/>
    <w:rsid w:val="55606648"/>
    <w:rsid w:val="55711367"/>
    <w:rsid w:val="5B306306"/>
    <w:rsid w:val="6C7E3AFE"/>
    <w:rsid w:val="6CB853A5"/>
    <w:rsid w:val="74AB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b/>
    </w:rPr>
  </w:style>
  <w:style w:type="character" w:styleId="7">
    <w:name w:val="FollowedHyperlink"/>
    <w:basedOn w:val="5"/>
    <w:semiHidden/>
    <w:unhideWhenUsed/>
    <w:qFormat/>
    <w:uiPriority w:val="99"/>
    <w:rPr>
      <w:color w:val="222222"/>
      <w:u w:val="none"/>
    </w:rPr>
  </w:style>
  <w:style w:type="character" w:styleId="8">
    <w:name w:val="Hyperlink"/>
    <w:basedOn w:val="5"/>
    <w:semiHidden/>
    <w:unhideWhenUsed/>
    <w:qFormat/>
    <w:uiPriority w:val="99"/>
    <w:rPr>
      <w:color w:val="0000FF"/>
      <w:u w:val="single"/>
    </w:rPr>
  </w:style>
  <w:style w:type="character" w:customStyle="1" w:styleId="9">
    <w:name w:val="apple-converted-space"/>
    <w:basedOn w:val="5"/>
    <w:qFormat/>
    <w:uiPriority w:val="0"/>
  </w:style>
  <w:style w:type="paragraph" w:styleId="10">
    <w:name w:val="List Paragraph"/>
    <w:basedOn w:val="1"/>
    <w:qFormat/>
    <w:uiPriority w:val="34"/>
    <w:pPr>
      <w:ind w:firstLine="420" w:firstLineChars="200"/>
    </w:pPr>
  </w:style>
  <w:style w:type="character" w:customStyle="1" w:styleId="11">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420</Words>
  <Characters>2399</Characters>
  <Lines>19</Lines>
  <Paragraphs>5</Paragraphs>
  <TotalTime>1</TotalTime>
  <ScaleCrop>false</ScaleCrop>
  <LinksUpToDate>false</LinksUpToDate>
  <CharactersWithSpaces>2814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2020-02-06T06:03:00Z</dcterms:created>
  <dc:creator>Administrator</dc:creator>
  <cp:lastModifiedBy>落地成金</cp:lastModifiedBy>
  <cp:lastPrinted>2021-01-21T08:12:00Z</cp:lastPrinted>
  <dcterms:modified xsi:type="dcterms:W3CDTF">2021-01-25T06:47:16Z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