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年绥滨县国民经济和社会发展统计公报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楷体" w:hAnsi="楷体" w:eastAsia="楷体"/>
          <w:bCs/>
          <w:color w:val="000000" w:themeColor="text1"/>
          <w:sz w:val="30"/>
          <w:szCs w:val="30"/>
        </w:rPr>
      </w:pP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绥滨县统计局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仿宋"/>
          <w:color w:val="000000" w:themeColor="text1"/>
          <w:sz w:val="32"/>
          <w:szCs w:val="32"/>
        </w:rPr>
      </w:pPr>
      <w:r>
        <w:rPr>
          <w:rFonts w:ascii="楷体" w:hAnsi="楷体" w:eastAsia="楷体"/>
          <w:bCs/>
          <w:color w:val="000000" w:themeColor="text1"/>
          <w:sz w:val="30"/>
          <w:szCs w:val="30"/>
        </w:rPr>
        <w:t>20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2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  <w:lang w:val="en-US" w:eastAsia="zh-CN"/>
        </w:rPr>
        <w:t>5</w:t>
      </w:r>
      <w:r>
        <w:rPr>
          <w:rFonts w:ascii="楷体" w:hAnsi="楷体" w:eastAsia="楷体"/>
          <w:bCs/>
          <w:color w:val="000000" w:themeColor="text1"/>
          <w:sz w:val="30"/>
          <w:szCs w:val="30"/>
        </w:rPr>
        <w:t>年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5</w:t>
      </w:r>
      <w:r>
        <w:rPr>
          <w:rFonts w:ascii="楷体" w:hAnsi="楷体" w:eastAsia="楷体"/>
          <w:bCs/>
          <w:color w:val="000000" w:themeColor="text1"/>
          <w:sz w:val="30"/>
          <w:szCs w:val="30"/>
        </w:rPr>
        <w:t>月</w:t>
      </w:r>
      <w:r>
        <w:rPr>
          <w:rFonts w:hint="eastAsia" w:ascii="楷体" w:hAnsi="楷体" w:eastAsia="楷体"/>
          <w:bCs/>
          <w:color w:val="000000" w:themeColor="text1"/>
          <w:sz w:val="30"/>
          <w:szCs w:val="30"/>
        </w:rPr>
        <w:t>16日</w:t>
      </w:r>
      <w:r>
        <w:rPr>
          <w:rFonts w:eastAsia="仿宋"/>
          <w:color w:val="000000" w:themeColor="text1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年，在县委县政府的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坚强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领导下，全县上下始终坚持以习近平新时代中国特色社会主义思想为指导，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深入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贯彻落实党的二十大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eastAsia="zh-CN"/>
        </w:rPr>
        <w:t>和二十届二中、三中全会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精神，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认真落实习近平总书记视察黑龙江期间重要讲话重要指示精神，抢抓政策机遇，聚精会神谋发展、集中精力促提升，经济运行保持了稳中有进、向上向好的发展态势。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</w:rPr>
        <w:t>一、综合</w:t>
      </w:r>
    </w:p>
    <w:p>
      <w:pPr>
        <w:widowControl/>
        <w:spacing w:line="60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国民经济。初步核算，202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</w:rPr>
        <w:t>年全县实现地区生产总值（GDP）</w:t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46739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万元，按不变价格计算，比上年增长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2.5</w:t>
      </w:r>
      <w:r>
        <w:rPr>
          <w:rFonts w:hint="eastAsia" w:ascii="仿宋_GB2312" w:hAnsi="仿宋_GB2312" w:eastAsia="仿宋_GB2312" w:cs="仿宋_GB2312"/>
          <w:sz w:val="32"/>
          <w:szCs w:val="32"/>
        </w:rPr>
        <w:t>%。从三次产业看，第一产业增加值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325965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</w:rPr>
        <w:t>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47423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273351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</w:rPr>
        <w:t>%。三次产业结构为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50.4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.3：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42.3</w:t>
      </w:r>
      <w:r>
        <w:rPr>
          <w:rFonts w:hint="eastAsia" w:ascii="仿宋_GB2312" w:hAnsi="仿宋_GB2312" w:eastAsia="仿宋_GB2312" w:cs="仿宋_GB2312"/>
          <w:sz w:val="32"/>
          <w:szCs w:val="32"/>
        </w:rPr>
        <w:t>。人均地区生产总值4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8520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元，比上年增长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7.3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3"/>
        <w:ind w:left="0" w:leftChars="0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714365" cy="2771775"/>
            <wp:effectExtent l="4445" t="4445" r="15240" b="5080"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3"/>
        <w:ind w:left="0" w:leftChars="0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5419725" cy="2809240"/>
            <wp:effectExtent l="4445" t="4445" r="5080" b="5715"/>
            <wp:docPr id="12" name="图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常住人口。据5‰人口抽样调查结果显示，年末全县常住人口13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2421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人，比上年末减少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1745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</w:t>
      </w:r>
    </w:p>
    <w:p>
      <w:pPr>
        <w:spacing w:line="600" w:lineRule="exact"/>
        <w:ind w:firstLine="640" w:firstLineChars="200"/>
        <w:rPr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户籍人口。年末全县户籍总人口1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68626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人，比上年减少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2088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人。其中，城镇人口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80335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人，乡村人口88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人。0-17岁人口占全县总人口的比重为9.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%，60岁及以上人口占全县总人口的比重为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%。全年出生人口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548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人，出生率为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‰；死亡人口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1004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人，死亡率为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‰；人口自然增长率为-2.7‰。</w:t>
      </w:r>
    </w:p>
    <w:p>
      <w:pPr>
        <w:spacing w:line="500" w:lineRule="exact"/>
        <w:jc w:val="center"/>
        <w:rPr>
          <w:b/>
          <w:bCs/>
          <w:color w:val="000000" w:themeColor="text1"/>
        </w:rPr>
      </w:pPr>
      <w:r>
        <w:rPr>
          <w:rFonts w:hint="eastAsia"/>
          <w:color w:val="000000" w:themeColor="text1"/>
          <w:sz w:val="32"/>
          <w:szCs w:val="32"/>
        </w:rPr>
        <w:t xml:space="preserve">表1   </w:t>
      </w:r>
      <w:r>
        <w:rPr>
          <w:color w:val="000000" w:themeColor="text1"/>
          <w:sz w:val="32"/>
          <w:szCs w:val="32"/>
        </w:rPr>
        <w:t>20</w:t>
      </w:r>
      <w:r>
        <w:rPr>
          <w:rFonts w:hint="eastAsia"/>
          <w:color w:val="000000" w:themeColor="text1"/>
          <w:sz w:val="32"/>
          <w:szCs w:val="32"/>
        </w:rPr>
        <w:t>2</w:t>
      </w:r>
      <w:r>
        <w:rPr>
          <w:rFonts w:hint="eastAsia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/>
          <w:color w:val="000000" w:themeColor="text1"/>
          <w:sz w:val="32"/>
          <w:szCs w:val="32"/>
        </w:rPr>
        <w:t>年年末户籍人口数及其构成</w:t>
      </w:r>
    </w:p>
    <w:tbl>
      <w:tblPr>
        <w:tblStyle w:val="8"/>
        <w:tblW w:w="83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5"/>
        <w:gridCol w:w="1888"/>
        <w:gridCol w:w="1535"/>
        <w:gridCol w:w="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5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指       标</w:t>
            </w:r>
          </w:p>
        </w:tc>
        <w:tc>
          <w:tcPr>
            <w:tcW w:w="1888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" w:firstLineChars="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年末数（人）</w:t>
            </w:r>
          </w:p>
        </w:tc>
        <w:tc>
          <w:tcPr>
            <w:tcW w:w="1535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比重（</w:t>
            </w:r>
            <w:r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年末全县总人口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68626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100.0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360" w:firstLineChars="15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  其中：城镇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80335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47.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0" w:firstLineChars="5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乡村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8291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52.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     其中：男性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84443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50.1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0" w:firstLineChars="50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女性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4183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49.9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     其中：</w:t>
            </w:r>
            <w:r>
              <w:rPr>
                <w:color w:val="000000" w:themeColor="text1"/>
                <w:sz w:val="24"/>
                <w:szCs w:val="24"/>
              </w:rPr>
              <w:t>0-1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7岁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9.0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18-34岁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29305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17.4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35-59岁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75145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4835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ind w:firstLine="1200" w:firstLineChars="50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0岁及以上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000000" w:sz="12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49036</w:t>
            </w:r>
          </w:p>
        </w:tc>
        <w:tc>
          <w:tcPr>
            <w:tcW w:w="1583" w:type="dxa"/>
            <w:gridSpan w:val="2"/>
            <w:tcBorders>
              <w:top w:val="nil"/>
              <w:left w:val="nil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142" w:type="dxa"/>
            </w:tcMar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29.1</w:t>
            </w:r>
          </w:p>
        </w:tc>
      </w:tr>
    </w:tbl>
    <w:p>
      <w:pPr>
        <w:spacing w:line="600" w:lineRule="exact"/>
        <w:ind w:firstLine="640" w:firstLineChars="200"/>
        <w:rPr>
          <w:rFonts w:ascii="楷体" w:hAnsi="楷体" w:eastAsia="楷体" w:cs="楷体"/>
          <w:bCs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二、农业</w:t>
      </w:r>
    </w:p>
    <w:p>
      <w:pPr>
        <w:widowControl/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农林牧渔业。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全县实现农林牧渔业总产值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630403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万元，按可比价格计算，比上年增长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.7%。其中，种植业产值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465585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%；林业产值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2338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%；畜牧业产值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85408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%；渔业产值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17743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%；农林牧渔专业及辅助性活动产值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59327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粮食种植面积。全年粮食种植面积22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4376.24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公顷，比上年增加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640.03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公顷。其中，水稻种植面积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122978.06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公顷，减少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5948.66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公顷；玉米种植面积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53324.13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公顷，增加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15471.44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公顷；大豆种植面积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46057.51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减少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8971.53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公顷；其他粮食作物种植面积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2016.54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公顷，增加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88.78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公顷。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粮食产量。全年粮食总产量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1323608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吨，比上年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50809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增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4.0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%。其中，水稻产量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898436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吨，减产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%；玉米产量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339140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吨，增产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42.8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%；大豆产量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82964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产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.3%；其他粮食产量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3068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减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产1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9.6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%。</w:t>
      </w:r>
    </w:p>
    <w:p>
      <w:pPr>
        <w:pStyle w:val="3"/>
        <w:jc w:val="center"/>
      </w:pPr>
      <w:r>
        <w:drawing>
          <wp:inline distT="0" distB="0" distL="114300" distR="114300">
            <wp:extent cx="4572000" cy="2866390"/>
            <wp:effectExtent l="4445" t="4445" r="14605" b="5715"/>
            <wp:docPr id="17" name="图表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pStyle w:val="3"/>
        <w:ind w:firstLine="1200" w:firstLineChars="5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24"/>
        </w:rPr>
        <w:t>注：从2019年开始含农垦。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畜牧业生产。全年肉类总产量14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吨，比上年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%。其中，猪肉产量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8024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%；牛肉产量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2595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%；羊肉产量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%；禽肉产量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3154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%。禽蛋产量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2549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31.0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%。牛奶产量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32.1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%。年末生猪存栏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46053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头，比上年末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%；全年生猪出栏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100874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头，比上年下降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%；牛存栏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16233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头，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%；牛出栏15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2头，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%；羊存栏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29211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只，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15.2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%；羊出栏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30694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只，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%；家禽存栏2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00917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只，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%；家禽出栏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1641592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只，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pStyle w:val="3"/>
        <w:spacing w:line="600" w:lineRule="exact"/>
        <w:ind w:left="0" w:leftChars="0" w:firstLine="640" w:firstLineChars="200"/>
        <w:rPr>
          <w:color w:val="0000FF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渔业和林业。全年水产品产量8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%。其中，鱼类产量8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353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%；虾蟹类和其它产量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%。全年营造林面积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57.1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公顷，下降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75.3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三、工业和建筑业</w:t>
      </w:r>
    </w:p>
    <w:p>
      <w:pPr>
        <w:spacing w:line="600" w:lineRule="exact"/>
        <w:ind w:firstLine="6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工业生产。全年全县工业增加值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29506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%。全县规模以上工业企业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%，全县规模以上工业增加值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比上年下降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pStyle w:val="3"/>
        <w:ind w:left="0" w:leftChars="0"/>
      </w:pPr>
      <w:r>
        <w:rPr>
          <w:rFonts w:hint="eastAsia"/>
        </w:rPr>
        <w:t xml:space="preserve">       </w:t>
      </w:r>
      <w:r>
        <w:drawing>
          <wp:inline distT="0" distB="0" distL="114300" distR="114300">
            <wp:extent cx="5266055" cy="2733675"/>
            <wp:effectExtent l="4445" t="4445" r="6350" b="508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表2  202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年规模以上工业企业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</w:rPr>
        <w:t>生产情况</w:t>
      </w:r>
    </w:p>
    <w:tbl>
      <w:tblPr>
        <w:tblStyle w:val="9"/>
        <w:tblW w:w="866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1"/>
        <w:gridCol w:w="1400"/>
        <w:gridCol w:w="1400"/>
        <w:gridCol w:w="140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4520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1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产值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41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增速（%）</w:t>
            </w:r>
          </w:p>
        </w:tc>
        <w:tc>
          <w:tcPr>
            <w:tcW w:w="1417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增加值增速（%）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盛蕴热电有限责任公司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14579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8.3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新北国啤酒有限公司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-100.0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-100.0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大唐绥滨新能源有限公司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21129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-0.7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-0.7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崧阳粮油食品有限公司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1395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-87.3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-87.3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春景混凝土搅拌公司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1110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-13.8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-13.8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两江牧业有限公司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13625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25.8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25.7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宝泉岭农垦阳光供暖有限公司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2049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-8.9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-8.9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二九〇供热有限公司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2176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-5.4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兴达米业有限公司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232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-50.8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-53.1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佳鑫米业有限公司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-96.9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-93.6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远景绥滨新能源有限公司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12491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-5.9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-5.9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众易混凝土搅拌有限公司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450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天润（绥滨县）绿色能源有限公司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5181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80.3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80.3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宝泉农垦龙门福地酒业有限公司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1876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-23.1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-23.1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忠仁恒益（黑龙江）混凝土搅拌有限公司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2263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4520" w:type="dxa"/>
            <w:tcBorders>
              <w:top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78598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-5.2</w:t>
            </w:r>
          </w:p>
        </w:tc>
        <w:tc>
          <w:tcPr>
            <w:tcW w:w="1417" w:type="dxa"/>
            <w:tcBorders>
              <w:top w:val="nil"/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-2.6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工业主要产品产量。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白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酒产量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603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千升，比上年下降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20.4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%；大米产量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4914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吨，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86.9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%；发电量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151184.8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万千瓦时，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%；供热量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万百万千焦，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7%；混凝土产量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108499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立方米，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230.0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jc w:val="center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表3  202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年主要工业产品产量及其增长速度</w:t>
      </w:r>
    </w:p>
    <w:tbl>
      <w:tblPr>
        <w:tblStyle w:val="8"/>
        <w:tblW w:w="85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3"/>
        <w:gridCol w:w="1535"/>
        <w:gridCol w:w="1712"/>
        <w:gridCol w:w="1918"/>
      </w:tblGrid>
      <w:tr>
        <w:trPr>
          <w:trHeight w:val="500" w:hRule="atLeast"/>
          <w:jc w:val="center"/>
        </w:trPr>
        <w:tc>
          <w:tcPr>
            <w:tcW w:w="3433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产品名称</w:t>
            </w:r>
          </w:p>
        </w:tc>
        <w:tc>
          <w:tcPr>
            <w:tcW w:w="1535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单 位</w:t>
            </w:r>
          </w:p>
        </w:tc>
        <w:tc>
          <w:tcPr>
            <w:tcW w:w="1712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产 量</w:t>
            </w:r>
          </w:p>
        </w:tc>
        <w:tc>
          <w:tcPr>
            <w:tcW w:w="1918" w:type="dxa"/>
            <w:tcBorders>
              <w:top w:val="single" w:color="000000" w:sz="12" w:space="0"/>
              <w:left w:val="single" w:color="auto" w:sz="4" w:space="0"/>
              <w:bottom w:val="single" w:color="000000" w:sz="8" w:space="0"/>
              <w:right w:val="nil"/>
            </w:tcBorders>
            <w:vAlign w:val="center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增速（</w:t>
            </w:r>
            <w:r>
              <w:rPr>
                <w:color w:val="000000" w:themeColor="text1"/>
                <w:sz w:val="24"/>
                <w:szCs w:val="24"/>
              </w:rPr>
              <w:t>%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白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酒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千  升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603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20.4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      大    米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吨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4914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-86.9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发 电 量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万千瓦时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51184.8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-2.8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0" w:firstLineChars="5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供 热 量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万百万千焦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251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1.7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3433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firstLine="720" w:firstLineChars="30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    混 凝 土</w:t>
            </w:r>
          </w:p>
        </w:tc>
        <w:tc>
          <w:tcPr>
            <w:tcW w:w="1535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firstLine="240" w:firstLineChars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立方米</w:t>
            </w:r>
          </w:p>
        </w:tc>
        <w:tc>
          <w:tcPr>
            <w:tcW w:w="171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108499</w:t>
            </w:r>
          </w:p>
        </w:tc>
        <w:tc>
          <w:tcPr>
            <w:tcW w:w="1918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vAlign w:val="center"/>
          </w:tcPr>
          <w:p>
            <w:pPr>
              <w:pStyle w:val="14"/>
              <w:spacing w:line="300" w:lineRule="exact"/>
              <w:ind w:firstLine="0" w:firstLine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</w:rPr>
              <w:t>230.0</w:t>
            </w:r>
          </w:p>
        </w:tc>
      </w:tr>
    </w:tbl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规上工业企业效益。全县规模以上工业企业营业收入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76027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万元，比上年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%；营业成本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59063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%；利润总额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7085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119.8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%；资产总计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405761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建筑业。全县具有资质等级的总承包和专业承包建筑业企业11个，与上年持平，实现主营业务收入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17700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483.4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%。全年建筑业总产值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9747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万元，比上年下降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56.9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%;建筑业增加值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17916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0.7</w:t>
      </w:r>
      <w:r>
        <w:rPr>
          <w:rFonts w:ascii="仿宋" w:hAnsi="仿宋" w:eastAsia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四、固定资产投资和房地产开发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固定资产投资。固定资产投资比上年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38.3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%。从三次产业看，第一产业投资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305.2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第二产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业投资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66.7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第三产业投资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57.0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%。从经济类型看，国有控股投资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120.8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民间投资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48.9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%。全年施工项目个数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7个，下降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%；本年新开工项目个数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房地产开发。全年房地产开发投资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万元，比上年下降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98.2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%。商品房销售面积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33429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平方米，增长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%，其中住宅销售面积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29729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平方米，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pStyle w:val="3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8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pStyle w:val="3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</w:p>
    <w:p>
      <w:pPr>
        <w:pStyle w:val="3"/>
        <w:jc w:val="center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drawing>
          <wp:inline distT="0" distB="0" distL="114300" distR="114300">
            <wp:extent cx="4572000" cy="2743200"/>
            <wp:effectExtent l="4445" t="4445" r="14605" b="14605"/>
            <wp:docPr id="20" name="图表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五、国内外贸易和利用内资</w:t>
      </w:r>
    </w:p>
    <w:p>
      <w:pPr>
        <w:spacing w:line="600" w:lineRule="exact"/>
        <w:rPr>
          <w:rFonts w:ascii="黑体" w:hAnsi="黑体" w:eastAsia="仿宋" w:cs="黑体"/>
          <w:color w:val="FF0000"/>
          <w:kern w:val="0"/>
          <w:sz w:val="32"/>
          <w:szCs w:val="32"/>
        </w:rPr>
      </w:pPr>
      <w:r>
        <w:rPr>
          <w:rFonts w:eastAsia="仿宋"/>
          <w:color w:val="000000" w:themeColor="text1"/>
          <w:sz w:val="32"/>
          <w:szCs w:val="32"/>
        </w:rPr>
        <w:t> 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 xml:space="preserve">    消费市场。全县社会消费品零售总额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105654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万元，比上年增长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2.7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%。按经营地统计，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城镇消费品零售额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79568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%；乡村消费品零售额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26086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%。按消费类型统计，批发业零售额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1903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%；零售业零售额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78971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%；住宿业零售额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805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%；餐饮业零售额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23975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%。限额以上消费品零售额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13476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52.7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对外贸易。全年完成外贸进出口总额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2811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43.4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内资利用。全年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实际利用内资项目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12个，其中本年新签约项目6个；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实际利用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省外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内资额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102842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万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同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</w:rPr>
        <w:t>比增长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28.5</w:t>
      </w:r>
      <w:r>
        <w:rPr>
          <w:rFonts w:ascii="仿宋" w:hAnsi="仿宋" w:eastAsia="仿宋" w:cs="宋体"/>
          <w:color w:val="000000" w:themeColor="text1"/>
          <w:kern w:val="0"/>
          <w:sz w:val="32"/>
          <w:szCs w:val="32"/>
        </w:rPr>
        <w:t>%。其中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eastAsia="zh-CN"/>
        </w:rPr>
        <w:t>绥滨县运达200MW风电项目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:lang w:val="en-US" w:eastAsia="zh-CN"/>
        </w:rPr>
        <w:t>15500万元，三盛牧业和牛养殖项目19100万元，稻园科技绥滨县分公司3万吨米糠精深加工建设项目(新金谷）5000万元，国家粮食储备项目（亿鑫）10000万元，安徽无为应发商贸肉鹅养殖加工项目8960万元，鹅产业综合项目（江西华曌）2000万元，保新嘉泽恺阳新能源有限公司100MW风电项目14282万元，宏和米业盘活、扩建项目28000万元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六、财政和金融</w:t>
      </w:r>
    </w:p>
    <w:p>
      <w:pPr>
        <w:spacing w:line="600" w:lineRule="exact"/>
        <w:ind w:firstLine="640" w:firstLineChars="200"/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财政收支。全年财政收入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62083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44.1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%。一般公共预算收入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34448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%，其中地方税收收入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7907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16.2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%；非税收入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26541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%。全年财政支出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272452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%。其中，一般公共预算支出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259190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%。其中，教育支出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29149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%；科学技术支出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%；文化旅游体育与传媒支出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%；社会保障和就业支出4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5526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%；卫生健康支出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12561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%；农林水支出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97207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22.6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pStyle w:val="3"/>
        <w:ind w:left="0" w:leftChars="0" w:firstLine="0" w:firstLineChars="0"/>
        <w:jc w:val="center"/>
      </w:pPr>
      <w:r>
        <w:drawing>
          <wp:inline distT="0" distB="0" distL="114300" distR="114300">
            <wp:extent cx="5314950" cy="2771775"/>
            <wp:effectExtent l="4445" t="4445" r="14605" b="508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金融市场。全县金融机构存款余额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1248257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万元，比上年增长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17.1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%，其中：住户存款余额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1142415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14.9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%。金融机构贷款余额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647645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万元，增长1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9.2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七、教育、文化和卫生 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教育事业。全县共有幼儿园1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所，招生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392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人，在园幼儿1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481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人，毕业幼儿5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人，专任教师1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5人。普通小学7所，招生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455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人，在校生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2819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561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人，专任教师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466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人。小学教学点2处，在校生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专任教师12人。普通初中4所，招生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589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人，在校生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2030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人，专任教师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271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人。九年一贯制学校3所，招生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369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人，在校学生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1777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人，专任教师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人。普通高中2所，招生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470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人，在校生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546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人，专任教师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人。普通中等职业学校1所，招生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人，在校生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393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人，专任教师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</w:t>
      </w:r>
    </w:p>
    <w:p>
      <w:pPr>
        <w:spacing w:line="600" w:lineRule="exact"/>
        <w:ind w:firstLine="651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文化事业。全县共有文化馆1个，剧场影剧院1个，公共图书馆1个，全县图书藏量104374册，融媒体中心1个，广播电视综合覆盖率100%，有线数字电视用户5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户。</w:t>
      </w:r>
    </w:p>
    <w:p>
      <w:pPr>
        <w:spacing w:line="600" w:lineRule="exact"/>
        <w:ind w:firstLine="640"/>
        <w:rPr>
          <w:rFonts w:ascii="仿宋_GB2312" w:hAnsi="仿宋_GB2312" w:eastAsia="仿宋_GB2312" w:cs="仿宋_GB2312"/>
          <w:color w:val="FF0000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医疗卫生。全县共有公立医院5个，乡镇卫生院9个，社区卫生服务中心1个，疾病预防控制中心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个，妇幼保健院（所、站）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个，卫生监督所1个，村卫生室109个。卫生技术人员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851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人，其中执业医师和执业助理医师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343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人。医疗卫生机构床位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张。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八、交通运输、车辆和邮电 </w:t>
      </w:r>
    </w:p>
    <w:p>
      <w:pPr>
        <w:pStyle w:val="3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交通运输。全年交通系统内公路货运量2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8万吨，比上年增长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%。公路货运周转量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30243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万吨公里，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%。公路客运量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万人次，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4.8%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。公路客运周转量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1967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万人公里，增长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%。年末公路里程813公里，其中等级公路779公里。</w:t>
      </w:r>
    </w:p>
    <w:p>
      <w:pPr>
        <w:pStyle w:val="3"/>
        <w:ind w:left="0" w:leftChars="0"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机动车辆。年末全县机动车保有量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24699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辆，其中，汽车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22809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辆，摩托车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1755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辆，挂车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辆。个人机动车保有量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23986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辆，其中个人汽车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22136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辆，个人摩托车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辆，个人挂车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辆。汽车中轿车12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993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辆，其中个人轿车12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辆。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邮电通信。全县完成邮电业务总量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12234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万元,比上年增长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%。其中，邮政业务总量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4214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%；电信业务总量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8020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%。年末固定电话用户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4481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户，比上年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10.4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%；移动电话用户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144131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%；固定互联网宽带接入用户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34318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户，下降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8.2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 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　九、人民生活和社会保障 </w:t>
      </w:r>
    </w:p>
    <w:p>
      <w:pPr>
        <w:spacing w:line="60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居民收入。全县城镇常住居民人均可支配收入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30684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元，比上年增长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4.5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%；农村常住居民人均可支配收入1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9823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6.3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</w:t>
      </w:r>
    </w:p>
    <w:p>
      <w:pPr>
        <w:spacing w:line="60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社会保障。全县城镇职工基本养老保险参保（含离退休）人数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59030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人，城乡居民基本养老保险参保人数45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952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人。基本医疗保险参保人数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140705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人，其中，职工基本医疗保险参保人数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42506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人，城乡居民基本医疗保险参保人数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98199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人。失业保险参保人数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11380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人。全年城镇居民低保户数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1794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户，比上年减少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户；城镇居民最低生活保障人数2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人,比上年减少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227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人；城镇低保资金支出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1442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%。全年农村居民低保户数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3065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户，比上年增加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381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户；农村居民最低生活保障人数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5220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人，比上年增加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551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人；农村低保资金支出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2681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万元，增长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16.7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%。结婚登记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462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对，离婚登记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409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对。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服务机构。全县提供住宿的民政服务机构共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个，床位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450</w:t>
      </w:r>
      <w:r>
        <w:rPr>
          <w:rFonts w:hint="eastAsia" w:ascii="仿宋" w:hAnsi="仿宋" w:eastAsia="仿宋" w:cs="仿宋"/>
          <w:sz w:val="32"/>
          <w:szCs w:val="32"/>
        </w:rPr>
        <w:t>张。</w:t>
      </w:r>
    </w:p>
    <w:p>
      <w:pPr>
        <w:spacing w:line="600" w:lineRule="exact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　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十、水资源和环境保护 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水资源利用。全年总用水量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83938.86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，比上年降低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5.6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%。地表水资源供水量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31452.46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，其中，农田灌溉3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1378.10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，电厂用水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74.36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。地下水资源供水量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52486.39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，其中，城镇生活用水量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295.31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，农村生活用水量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112.02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，农田灌溉用水量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51584.60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，畜禽用水量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374.07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，城镇公共用水量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96.64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，生态环境用水量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6.50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，工业用水量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17.25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万</w:t>
      </w:r>
      <w:r>
        <w:rPr>
          <w:rFonts w:hint="eastAsia" w:ascii="仿宋" w:hAnsi="仿宋" w:eastAsia="仿宋"/>
          <w:sz w:val="32"/>
          <w:szCs w:val="32"/>
        </w:rPr>
        <w:t>m</w:t>
      </w:r>
      <w:r>
        <w:rPr>
          <w:rFonts w:hint="eastAsia" w:ascii="仿宋"/>
          <w:sz w:val="32"/>
          <w:szCs w:val="32"/>
        </w:rPr>
        <w:t>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 xml:space="preserve">。  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环境保护。全县自然保护区1个，自然保护区面积53356.13公顷，国家级湿地公园1个，面积5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52.01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公顷。全县环境空气质量指数（AQI）优良天数达标率为9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8.9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%，其中优天数占比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80.1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%，良天数占比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18.8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%；可吸入颗粒物（PM10）年平均浓度35μg/m³；细颗粒物（PM2.5）年平均浓度2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μg/m³。剔除背景值影响，县级城市集中饮用水源地源水水质达标率100%，松花江和黑龙江两江水质全年均值满足《地表水环境质量标准》GB3838-2002中Ⅲ类水质标准。</w:t>
      </w:r>
    </w:p>
    <w:p>
      <w:pPr>
        <w:ind w:firstLine="643" w:firstLineChars="200"/>
        <w:rPr>
          <w:rFonts w:ascii="仿宋" w:hAnsi="仿宋" w:eastAsia="仿宋"/>
          <w:b/>
          <w:color w:val="000000" w:themeColor="text1"/>
          <w:sz w:val="32"/>
          <w:szCs w:val="32"/>
          <w:highlight w:val="yellow"/>
        </w:rPr>
      </w:pPr>
    </w:p>
    <w:p>
      <w:pPr>
        <w:rPr>
          <w:rFonts w:ascii="仿宋" w:hAnsi="仿宋" w:eastAsia="仿宋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注：</w:t>
      </w:r>
    </w:p>
    <w:p>
      <w:pPr>
        <w:pStyle w:val="14"/>
        <w:spacing w:line="600" w:lineRule="exact"/>
        <w:ind w:firstLine="56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1.本公报中202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年数据均为初步统计数。部分数据因四舍五入的原因，存在着与分项合计不等的情况。</w:t>
      </w:r>
    </w:p>
    <w:p>
      <w:pPr>
        <w:pStyle w:val="14"/>
        <w:spacing w:line="600" w:lineRule="exact"/>
        <w:ind w:firstLine="56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2.地区生产总值、各产业及各行业增加值按现价计算，增长速度按不变价格计算。涉及历史年份地区生产总值、各产业及各行业增加值等有关数据，根据第四次全国经济普查资料及有关规定进行了修订。</w:t>
      </w:r>
    </w:p>
    <w:p>
      <w:pPr>
        <w:pStyle w:val="14"/>
        <w:spacing w:line="600" w:lineRule="exact"/>
        <w:ind w:firstLine="56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3.规模以上工业：统计范围为年主营业务收入和产值均达到2000万元及以上的工业法人单位。</w:t>
      </w:r>
    </w:p>
    <w:p>
      <w:pPr>
        <w:pStyle w:val="14"/>
        <w:spacing w:line="600" w:lineRule="exact"/>
        <w:ind w:firstLine="56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4.固定资产投资：统计范围为各种登记注册类型的法人单位、个体经营户、其他单位进行的计划总投资500万元及以上的投资项目和房地产开发项目，不包括农户投资、军工和国防项目。</w:t>
      </w:r>
    </w:p>
    <w:p>
      <w:pPr>
        <w:pStyle w:val="14"/>
        <w:spacing w:line="600" w:lineRule="exact"/>
        <w:ind w:firstLine="56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5.贸易限上单位的限额标准：批发业年主营业务收入2000万元及以上；零售业年主营业务收入500万元及以上；住宿业和餐饮业年主营业务收入200万元及以上的法人及产业活动单位。</w:t>
      </w:r>
    </w:p>
    <w:p>
      <w:pPr>
        <w:pStyle w:val="14"/>
        <w:spacing w:line="600" w:lineRule="exact"/>
        <w:ind w:firstLine="560"/>
        <w:rPr>
          <w:rFonts w:ascii="仿宋" w:hAnsi="仿宋" w:eastAsia="仿宋" w:cs="仿宋"/>
          <w:color w:val="000000" w:themeColor="text1"/>
          <w:sz w:val="28"/>
          <w:szCs w:val="28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- 11 -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RiOTQzNWJkZmZjYmJmMzJhYzA1NTJmNmNiZTA2ZmMifQ=="/>
  </w:docVars>
  <w:rsids>
    <w:rsidRoot w:val="00144CCC"/>
    <w:rsid w:val="0000123B"/>
    <w:rsid w:val="00002A53"/>
    <w:rsid w:val="00013562"/>
    <w:rsid w:val="00014788"/>
    <w:rsid w:val="00015DBD"/>
    <w:rsid w:val="00023E44"/>
    <w:rsid w:val="00024B81"/>
    <w:rsid w:val="00031250"/>
    <w:rsid w:val="00031703"/>
    <w:rsid w:val="00042D7C"/>
    <w:rsid w:val="00043D72"/>
    <w:rsid w:val="00047040"/>
    <w:rsid w:val="0006323C"/>
    <w:rsid w:val="0006335F"/>
    <w:rsid w:val="0006345B"/>
    <w:rsid w:val="00066D0A"/>
    <w:rsid w:val="00075016"/>
    <w:rsid w:val="00077490"/>
    <w:rsid w:val="00077816"/>
    <w:rsid w:val="00081FA1"/>
    <w:rsid w:val="00084D5D"/>
    <w:rsid w:val="000906CA"/>
    <w:rsid w:val="00094FE3"/>
    <w:rsid w:val="00095011"/>
    <w:rsid w:val="00095C3E"/>
    <w:rsid w:val="00096F83"/>
    <w:rsid w:val="000A03B3"/>
    <w:rsid w:val="000A0761"/>
    <w:rsid w:val="000A68ED"/>
    <w:rsid w:val="000C1134"/>
    <w:rsid w:val="000C1AE7"/>
    <w:rsid w:val="000C496C"/>
    <w:rsid w:val="000D5E24"/>
    <w:rsid w:val="000D6F3B"/>
    <w:rsid w:val="000D7233"/>
    <w:rsid w:val="000F0F1A"/>
    <w:rsid w:val="000F1CB2"/>
    <w:rsid w:val="000F602C"/>
    <w:rsid w:val="00101C05"/>
    <w:rsid w:val="00104E88"/>
    <w:rsid w:val="00106CB9"/>
    <w:rsid w:val="001076BA"/>
    <w:rsid w:val="00112768"/>
    <w:rsid w:val="00113A08"/>
    <w:rsid w:val="00114619"/>
    <w:rsid w:val="00114D48"/>
    <w:rsid w:val="001173CA"/>
    <w:rsid w:val="00125977"/>
    <w:rsid w:val="001263A8"/>
    <w:rsid w:val="00133209"/>
    <w:rsid w:val="00134928"/>
    <w:rsid w:val="00135588"/>
    <w:rsid w:val="0013630B"/>
    <w:rsid w:val="00137085"/>
    <w:rsid w:val="00140F63"/>
    <w:rsid w:val="00143B12"/>
    <w:rsid w:val="00144CCC"/>
    <w:rsid w:val="0015420C"/>
    <w:rsid w:val="00161D56"/>
    <w:rsid w:val="001758C5"/>
    <w:rsid w:val="00180CBC"/>
    <w:rsid w:val="001818C8"/>
    <w:rsid w:val="00186601"/>
    <w:rsid w:val="00191324"/>
    <w:rsid w:val="001A1890"/>
    <w:rsid w:val="001A377D"/>
    <w:rsid w:val="001A5C61"/>
    <w:rsid w:val="001B0D81"/>
    <w:rsid w:val="001B2FD2"/>
    <w:rsid w:val="001B6E2C"/>
    <w:rsid w:val="001B7A60"/>
    <w:rsid w:val="001C0680"/>
    <w:rsid w:val="001D0B1C"/>
    <w:rsid w:val="001D12D9"/>
    <w:rsid w:val="001D1FC2"/>
    <w:rsid w:val="001E1D82"/>
    <w:rsid w:val="001E2037"/>
    <w:rsid w:val="001E3014"/>
    <w:rsid w:val="001E40AA"/>
    <w:rsid w:val="001F35D5"/>
    <w:rsid w:val="001F43DB"/>
    <w:rsid w:val="001F6168"/>
    <w:rsid w:val="001F759B"/>
    <w:rsid w:val="00200030"/>
    <w:rsid w:val="00202653"/>
    <w:rsid w:val="00202C80"/>
    <w:rsid w:val="00205E9F"/>
    <w:rsid w:val="002109E7"/>
    <w:rsid w:val="0021633D"/>
    <w:rsid w:val="00217E0B"/>
    <w:rsid w:val="00220B5A"/>
    <w:rsid w:val="00233C69"/>
    <w:rsid w:val="00236C49"/>
    <w:rsid w:val="00242097"/>
    <w:rsid w:val="00245A1C"/>
    <w:rsid w:val="00245F13"/>
    <w:rsid w:val="0025048C"/>
    <w:rsid w:val="00256147"/>
    <w:rsid w:val="00256E40"/>
    <w:rsid w:val="00257099"/>
    <w:rsid w:val="0026219C"/>
    <w:rsid w:val="00262DE5"/>
    <w:rsid w:val="002639DC"/>
    <w:rsid w:val="00263D4C"/>
    <w:rsid w:val="00270346"/>
    <w:rsid w:val="00285816"/>
    <w:rsid w:val="00293D6F"/>
    <w:rsid w:val="00297B8E"/>
    <w:rsid w:val="002A21AD"/>
    <w:rsid w:val="002A6A1E"/>
    <w:rsid w:val="002B1709"/>
    <w:rsid w:val="002B318D"/>
    <w:rsid w:val="002B4EF2"/>
    <w:rsid w:val="002C075E"/>
    <w:rsid w:val="002C0CA6"/>
    <w:rsid w:val="002C120B"/>
    <w:rsid w:val="002C1568"/>
    <w:rsid w:val="002C364A"/>
    <w:rsid w:val="002D697B"/>
    <w:rsid w:val="002D69E9"/>
    <w:rsid w:val="002E0CCA"/>
    <w:rsid w:val="002E18DB"/>
    <w:rsid w:val="002E3F9F"/>
    <w:rsid w:val="002E486C"/>
    <w:rsid w:val="002E7CF5"/>
    <w:rsid w:val="002F04FF"/>
    <w:rsid w:val="002F1910"/>
    <w:rsid w:val="002F2392"/>
    <w:rsid w:val="002F3FE1"/>
    <w:rsid w:val="003139CD"/>
    <w:rsid w:val="00315571"/>
    <w:rsid w:val="00315EEF"/>
    <w:rsid w:val="00333EA5"/>
    <w:rsid w:val="003377D9"/>
    <w:rsid w:val="003410CE"/>
    <w:rsid w:val="00342165"/>
    <w:rsid w:val="00343A26"/>
    <w:rsid w:val="00344A95"/>
    <w:rsid w:val="003471D7"/>
    <w:rsid w:val="0035045D"/>
    <w:rsid w:val="00356D52"/>
    <w:rsid w:val="0036053E"/>
    <w:rsid w:val="00362441"/>
    <w:rsid w:val="00363F59"/>
    <w:rsid w:val="00365DB8"/>
    <w:rsid w:val="0037022B"/>
    <w:rsid w:val="00374AA3"/>
    <w:rsid w:val="00375035"/>
    <w:rsid w:val="00376BB6"/>
    <w:rsid w:val="0037755A"/>
    <w:rsid w:val="00384F6A"/>
    <w:rsid w:val="00392ED3"/>
    <w:rsid w:val="00393C5C"/>
    <w:rsid w:val="003A1D5D"/>
    <w:rsid w:val="003A3B77"/>
    <w:rsid w:val="003A6738"/>
    <w:rsid w:val="003B08AA"/>
    <w:rsid w:val="003B1D63"/>
    <w:rsid w:val="003C138A"/>
    <w:rsid w:val="003C1A83"/>
    <w:rsid w:val="003C5B00"/>
    <w:rsid w:val="003C6364"/>
    <w:rsid w:val="003C74BD"/>
    <w:rsid w:val="003D42C6"/>
    <w:rsid w:val="003D5A7F"/>
    <w:rsid w:val="003D64A9"/>
    <w:rsid w:val="003E0C44"/>
    <w:rsid w:val="003E1DB7"/>
    <w:rsid w:val="003E3537"/>
    <w:rsid w:val="003E392C"/>
    <w:rsid w:val="003F4C65"/>
    <w:rsid w:val="003F7171"/>
    <w:rsid w:val="003F73C8"/>
    <w:rsid w:val="004032A1"/>
    <w:rsid w:val="00403679"/>
    <w:rsid w:val="004042EB"/>
    <w:rsid w:val="004044E1"/>
    <w:rsid w:val="00405443"/>
    <w:rsid w:val="00406201"/>
    <w:rsid w:val="004118BC"/>
    <w:rsid w:val="004170B4"/>
    <w:rsid w:val="00417DEF"/>
    <w:rsid w:val="0042183B"/>
    <w:rsid w:val="004265B7"/>
    <w:rsid w:val="00431D0E"/>
    <w:rsid w:val="004346F1"/>
    <w:rsid w:val="0043612B"/>
    <w:rsid w:val="00436523"/>
    <w:rsid w:val="0044371C"/>
    <w:rsid w:val="0045136B"/>
    <w:rsid w:val="00452517"/>
    <w:rsid w:val="00453B4F"/>
    <w:rsid w:val="00454802"/>
    <w:rsid w:val="00460E41"/>
    <w:rsid w:val="00462CD6"/>
    <w:rsid w:val="00472E06"/>
    <w:rsid w:val="004736DA"/>
    <w:rsid w:val="00475172"/>
    <w:rsid w:val="00481F4F"/>
    <w:rsid w:val="004828D8"/>
    <w:rsid w:val="00482B57"/>
    <w:rsid w:val="00486963"/>
    <w:rsid w:val="00487B0D"/>
    <w:rsid w:val="00487D98"/>
    <w:rsid w:val="00491069"/>
    <w:rsid w:val="00496FAF"/>
    <w:rsid w:val="004A1663"/>
    <w:rsid w:val="004A20BB"/>
    <w:rsid w:val="004A40D4"/>
    <w:rsid w:val="004B3AC2"/>
    <w:rsid w:val="004B4995"/>
    <w:rsid w:val="004B7B24"/>
    <w:rsid w:val="004B7F49"/>
    <w:rsid w:val="004C0ECB"/>
    <w:rsid w:val="004C1D7B"/>
    <w:rsid w:val="004C433E"/>
    <w:rsid w:val="004C6E24"/>
    <w:rsid w:val="004D113C"/>
    <w:rsid w:val="004D3435"/>
    <w:rsid w:val="004D4F6A"/>
    <w:rsid w:val="004E0086"/>
    <w:rsid w:val="004E0A16"/>
    <w:rsid w:val="004E286F"/>
    <w:rsid w:val="004F3A15"/>
    <w:rsid w:val="00502482"/>
    <w:rsid w:val="00504D1B"/>
    <w:rsid w:val="00513048"/>
    <w:rsid w:val="00515E12"/>
    <w:rsid w:val="00516678"/>
    <w:rsid w:val="00524EF6"/>
    <w:rsid w:val="005366A8"/>
    <w:rsid w:val="0054086B"/>
    <w:rsid w:val="005473EF"/>
    <w:rsid w:val="005509DE"/>
    <w:rsid w:val="00561CC9"/>
    <w:rsid w:val="00570068"/>
    <w:rsid w:val="00570E3A"/>
    <w:rsid w:val="005714FD"/>
    <w:rsid w:val="00575598"/>
    <w:rsid w:val="00580D2A"/>
    <w:rsid w:val="0058345F"/>
    <w:rsid w:val="005854E8"/>
    <w:rsid w:val="005860C8"/>
    <w:rsid w:val="00590903"/>
    <w:rsid w:val="00592E4E"/>
    <w:rsid w:val="00593C7A"/>
    <w:rsid w:val="00593D61"/>
    <w:rsid w:val="0059560C"/>
    <w:rsid w:val="005B1358"/>
    <w:rsid w:val="005B2526"/>
    <w:rsid w:val="005B4CBA"/>
    <w:rsid w:val="005C3CCE"/>
    <w:rsid w:val="005C5707"/>
    <w:rsid w:val="005D73C2"/>
    <w:rsid w:val="005E3D89"/>
    <w:rsid w:val="005F592C"/>
    <w:rsid w:val="00601902"/>
    <w:rsid w:val="00603453"/>
    <w:rsid w:val="00607943"/>
    <w:rsid w:val="00613CB1"/>
    <w:rsid w:val="006161F0"/>
    <w:rsid w:val="00617189"/>
    <w:rsid w:val="0062245E"/>
    <w:rsid w:val="0063054B"/>
    <w:rsid w:val="006318BD"/>
    <w:rsid w:val="0064154A"/>
    <w:rsid w:val="006437F8"/>
    <w:rsid w:val="006443A9"/>
    <w:rsid w:val="006446CD"/>
    <w:rsid w:val="006603A8"/>
    <w:rsid w:val="00662D02"/>
    <w:rsid w:val="00665BB0"/>
    <w:rsid w:val="0066623E"/>
    <w:rsid w:val="0066661B"/>
    <w:rsid w:val="00671C30"/>
    <w:rsid w:val="00672045"/>
    <w:rsid w:val="00672FFB"/>
    <w:rsid w:val="0067344D"/>
    <w:rsid w:val="00673C9F"/>
    <w:rsid w:val="00675B03"/>
    <w:rsid w:val="0067668F"/>
    <w:rsid w:val="00681383"/>
    <w:rsid w:val="0068568A"/>
    <w:rsid w:val="00691D0F"/>
    <w:rsid w:val="0069273B"/>
    <w:rsid w:val="00696EA4"/>
    <w:rsid w:val="006A01C9"/>
    <w:rsid w:val="006A2FDB"/>
    <w:rsid w:val="006B166B"/>
    <w:rsid w:val="006B298A"/>
    <w:rsid w:val="006B4583"/>
    <w:rsid w:val="006B708A"/>
    <w:rsid w:val="006C024E"/>
    <w:rsid w:val="006C1B29"/>
    <w:rsid w:val="006C2969"/>
    <w:rsid w:val="006C3770"/>
    <w:rsid w:val="006C6EA5"/>
    <w:rsid w:val="006D041F"/>
    <w:rsid w:val="006D17BD"/>
    <w:rsid w:val="006E1965"/>
    <w:rsid w:val="006E3540"/>
    <w:rsid w:val="006E5B86"/>
    <w:rsid w:val="006F0BF2"/>
    <w:rsid w:val="006F12F0"/>
    <w:rsid w:val="006F5C97"/>
    <w:rsid w:val="00706873"/>
    <w:rsid w:val="007157BF"/>
    <w:rsid w:val="00720144"/>
    <w:rsid w:val="00724643"/>
    <w:rsid w:val="0072774F"/>
    <w:rsid w:val="00727D07"/>
    <w:rsid w:val="00732605"/>
    <w:rsid w:val="00741705"/>
    <w:rsid w:val="0074336D"/>
    <w:rsid w:val="007475ED"/>
    <w:rsid w:val="0075114E"/>
    <w:rsid w:val="007547CC"/>
    <w:rsid w:val="00757BA9"/>
    <w:rsid w:val="00760AEA"/>
    <w:rsid w:val="00766B97"/>
    <w:rsid w:val="00767069"/>
    <w:rsid w:val="00774CEA"/>
    <w:rsid w:val="00776753"/>
    <w:rsid w:val="00776C3E"/>
    <w:rsid w:val="0077772E"/>
    <w:rsid w:val="00792950"/>
    <w:rsid w:val="00794374"/>
    <w:rsid w:val="007A0DAD"/>
    <w:rsid w:val="007A1B67"/>
    <w:rsid w:val="007B0017"/>
    <w:rsid w:val="007B096C"/>
    <w:rsid w:val="007B1459"/>
    <w:rsid w:val="007B3C7E"/>
    <w:rsid w:val="007B6000"/>
    <w:rsid w:val="007C0B86"/>
    <w:rsid w:val="007C6085"/>
    <w:rsid w:val="007C724F"/>
    <w:rsid w:val="007D0263"/>
    <w:rsid w:val="007D6FC9"/>
    <w:rsid w:val="007D73B5"/>
    <w:rsid w:val="007E11E3"/>
    <w:rsid w:val="007E1A01"/>
    <w:rsid w:val="007E32FE"/>
    <w:rsid w:val="007E4C84"/>
    <w:rsid w:val="007F2207"/>
    <w:rsid w:val="00800E48"/>
    <w:rsid w:val="00804826"/>
    <w:rsid w:val="008068A9"/>
    <w:rsid w:val="00810DC8"/>
    <w:rsid w:val="008115EB"/>
    <w:rsid w:val="0081170C"/>
    <w:rsid w:val="00811C7D"/>
    <w:rsid w:val="00813DD6"/>
    <w:rsid w:val="0082027E"/>
    <w:rsid w:val="00823877"/>
    <w:rsid w:val="00823CBD"/>
    <w:rsid w:val="00824514"/>
    <w:rsid w:val="00824FAB"/>
    <w:rsid w:val="00827F73"/>
    <w:rsid w:val="00836333"/>
    <w:rsid w:val="00836392"/>
    <w:rsid w:val="00837AB9"/>
    <w:rsid w:val="00837D0D"/>
    <w:rsid w:val="00845AC2"/>
    <w:rsid w:val="00847E47"/>
    <w:rsid w:val="00850F55"/>
    <w:rsid w:val="00854655"/>
    <w:rsid w:val="0085519F"/>
    <w:rsid w:val="00856CB0"/>
    <w:rsid w:val="00857535"/>
    <w:rsid w:val="008676B2"/>
    <w:rsid w:val="008704CD"/>
    <w:rsid w:val="00872ED6"/>
    <w:rsid w:val="008749A0"/>
    <w:rsid w:val="008837DE"/>
    <w:rsid w:val="00885E4A"/>
    <w:rsid w:val="0088745F"/>
    <w:rsid w:val="00895DC6"/>
    <w:rsid w:val="00896F6A"/>
    <w:rsid w:val="00897E8A"/>
    <w:rsid w:val="008A2297"/>
    <w:rsid w:val="008A61F2"/>
    <w:rsid w:val="008B0407"/>
    <w:rsid w:val="008B45A4"/>
    <w:rsid w:val="008B66B6"/>
    <w:rsid w:val="008B702D"/>
    <w:rsid w:val="008C004F"/>
    <w:rsid w:val="008C3C12"/>
    <w:rsid w:val="008D1B62"/>
    <w:rsid w:val="008D22E0"/>
    <w:rsid w:val="008D6929"/>
    <w:rsid w:val="008D79C2"/>
    <w:rsid w:val="008E4604"/>
    <w:rsid w:val="008E60C8"/>
    <w:rsid w:val="008E6B8B"/>
    <w:rsid w:val="008F4046"/>
    <w:rsid w:val="008F7950"/>
    <w:rsid w:val="00901413"/>
    <w:rsid w:val="009024B8"/>
    <w:rsid w:val="00907C63"/>
    <w:rsid w:val="00917508"/>
    <w:rsid w:val="00917582"/>
    <w:rsid w:val="00921865"/>
    <w:rsid w:val="00921EFB"/>
    <w:rsid w:val="009269A2"/>
    <w:rsid w:val="009301D7"/>
    <w:rsid w:val="0093203A"/>
    <w:rsid w:val="0093475B"/>
    <w:rsid w:val="00934C1B"/>
    <w:rsid w:val="00935341"/>
    <w:rsid w:val="00941B86"/>
    <w:rsid w:val="00946D6E"/>
    <w:rsid w:val="009517ED"/>
    <w:rsid w:val="009524A7"/>
    <w:rsid w:val="00953AF6"/>
    <w:rsid w:val="0097104F"/>
    <w:rsid w:val="009764C2"/>
    <w:rsid w:val="00977183"/>
    <w:rsid w:val="00977A2D"/>
    <w:rsid w:val="0099031E"/>
    <w:rsid w:val="009A2864"/>
    <w:rsid w:val="009A2F5B"/>
    <w:rsid w:val="009B075E"/>
    <w:rsid w:val="009B1C8E"/>
    <w:rsid w:val="009B2647"/>
    <w:rsid w:val="009B3AB1"/>
    <w:rsid w:val="009B5EB2"/>
    <w:rsid w:val="009C10DB"/>
    <w:rsid w:val="009C59F1"/>
    <w:rsid w:val="009E0239"/>
    <w:rsid w:val="009E1A20"/>
    <w:rsid w:val="009E1C31"/>
    <w:rsid w:val="009E5725"/>
    <w:rsid w:val="00A02CF6"/>
    <w:rsid w:val="00A03E57"/>
    <w:rsid w:val="00A07474"/>
    <w:rsid w:val="00A07485"/>
    <w:rsid w:val="00A114DF"/>
    <w:rsid w:val="00A11F15"/>
    <w:rsid w:val="00A1489B"/>
    <w:rsid w:val="00A1559F"/>
    <w:rsid w:val="00A21947"/>
    <w:rsid w:val="00A24DA1"/>
    <w:rsid w:val="00A2780B"/>
    <w:rsid w:val="00A27897"/>
    <w:rsid w:val="00A32A24"/>
    <w:rsid w:val="00A45150"/>
    <w:rsid w:val="00A47BA5"/>
    <w:rsid w:val="00A5129D"/>
    <w:rsid w:val="00A51545"/>
    <w:rsid w:val="00A60AE9"/>
    <w:rsid w:val="00A60B79"/>
    <w:rsid w:val="00A655A1"/>
    <w:rsid w:val="00A66ADC"/>
    <w:rsid w:val="00A66F0C"/>
    <w:rsid w:val="00A723DF"/>
    <w:rsid w:val="00A72BAA"/>
    <w:rsid w:val="00A73EEC"/>
    <w:rsid w:val="00A75185"/>
    <w:rsid w:val="00A76CB4"/>
    <w:rsid w:val="00A8091E"/>
    <w:rsid w:val="00A85060"/>
    <w:rsid w:val="00A942A2"/>
    <w:rsid w:val="00A9451D"/>
    <w:rsid w:val="00AA357A"/>
    <w:rsid w:val="00AA483A"/>
    <w:rsid w:val="00AB0C93"/>
    <w:rsid w:val="00AB0D84"/>
    <w:rsid w:val="00AB0EA8"/>
    <w:rsid w:val="00AB4B18"/>
    <w:rsid w:val="00AB56C8"/>
    <w:rsid w:val="00AC0152"/>
    <w:rsid w:val="00AC0A1B"/>
    <w:rsid w:val="00AC1CF0"/>
    <w:rsid w:val="00AC2F5F"/>
    <w:rsid w:val="00AC4DDB"/>
    <w:rsid w:val="00AC4F9F"/>
    <w:rsid w:val="00AC514F"/>
    <w:rsid w:val="00AC7801"/>
    <w:rsid w:val="00AD2961"/>
    <w:rsid w:val="00AD6D4A"/>
    <w:rsid w:val="00AE4797"/>
    <w:rsid w:val="00AE51AA"/>
    <w:rsid w:val="00AE51B5"/>
    <w:rsid w:val="00AE7478"/>
    <w:rsid w:val="00AF245C"/>
    <w:rsid w:val="00AF50D1"/>
    <w:rsid w:val="00AF59A7"/>
    <w:rsid w:val="00AF6643"/>
    <w:rsid w:val="00AF7FD2"/>
    <w:rsid w:val="00B01152"/>
    <w:rsid w:val="00B14363"/>
    <w:rsid w:val="00B203B8"/>
    <w:rsid w:val="00B22053"/>
    <w:rsid w:val="00B226A7"/>
    <w:rsid w:val="00B2631C"/>
    <w:rsid w:val="00B26B83"/>
    <w:rsid w:val="00B3129C"/>
    <w:rsid w:val="00B41F1B"/>
    <w:rsid w:val="00B47420"/>
    <w:rsid w:val="00B5141F"/>
    <w:rsid w:val="00B534F9"/>
    <w:rsid w:val="00B616A4"/>
    <w:rsid w:val="00B640C0"/>
    <w:rsid w:val="00B65ABF"/>
    <w:rsid w:val="00B754A1"/>
    <w:rsid w:val="00B80090"/>
    <w:rsid w:val="00B81D31"/>
    <w:rsid w:val="00B82D23"/>
    <w:rsid w:val="00B84358"/>
    <w:rsid w:val="00B95D15"/>
    <w:rsid w:val="00B97FCF"/>
    <w:rsid w:val="00BA0F28"/>
    <w:rsid w:val="00BA2392"/>
    <w:rsid w:val="00BA39A8"/>
    <w:rsid w:val="00BA516C"/>
    <w:rsid w:val="00BA7E54"/>
    <w:rsid w:val="00BB31BE"/>
    <w:rsid w:val="00BC6185"/>
    <w:rsid w:val="00BC6AB8"/>
    <w:rsid w:val="00BC6E92"/>
    <w:rsid w:val="00BC74CE"/>
    <w:rsid w:val="00BD205B"/>
    <w:rsid w:val="00BD7E28"/>
    <w:rsid w:val="00BE15E5"/>
    <w:rsid w:val="00BE6B10"/>
    <w:rsid w:val="00BF1816"/>
    <w:rsid w:val="00C063DF"/>
    <w:rsid w:val="00C07DF3"/>
    <w:rsid w:val="00C100B7"/>
    <w:rsid w:val="00C10A6A"/>
    <w:rsid w:val="00C10E62"/>
    <w:rsid w:val="00C1227F"/>
    <w:rsid w:val="00C125C9"/>
    <w:rsid w:val="00C16D12"/>
    <w:rsid w:val="00C20F28"/>
    <w:rsid w:val="00C217EA"/>
    <w:rsid w:val="00C23132"/>
    <w:rsid w:val="00C2679D"/>
    <w:rsid w:val="00C267F8"/>
    <w:rsid w:val="00C27CCB"/>
    <w:rsid w:val="00C27E5C"/>
    <w:rsid w:val="00C356C8"/>
    <w:rsid w:val="00C37F17"/>
    <w:rsid w:val="00C41D0F"/>
    <w:rsid w:val="00C42388"/>
    <w:rsid w:val="00C43661"/>
    <w:rsid w:val="00C479A1"/>
    <w:rsid w:val="00C47C06"/>
    <w:rsid w:val="00C51206"/>
    <w:rsid w:val="00C54AF5"/>
    <w:rsid w:val="00C54D64"/>
    <w:rsid w:val="00C61E7D"/>
    <w:rsid w:val="00C6759D"/>
    <w:rsid w:val="00C675FA"/>
    <w:rsid w:val="00C71F57"/>
    <w:rsid w:val="00C7562E"/>
    <w:rsid w:val="00C775C7"/>
    <w:rsid w:val="00C80E10"/>
    <w:rsid w:val="00C84B30"/>
    <w:rsid w:val="00C85441"/>
    <w:rsid w:val="00C91631"/>
    <w:rsid w:val="00C950BF"/>
    <w:rsid w:val="00C95BFA"/>
    <w:rsid w:val="00CA2054"/>
    <w:rsid w:val="00CB034F"/>
    <w:rsid w:val="00CB06EC"/>
    <w:rsid w:val="00CB4632"/>
    <w:rsid w:val="00CB4918"/>
    <w:rsid w:val="00CB61D6"/>
    <w:rsid w:val="00CB7D3C"/>
    <w:rsid w:val="00CC0997"/>
    <w:rsid w:val="00CC31E4"/>
    <w:rsid w:val="00CD15C8"/>
    <w:rsid w:val="00CD2F02"/>
    <w:rsid w:val="00CD349D"/>
    <w:rsid w:val="00CD3BE9"/>
    <w:rsid w:val="00CE226F"/>
    <w:rsid w:val="00CE2DEF"/>
    <w:rsid w:val="00CE78DD"/>
    <w:rsid w:val="00CF1416"/>
    <w:rsid w:val="00CF1BC8"/>
    <w:rsid w:val="00CF47E5"/>
    <w:rsid w:val="00D04A15"/>
    <w:rsid w:val="00D1157B"/>
    <w:rsid w:val="00D12E1F"/>
    <w:rsid w:val="00D1755E"/>
    <w:rsid w:val="00D21BAF"/>
    <w:rsid w:val="00D2732C"/>
    <w:rsid w:val="00D37CD7"/>
    <w:rsid w:val="00D41989"/>
    <w:rsid w:val="00D43AEA"/>
    <w:rsid w:val="00D44E05"/>
    <w:rsid w:val="00D47645"/>
    <w:rsid w:val="00D52A05"/>
    <w:rsid w:val="00D61D3E"/>
    <w:rsid w:val="00D63D76"/>
    <w:rsid w:val="00D70CA4"/>
    <w:rsid w:val="00D721A3"/>
    <w:rsid w:val="00D73DD1"/>
    <w:rsid w:val="00D84F7A"/>
    <w:rsid w:val="00DA19ED"/>
    <w:rsid w:val="00DA3681"/>
    <w:rsid w:val="00DA501B"/>
    <w:rsid w:val="00DA60F7"/>
    <w:rsid w:val="00DB7E9B"/>
    <w:rsid w:val="00DC1F5A"/>
    <w:rsid w:val="00DC3346"/>
    <w:rsid w:val="00DC5F51"/>
    <w:rsid w:val="00DD1684"/>
    <w:rsid w:val="00DD2449"/>
    <w:rsid w:val="00DD2FE5"/>
    <w:rsid w:val="00DD33ED"/>
    <w:rsid w:val="00DE4D60"/>
    <w:rsid w:val="00DF1F51"/>
    <w:rsid w:val="00DF457B"/>
    <w:rsid w:val="00E037FE"/>
    <w:rsid w:val="00E03A8A"/>
    <w:rsid w:val="00E03CE5"/>
    <w:rsid w:val="00E075A4"/>
    <w:rsid w:val="00E106A5"/>
    <w:rsid w:val="00E11538"/>
    <w:rsid w:val="00E124C0"/>
    <w:rsid w:val="00E15B85"/>
    <w:rsid w:val="00E20723"/>
    <w:rsid w:val="00E23FC6"/>
    <w:rsid w:val="00E27C55"/>
    <w:rsid w:val="00E31697"/>
    <w:rsid w:val="00E32DFA"/>
    <w:rsid w:val="00E35F41"/>
    <w:rsid w:val="00E42E77"/>
    <w:rsid w:val="00E43964"/>
    <w:rsid w:val="00E43E57"/>
    <w:rsid w:val="00E476D0"/>
    <w:rsid w:val="00E57912"/>
    <w:rsid w:val="00E610FE"/>
    <w:rsid w:val="00E63518"/>
    <w:rsid w:val="00E6701C"/>
    <w:rsid w:val="00E71169"/>
    <w:rsid w:val="00E72B23"/>
    <w:rsid w:val="00E81551"/>
    <w:rsid w:val="00E81579"/>
    <w:rsid w:val="00E84291"/>
    <w:rsid w:val="00E85D3F"/>
    <w:rsid w:val="00E8646D"/>
    <w:rsid w:val="00E91F9A"/>
    <w:rsid w:val="00E92D93"/>
    <w:rsid w:val="00EA19D0"/>
    <w:rsid w:val="00EB05C8"/>
    <w:rsid w:val="00EB3C84"/>
    <w:rsid w:val="00EC02CC"/>
    <w:rsid w:val="00EC3F4D"/>
    <w:rsid w:val="00EC75AA"/>
    <w:rsid w:val="00ED0386"/>
    <w:rsid w:val="00ED0C72"/>
    <w:rsid w:val="00ED1C56"/>
    <w:rsid w:val="00ED1FEE"/>
    <w:rsid w:val="00ED4231"/>
    <w:rsid w:val="00ED4CF4"/>
    <w:rsid w:val="00ED6566"/>
    <w:rsid w:val="00EE134A"/>
    <w:rsid w:val="00EE2F9C"/>
    <w:rsid w:val="00F04846"/>
    <w:rsid w:val="00F0514F"/>
    <w:rsid w:val="00F15875"/>
    <w:rsid w:val="00F16F7B"/>
    <w:rsid w:val="00F22DE9"/>
    <w:rsid w:val="00F257A9"/>
    <w:rsid w:val="00F302BE"/>
    <w:rsid w:val="00F30481"/>
    <w:rsid w:val="00F37F3B"/>
    <w:rsid w:val="00F412DC"/>
    <w:rsid w:val="00F42428"/>
    <w:rsid w:val="00F507EF"/>
    <w:rsid w:val="00F51557"/>
    <w:rsid w:val="00F56601"/>
    <w:rsid w:val="00F57D7C"/>
    <w:rsid w:val="00F6332A"/>
    <w:rsid w:val="00F64EDF"/>
    <w:rsid w:val="00F6741D"/>
    <w:rsid w:val="00F76EA0"/>
    <w:rsid w:val="00F86556"/>
    <w:rsid w:val="00F86E91"/>
    <w:rsid w:val="00F87F3C"/>
    <w:rsid w:val="00F90ADC"/>
    <w:rsid w:val="00F94A39"/>
    <w:rsid w:val="00F979A1"/>
    <w:rsid w:val="00FA1C6F"/>
    <w:rsid w:val="00FA28F3"/>
    <w:rsid w:val="00FB2949"/>
    <w:rsid w:val="00FB594A"/>
    <w:rsid w:val="00FB69D3"/>
    <w:rsid w:val="00FC4BF3"/>
    <w:rsid w:val="00FC686F"/>
    <w:rsid w:val="00FD242A"/>
    <w:rsid w:val="00FD400B"/>
    <w:rsid w:val="00FD7292"/>
    <w:rsid w:val="00FE38D7"/>
    <w:rsid w:val="00FE7AA2"/>
    <w:rsid w:val="00FF0EC8"/>
    <w:rsid w:val="00FF0FF4"/>
    <w:rsid w:val="00FF145E"/>
    <w:rsid w:val="00FF1933"/>
    <w:rsid w:val="00FF3B4C"/>
    <w:rsid w:val="00FF3D8B"/>
    <w:rsid w:val="00FF7FA2"/>
    <w:rsid w:val="014364A0"/>
    <w:rsid w:val="0165087F"/>
    <w:rsid w:val="01D37AF5"/>
    <w:rsid w:val="020020D6"/>
    <w:rsid w:val="02011974"/>
    <w:rsid w:val="023C7941"/>
    <w:rsid w:val="0281562D"/>
    <w:rsid w:val="028B3595"/>
    <w:rsid w:val="033531CE"/>
    <w:rsid w:val="0354069B"/>
    <w:rsid w:val="03764654"/>
    <w:rsid w:val="038564C0"/>
    <w:rsid w:val="03B1769B"/>
    <w:rsid w:val="03B24C65"/>
    <w:rsid w:val="03F1732E"/>
    <w:rsid w:val="04053FC3"/>
    <w:rsid w:val="0426190E"/>
    <w:rsid w:val="04347109"/>
    <w:rsid w:val="043471D8"/>
    <w:rsid w:val="04447AE1"/>
    <w:rsid w:val="046C5A15"/>
    <w:rsid w:val="047F338B"/>
    <w:rsid w:val="04BF0077"/>
    <w:rsid w:val="050A4C56"/>
    <w:rsid w:val="053567B2"/>
    <w:rsid w:val="053D6F1E"/>
    <w:rsid w:val="059C18FA"/>
    <w:rsid w:val="05AD22A5"/>
    <w:rsid w:val="05C06E69"/>
    <w:rsid w:val="05D77CF5"/>
    <w:rsid w:val="060A6FDB"/>
    <w:rsid w:val="06387686"/>
    <w:rsid w:val="063B7004"/>
    <w:rsid w:val="0648625E"/>
    <w:rsid w:val="066A75CD"/>
    <w:rsid w:val="06973F3A"/>
    <w:rsid w:val="06C53838"/>
    <w:rsid w:val="06CA06CA"/>
    <w:rsid w:val="06EE6C25"/>
    <w:rsid w:val="07045AD9"/>
    <w:rsid w:val="07524795"/>
    <w:rsid w:val="081C0A18"/>
    <w:rsid w:val="085602B5"/>
    <w:rsid w:val="08664E34"/>
    <w:rsid w:val="0873551F"/>
    <w:rsid w:val="087A212B"/>
    <w:rsid w:val="088A3921"/>
    <w:rsid w:val="08926ECB"/>
    <w:rsid w:val="08A46A7F"/>
    <w:rsid w:val="08AA60FF"/>
    <w:rsid w:val="08D21C83"/>
    <w:rsid w:val="08DB6801"/>
    <w:rsid w:val="08E81DFE"/>
    <w:rsid w:val="09347D0C"/>
    <w:rsid w:val="0935436E"/>
    <w:rsid w:val="095C7B55"/>
    <w:rsid w:val="096D5B06"/>
    <w:rsid w:val="098D4BA2"/>
    <w:rsid w:val="09AD1798"/>
    <w:rsid w:val="09C064FD"/>
    <w:rsid w:val="09F70F94"/>
    <w:rsid w:val="0A23066B"/>
    <w:rsid w:val="0A2B3879"/>
    <w:rsid w:val="0A6E5410"/>
    <w:rsid w:val="0A70045E"/>
    <w:rsid w:val="0A75787A"/>
    <w:rsid w:val="0A776F4F"/>
    <w:rsid w:val="0A9B516E"/>
    <w:rsid w:val="0AB264BA"/>
    <w:rsid w:val="0AB27C78"/>
    <w:rsid w:val="0ABB24E5"/>
    <w:rsid w:val="0ABD6669"/>
    <w:rsid w:val="0ABF1851"/>
    <w:rsid w:val="0AE20E5E"/>
    <w:rsid w:val="0B262E8E"/>
    <w:rsid w:val="0B2C58C5"/>
    <w:rsid w:val="0B3422B4"/>
    <w:rsid w:val="0B5539B8"/>
    <w:rsid w:val="0B995089"/>
    <w:rsid w:val="0BA22130"/>
    <w:rsid w:val="0BA42303"/>
    <w:rsid w:val="0BCC7DF5"/>
    <w:rsid w:val="0BD85722"/>
    <w:rsid w:val="0BF027CF"/>
    <w:rsid w:val="0BFA30C2"/>
    <w:rsid w:val="0C7609E4"/>
    <w:rsid w:val="0C820D4D"/>
    <w:rsid w:val="0C917E2F"/>
    <w:rsid w:val="0C9D6C1D"/>
    <w:rsid w:val="0CA41C89"/>
    <w:rsid w:val="0CE8529A"/>
    <w:rsid w:val="0D0F484E"/>
    <w:rsid w:val="0D2B420C"/>
    <w:rsid w:val="0D674BB6"/>
    <w:rsid w:val="0D7F2AEF"/>
    <w:rsid w:val="0DA31871"/>
    <w:rsid w:val="0DB9721D"/>
    <w:rsid w:val="0DE06D4A"/>
    <w:rsid w:val="0DE10329"/>
    <w:rsid w:val="0DE51158"/>
    <w:rsid w:val="0E99714E"/>
    <w:rsid w:val="0EA00638"/>
    <w:rsid w:val="0EA06CB7"/>
    <w:rsid w:val="0ED67219"/>
    <w:rsid w:val="0EFE47CE"/>
    <w:rsid w:val="0F0C02D1"/>
    <w:rsid w:val="0F0C3408"/>
    <w:rsid w:val="0F1F3363"/>
    <w:rsid w:val="0F326081"/>
    <w:rsid w:val="0F534EE7"/>
    <w:rsid w:val="0F651296"/>
    <w:rsid w:val="0F6F042F"/>
    <w:rsid w:val="0F701900"/>
    <w:rsid w:val="0F7A6F7F"/>
    <w:rsid w:val="0F8F40AD"/>
    <w:rsid w:val="0F954CF1"/>
    <w:rsid w:val="0F970495"/>
    <w:rsid w:val="0FF22FB9"/>
    <w:rsid w:val="0FF842C1"/>
    <w:rsid w:val="0FF920B6"/>
    <w:rsid w:val="0FFA00C0"/>
    <w:rsid w:val="104002C3"/>
    <w:rsid w:val="10846FAB"/>
    <w:rsid w:val="10BC4AEB"/>
    <w:rsid w:val="10D173A1"/>
    <w:rsid w:val="10E43A7A"/>
    <w:rsid w:val="1100703A"/>
    <w:rsid w:val="11131439"/>
    <w:rsid w:val="11162CD7"/>
    <w:rsid w:val="114168F2"/>
    <w:rsid w:val="1158729B"/>
    <w:rsid w:val="1172518A"/>
    <w:rsid w:val="119839DB"/>
    <w:rsid w:val="119C20BC"/>
    <w:rsid w:val="11A037DE"/>
    <w:rsid w:val="11C04268"/>
    <w:rsid w:val="11CC562F"/>
    <w:rsid w:val="12080923"/>
    <w:rsid w:val="126F2BB3"/>
    <w:rsid w:val="128B3251"/>
    <w:rsid w:val="12A27DE0"/>
    <w:rsid w:val="12E75B94"/>
    <w:rsid w:val="12F326CE"/>
    <w:rsid w:val="13035AE8"/>
    <w:rsid w:val="13096F99"/>
    <w:rsid w:val="1336140F"/>
    <w:rsid w:val="133E02C4"/>
    <w:rsid w:val="1340403C"/>
    <w:rsid w:val="1350549C"/>
    <w:rsid w:val="139138CE"/>
    <w:rsid w:val="13CE7C8B"/>
    <w:rsid w:val="13E12070"/>
    <w:rsid w:val="141C71BA"/>
    <w:rsid w:val="14670A23"/>
    <w:rsid w:val="14783AD2"/>
    <w:rsid w:val="1480591A"/>
    <w:rsid w:val="14895FAA"/>
    <w:rsid w:val="149A7A94"/>
    <w:rsid w:val="14AB0218"/>
    <w:rsid w:val="14BA4688"/>
    <w:rsid w:val="14C268C2"/>
    <w:rsid w:val="14DB226E"/>
    <w:rsid w:val="14E61306"/>
    <w:rsid w:val="15055349"/>
    <w:rsid w:val="152C15A8"/>
    <w:rsid w:val="15537B4C"/>
    <w:rsid w:val="157C5959"/>
    <w:rsid w:val="158B4396"/>
    <w:rsid w:val="158D345A"/>
    <w:rsid w:val="159D4898"/>
    <w:rsid w:val="159D7523"/>
    <w:rsid w:val="15A92BE4"/>
    <w:rsid w:val="15AC368F"/>
    <w:rsid w:val="15AF7257"/>
    <w:rsid w:val="15BA2551"/>
    <w:rsid w:val="15C72DBA"/>
    <w:rsid w:val="15E6482F"/>
    <w:rsid w:val="15FF0E45"/>
    <w:rsid w:val="16411038"/>
    <w:rsid w:val="16497E2F"/>
    <w:rsid w:val="1675761E"/>
    <w:rsid w:val="167F55C7"/>
    <w:rsid w:val="16963349"/>
    <w:rsid w:val="16CB1AA0"/>
    <w:rsid w:val="17293BE9"/>
    <w:rsid w:val="17410C1A"/>
    <w:rsid w:val="174A36DB"/>
    <w:rsid w:val="17562080"/>
    <w:rsid w:val="178B587A"/>
    <w:rsid w:val="17BE151B"/>
    <w:rsid w:val="17D176C5"/>
    <w:rsid w:val="17D84550"/>
    <w:rsid w:val="17F36DBE"/>
    <w:rsid w:val="17F6065E"/>
    <w:rsid w:val="180D387D"/>
    <w:rsid w:val="182E4312"/>
    <w:rsid w:val="184620F4"/>
    <w:rsid w:val="18745FF9"/>
    <w:rsid w:val="187C2C80"/>
    <w:rsid w:val="188C10F0"/>
    <w:rsid w:val="18AB3604"/>
    <w:rsid w:val="18BA03EC"/>
    <w:rsid w:val="18E73009"/>
    <w:rsid w:val="18EC0BA6"/>
    <w:rsid w:val="18EF0398"/>
    <w:rsid w:val="18F45489"/>
    <w:rsid w:val="19320B6C"/>
    <w:rsid w:val="194E1E5F"/>
    <w:rsid w:val="194F322A"/>
    <w:rsid w:val="19557D66"/>
    <w:rsid w:val="196D545F"/>
    <w:rsid w:val="19A41C90"/>
    <w:rsid w:val="19D35C0A"/>
    <w:rsid w:val="19EB66AF"/>
    <w:rsid w:val="19EE47F1"/>
    <w:rsid w:val="19FC1C7A"/>
    <w:rsid w:val="1A4621B2"/>
    <w:rsid w:val="1A91517D"/>
    <w:rsid w:val="1AB44387"/>
    <w:rsid w:val="1AEC74A8"/>
    <w:rsid w:val="1AFF0C45"/>
    <w:rsid w:val="1B04302B"/>
    <w:rsid w:val="1B235A4A"/>
    <w:rsid w:val="1B403722"/>
    <w:rsid w:val="1B416853"/>
    <w:rsid w:val="1B6D26C0"/>
    <w:rsid w:val="1B7A00F1"/>
    <w:rsid w:val="1B882FC0"/>
    <w:rsid w:val="1BCC553F"/>
    <w:rsid w:val="1BD0774E"/>
    <w:rsid w:val="1BD87507"/>
    <w:rsid w:val="1BDA1493"/>
    <w:rsid w:val="1BE923C0"/>
    <w:rsid w:val="1C0819A0"/>
    <w:rsid w:val="1C095559"/>
    <w:rsid w:val="1C233A2F"/>
    <w:rsid w:val="1C322B95"/>
    <w:rsid w:val="1C5E2994"/>
    <w:rsid w:val="1C6A4BDF"/>
    <w:rsid w:val="1C7907D7"/>
    <w:rsid w:val="1CA078F9"/>
    <w:rsid w:val="1CB8469A"/>
    <w:rsid w:val="1CB90EB5"/>
    <w:rsid w:val="1CC40DAE"/>
    <w:rsid w:val="1CDE30D2"/>
    <w:rsid w:val="1CED35C9"/>
    <w:rsid w:val="1CFF7686"/>
    <w:rsid w:val="1D0F581A"/>
    <w:rsid w:val="1D85139D"/>
    <w:rsid w:val="1D94164B"/>
    <w:rsid w:val="1DB327E8"/>
    <w:rsid w:val="1DDA3CE9"/>
    <w:rsid w:val="1E227157"/>
    <w:rsid w:val="1E24593E"/>
    <w:rsid w:val="1E4335AC"/>
    <w:rsid w:val="1E436424"/>
    <w:rsid w:val="1E4A11D6"/>
    <w:rsid w:val="1E8326B5"/>
    <w:rsid w:val="1EB962EE"/>
    <w:rsid w:val="1ECC688F"/>
    <w:rsid w:val="1F2E70FF"/>
    <w:rsid w:val="1F366A8E"/>
    <w:rsid w:val="1F391387"/>
    <w:rsid w:val="1F410946"/>
    <w:rsid w:val="1F4D39BD"/>
    <w:rsid w:val="1F5F5706"/>
    <w:rsid w:val="1F742BF1"/>
    <w:rsid w:val="1F867F77"/>
    <w:rsid w:val="1F8C1A51"/>
    <w:rsid w:val="1FA6679B"/>
    <w:rsid w:val="1FAD4A1C"/>
    <w:rsid w:val="1FC55FF4"/>
    <w:rsid w:val="1FD77AD6"/>
    <w:rsid w:val="200C7A6E"/>
    <w:rsid w:val="20100466"/>
    <w:rsid w:val="20274590"/>
    <w:rsid w:val="202B57B4"/>
    <w:rsid w:val="202E34AE"/>
    <w:rsid w:val="20521A45"/>
    <w:rsid w:val="2062368F"/>
    <w:rsid w:val="209B773E"/>
    <w:rsid w:val="20BE11AA"/>
    <w:rsid w:val="20E02279"/>
    <w:rsid w:val="20FA5D5B"/>
    <w:rsid w:val="20FD1155"/>
    <w:rsid w:val="210D31F6"/>
    <w:rsid w:val="21527A1A"/>
    <w:rsid w:val="21604012"/>
    <w:rsid w:val="216E5525"/>
    <w:rsid w:val="217E2252"/>
    <w:rsid w:val="2180235E"/>
    <w:rsid w:val="21827BD6"/>
    <w:rsid w:val="21B25DC1"/>
    <w:rsid w:val="21B35617"/>
    <w:rsid w:val="222D4533"/>
    <w:rsid w:val="223962DC"/>
    <w:rsid w:val="22811FA5"/>
    <w:rsid w:val="22B43917"/>
    <w:rsid w:val="22B802E3"/>
    <w:rsid w:val="22D46BF4"/>
    <w:rsid w:val="22E8552E"/>
    <w:rsid w:val="230D1610"/>
    <w:rsid w:val="230D2EC6"/>
    <w:rsid w:val="23282BCB"/>
    <w:rsid w:val="232C484C"/>
    <w:rsid w:val="23423930"/>
    <w:rsid w:val="23557947"/>
    <w:rsid w:val="23581DF3"/>
    <w:rsid w:val="23F41EBE"/>
    <w:rsid w:val="23F8626D"/>
    <w:rsid w:val="242F0091"/>
    <w:rsid w:val="2432352D"/>
    <w:rsid w:val="243E1982"/>
    <w:rsid w:val="24526181"/>
    <w:rsid w:val="246819E7"/>
    <w:rsid w:val="246D27B7"/>
    <w:rsid w:val="248C2514"/>
    <w:rsid w:val="24AA646F"/>
    <w:rsid w:val="24BF5EBE"/>
    <w:rsid w:val="24D300EC"/>
    <w:rsid w:val="24D959A8"/>
    <w:rsid w:val="2552160B"/>
    <w:rsid w:val="2570277B"/>
    <w:rsid w:val="25774941"/>
    <w:rsid w:val="25816B16"/>
    <w:rsid w:val="25910351"/>
    <w:rsid w:val="25D73CA2"/>
    <w:rsid w:val="25F43BEF"/>
    <w:rsid w:val="2628454D"/>
    <w:rsid w:val="263C730B"/>
    <w:rsid w:val="26482F4E"/>
    <w:rsid w:val="265745B4"/>
    <w:rsid w:val="26A21C98"/>
    <w:rsid w:val="27600B42"/>
    <w:rsid w:val="27880180"/>
    <w:rsid w:val="27A6670B"/>
    <w:rsid w:val="27CA25CA"/>
    <w:rsid w:val="27D03788"/>
    <w:rsid w:val="27EB2CFE"/>
    <w:rsid w:val="2831409D"/>
    <w:rsid w:val="28426A13"/>
    <w:rsid w:val="28CE5EBF"/>
    <w:rsid w:val="28D7334D"/>
    <w:rsid w:val="28D80539"/>
    <w:rsid w:val="28D97B12"/>
    <w:rsid w:val="28E11302"/>
    <w:rsid w:val="28E514B5"/>
    <w:rsid w:val="28E612E1"/>
    <w:rsid w:val="28F16948"/>
    <w:rsid w:val="28F6372F"/>
    <w:rsid w:val="29000163"/>
    <w:rsid w:val="29885FC2"/>
    <w:rsid w:val="298A397A"/>
    <w:rsid w:val="29961D73"/>
    <w:rsid w:val="29B02EA8"/>
    <w:rsid w:val="29BF071F"/>
    <w:rsid w:val="29FC39A4"/>
    <w:rsid w:val="2A3A71CA"/>
    <w:rsid w:val="2A3E3ECE"/>
    <w:rsid w:val="2A4C6938"/>
    <w:rsid w:val="2AD96AC6"/>
    <w:rsid w:val="2AE819BE"/>
    <w:rsid w:val="2B084FE7"/>
    <w:rsid w:val="2B294F45"/>
    <w:rsid w:val="2B2A36A7"/>
    <w:rsid w:val="2B4104F9"/>
    <w:rsid w:val="2B4378ED"/>
    <w:rsid w:val="2B4E385D"/>
    <w:rsid w:val="2B503E80"/>
    <w:rsid w:val="2B653518"/>
    <w:rsid w:val="2B882ECB"/>
    <w:rsid w:val="2BCB1903"/>
    <w:rsid w:val="2C036ACB"/>
    <w:rsid w:val="2C7B6859"/>
    <w:rsid w:val="2C7F39CF"/>
    <w:rsid w:val="2CCA6FF3"/>
    <w:rsid w:val="2CCE4B2D"/>
    <w:rsid w:val="2CD61439"/>
    <w:rsid w:val="2CD63183"/>
    <w:rsid w:val="2CE618B6"/>
    <w:rsid w:val="2CF27452"/>
    <w:rsid w:val="2CF90F10"/>
    <w:rsid w:val="2D5641A7"/>
    <w:rsid w:val="2D91443B"/>
    <w:rsid w:val="2D986F6A"/>
    <w:rsid w:val="2DAD65B2"/>
    <w:rsid w:val="2DD1135E"/>
    <w:rsid w:val="2DF43423"/>
    <w:rsid w:val="2DFE26D1"/>
    <w:rsid w:val="2E026666"/>
    <w:rsid w:val="2E0958FA"/>
    <w:rsid w:val="2E472555"/>
    <w:rsid w:val="2E5300F2"/>
    <w:rsid w:val="2E7A564F"/>
    <w:rsid w:val="2E8C5F2F"/>
    <w:rsid w:val="2E9A7C3C"/>
    <w:rsid w:val="2EB23BE8"/>
    <w:rsid w:val="2ECB483C"/>
    <w:rsid w:val="2F0B30D1"/>
    <w:rsid w:val="2F2A1D28"/>
    <w:rsid w:val="2F2C0D5F"/>
    <w:rsid w:val="2F627468"/>
    <w:rsid w:val="2F703681"/>
    <w:rsid w:val="2F896258"/>
    <w:rsid w:val="2FC20166"/>
    <w:rsid w:val="2FC811E9"/>
    <w:rsid w:val="2FED29FE"/>
    <w:rsid w:val="2FEF58FC"/>
    <w:rsid w:val="2FF43661"/>
    <w:rsid w:val="301975DE"/>
    <w:rsid w:val="302869AA"/>
    <w:rsid w:val="305F7D9F"/>
    <w:rsid w:val="306951C8"/>
    <w:rsid w:val="306A7A51"/>
    <w:rsid w:val="30801FC3"/>
    <w:rsid w:val="309F1B79"/>
    <w:rsid w:val="30A15971"/>
    <w:rsid w:val="30F966FA"/>
    <w:rsid w:val="31087468"/>
    <w:rsid w:val="312D2DC6"/>
    <w:rsid w:val="3141513C"/>
    <w:rsid w:val="315F3077"/>
    <w:rsid w:val="31B41AC8"/>
    <w:rsid w:val="31BC0B24"/>
    <w:rsid w:val="31C36066"/>
    <w:rsid w:val="31C75AE2"/>
    <w:rsid w:val="31E1512C"/>
    <w:rsid w:val="31E3055C"/>
    <w:rsid w:val="31FC7390"/>
    <w:rsid w:val="32466E2D"/>
    <w:rsid w:val="325463C0"/>
    <w:rsid w:val="32695069"/>
    <w:rsid w:val="32737B32"/>
    <w:rsid w:val="327C3161"/>
    <w:rsid w:val="32804BB2"/>
    <w:rsid w:val="329456C3"/>
    <w:rsid w:val="32950891"/>
    <w:rsid w:val="32CB0476"/>
    <w:rsid w:val="32DE46AD"/>
    <w:rsid w:val="330A1058"/>
    <w:rsid w:val="332B33A2"/>
    <w:rsid w:val="333938F8"/>
    <w:rsid w:val="333C7E1F"/>
    <w:rsid w:val="3345642D"/>
    <w:rsid w:val="3354019F"/>
    <w:rsid w:val="33623B58"/>
    <w:rsid w:val="33752ADF"/>
    <w:rsid w:val="339E453D"/>
    <w:rsid w:val="33BA5593"/>
    <w:rsid w:val="3442264B"/>
    <w:rsid w:val="34515C51"/>
    <w:rsid w:val="345B3A89"/>
    <w:rsid w:val="34A075E3"/>
    <w:rsid w:val="34BA5F8F"/>
    <w:rsid w:val="34C06354"/>
    <w:rsid w:val="34C94CB4"/>
    <w:rsid w:val="350B6723"/>
    <w:rsid w:val="350E4625"/>
    <w:rsid w:val="35211C66"/>
    <w:rsid w:val="35356F2F"/>
    <w:rsid w:val="353D346F"/>
    <w:rsid w:val="35632FD2"/>
    <w:rsid w:val="35697E1E"/>
    <w:rsid w:val="359B5393"/>
    <w:rsid w:val="35AB3CFF"/>
    <w:rsid w:val="35AD60C6"/>
    <w:rsid w:val="35B37857"/>
    <w:rsid w:val="35CC3B03"/>
    <w:rsid w:val="35D2129A"/>
    <w:rsid w:val="35E26ECA"/>
    <w:rsid w:val="360A3758"/>
    <w:rsid w:val="36136935"/>
    <w:rsid w:val="36403711"/>
    <w:rsid w:val="364C1467"/>
    <w:rsid w:val="367A26EC"/>
    <w:rsid w:val="367C4AF0"/>
    <w:rsid w:val="36D609D2"/>
    <w:rsid w:val="37152F66"/>
    <w:rsid w:val="371A5AF4"/>
    <w:rsid w:val="37266088"/>
    <w:rsid w:val="37437AD4"/>
    <w:rsid w:val="37572F7A"/>
    <w:rsid w:val="377152A6"/>
    <w:rsid w:val="377B7071"/>
    <w:rsid w:val="37826B7D"/>
    <w:rsid w:val="378C6A73"/>
    <w:rsid w:val="379068F3"/>
    <w:rsid w:val="37956A47"/>
    <w:rsid w:val="3796742C"/>
    <w:rsid w:val="37E40B8A"/>
    <w:rsid w:val="380729E5"/>
    <w:rsid w:val="382316B2"/>
    <w:rsid w:val="38233809"/>
    <w:rsid w:val="383C09C6"/>
    <w:rsid w:val="388D4D7E"/>
    <w:rsid w:val="389D6795"/>
    <w:rsid w:val="38AC2AB4"/>
    <w:rsid w:val="3951224F"/>
    <w:rsid w:val="395D0885"/>
    <w:rsid w:val="39642284"/>
    <w:rsid w:val="397A7FA5"/>
    <w:rsid w:val="398B5761"/>
    <w:rsid w:val="399D04AA"/>
    <w:rsid w:val="39DB268E"/>
    <w:rsid w:val="39FD64AB"/>
    <w:rsid w:val="3A023AA5"/>
    <w:rsid w:val="3A0618DE"/>
    <w:rsid w:val="3A0A20CA"/>
    <w:rsid w:val="3A1F1123"/>
    <w:rsid w:val="3A21005E"/>
    <w:rsid w:val="3A701BAB"/>
    <w:rsid w:val="3A803410"/>
    <w:rsid w:val="3AAB3A8D"/>
    <w:rsid w:val="3ACA12A4"/>
    <w:rsid w:val="3ADB10DB"/>
    <w:rsid w:val="3ADE7B13"/>
    <w:rsid w:val="3B063AE5"/>
    <w:rsid w:val="3B116D6C"/>
    <w:rsid w:val="3B1C5C89"/>
    <w:rsid w:val="3B443802"/>
    <w:rsid w:val="3B4D6583"/>
    <w:rsid w:val="3BB30605"/>
    <w:rsid w:val="3BD70E61"/>
    <w:rsid w:val="3BD77A63"/>
    <w:rsid w:val="3C2B2403"/>
    <w:rsid w:val="3C5759DE"/>
    <w:rsid w:val="3CA86F1D"/>
    <w:rsid w:val="3CC66DC5"/>
    <w:rsid w:val="3CD30B21"/>
    <w:rsid w:val="3CF0088C"/>
    <w:rsid w:val="3CFB3DBD"/>
    <w:rsid w:val="3D275044"/>
    <w:rsid w:val="3D3C5830"/>
    <w:rsid w:val="3DAE41FE"/>
    <w:rsid w:val="3DC810EA"/>
    <w:rsid w:val="3DCE3270"/>
    <w:rsid w:val="3DDF607B"/>
    <w:rsid w:val="3DE74F30"/>
    <w:rsid w:val="3E00236F"/>
    <w:rsid w:val="3E564522"/>
    <w:rsid w:val="3E71351B"/>
    <w:rsid w:val="3E9C21BE"/>
    <w:rsid w:val="3E9D06AA"/>
    <w:rsid w:val="3EA009F2"/>
    <w:rsid w:val="3EA0250D"/>
    <w:rsid w:val="3EF772C1"/>
    <w:rsid w:val="3F383797"/>
    <w:rsid w:val="3F615B53"/>
    <w:rsid w:val="3F663864"/>
    <w:rsid w:val="3F9C3304"/>
    <w:rsid w:val="3FBF2A3A"/>
    <w:rsid w:val="3FC90D91"/>
    <w:rsid w:val="40035191"/>
    <w:rsid w:val="403C5E37"/>
    <w:rsid w:val="404D4928"/>
    <w:rsid w:val="40534429"/>
    <w:rsid w:val="40754CDE"/>
    <w:rsid w:val="407F0314"/>
    <w:rsid w:val="40BE466E"/>
    <w:rsid w:val="40C15C83"/>
    <w:rsid w:val="41801923"/>
    <w:rsid w:val="41983493"/>
    <w:rsid w:val="41CB4852"/>
    <w:rsid w:val="41D37CA5"/>
    <w:rsid w:val="41E8453E"/>
    <w:rsid w:val="420F638D"/>
    <w:rsid w:val="424F119B"/>
    <w:rsid w:val="4251696F"/>
    <w:rsid w:val="426A355B"/>
    <w:rsid w:val="4299016F"/>
    <w:rsid w:val="42CB1914"/>
    <w:rsid w:val="42D455FF"/>
    <w:rsid w:val="434134C6"/>
    <w:rsid w:val="43454BD3"/>
    <w:rsid w:val="43714522"/>
    <w:rsid w:val="43B84329"/>
    <w:rsid w:val="43CB0EA4"/>
    <w:rsid w:val="43F73B07"/>
    <w:rsid w:val="441F174E"/>
    <w:rsid w:val="443963A2"/>
    <w:rsid w:val="447D2DED"/>
    <w:rsid w:val="448D2BA2"/>
    <w:rsid w:val="44BE2B89"/>
    <w:rsid w:val="44CD1324"/>
    <w:rsid w:val="4576288F"/>
    <w:rsid w:val="45766455"/>
    <w:rsid w:val="459024BF"/>
    <w:rsid w:val="459D384A"/>
    <w:rsid w:val="45A26DA1"/>
    <w:rsid w:val="45AF3F95"/>
    <w:rsid w:val="45BE25A0"/>
    <w:rsid w:val="460E0E5E"/>
    <w:rsid w:val="4685793F"/>
    <w:rsid w:val="46F304D1"/>
    <w:rsid w:val="471C20EE"/>
    <w:rsid w:val="47395DE1"/>
    <w:rsid w:val="477737C9"/>
    <w:rsid w:val="479C6669"/>
    <w:rsid w:val="4817069F"/>
    <w:rsid w:val="4819506D"/>
    <w:rsid w:val="484E2F1A"/>
    <w:rsid w:val="485B0D02"/>
    <w:rsid w:val="48630FF9"/>
    <w:rsid w:val="4864127B"/>
    <w:rsid w:val="486F1E32"/>
    <w:rsid w:val="48D3633E"/>
    <w:rsid w:val="49234632"/>
    <w:rsid w:val="49287F86"/>
    <w:rsid w:val="493C47B2"/>
    <w:rsid w:val="495C6053"/>
    <w:rsid w:val="49736503"/>
    <w:rsid w:val="49792611"/>
    <w:rsid w:val="49802FF3"/>
    <w:rsid w:val="49DA388C"/>
    <w:rsid w:val="4A053470"/>
    <w:rsid w:val="4A064F94"/>
    <w:rsid w:val="4A0E32AA"/>
    <w:rsid w:val="4A185A1D"/>
    <w:rsid w:val="4A7D01CA"/>
    <w:rsid w:val="4AB16BC2"/>
    <w:rsid w:val="4AB1781B"/>
    <w:rsid w:val="4ABB65DC"/>
    <w:rsid w:val="4B703E84"/>
    <w:rsid w:val="4B705F0C"/>
    <w:rsid w:val="4B7122DD"/>
    <w:rsid w:val="4BA17322"/>
    <w:rsid w:val="4BBB2839"/>
    <w:rsid w:val="4BE62CCB"/>
    <w:rsid w:val="4C1074AB"/>
    <w:rsid w:val="4C1D4CD9"/>
    <w:rsid w:val="4C260A4D"/>
    <w:rsid w:val="4C2C67E0"/>
    <w:rsid w:val="4C355597"/>
    <w:rsid w:val="4C787DC7"/>
    <w:rsid w:val="4CAA71E5"/>
    <w:rsid w:val="4CB254F8"/>
    <w:rsid w:val="4CBF7AF9"/>
    <w:rsid w:val="4CF33B11"/>
    <w:rsid w:val="4D034A1E"/>
    <w:rsid w:val="4D16601E"/>
    <w:rsid w:val="4D2D39DE"/>
    <w:rsid w:val="4D307045"/>
    <w:rsid w:val="4D3E01B2"/>
    <w:rsid w:val="4D5F0F87"/>
    <w:rsid w:val="4D69650A"/>
    <w:rsid w:val="4D6A15C3"/>
    <w:rsid w:val="4D8353A1"/>
    <w:rsid w:val="4D9877DD"/>
    <w:rsid w:val="4D9A7AB3"/>
    <w:rsid w:val="4DC506E5"/>
    <w:rsid w:val="4DC5220B"/>
    <w:rsid w:val="4DDA060D"/>
    <w:rsid w:val="4DF12D41"/>
    <w:rsid w:val="4E0367B3"/>
    <w:rsid w:val="4E124DFC"/>
    <w:rsid w:val="4E37780E"/>
    <w:rsid w:val="4E514B71"/>
    <w:rsid w:val="4E660F81"/>
    <w:rsid w:val="4E684632"/>
    <w:rsid w:val="4E7E5566"/>
    <w:rsid w:val="4E7F5B96"/>
    <w:rsid w:val="4EE23686"/>
    <w:rsid w:val="4EF54A80"/>
    <w:rsid w:val="4F033B06"/>
    <w:rsid w:val="4F0C44EC"/>
    <w:rsid w:val="4F8C2C3A"/>
    <w:rsid w:val="4FB337A8"/>
    <w:rsid w:val="5010374F"/>
    <w:rsid w:val="50190984"/>
    <w:rsid w:val="501A61F6"/>
    <w:rsid w:val="50207143"/>
    <w:rsid w:val="50463BC3"/>
    <w:rsid w:val="50563E44"/>
    <w:rsid w:val="505B4D7B"/>
    <w:rsid w:val="50BA2EA0"/>
    <w:rsid w:val="50C96B00"/>
    <w:rsid w:val="50FB5576"/>
    <w:rsid w:val="51220612"/>
    <w:rsid w:val="513548B1"/>
    <w:rsid w:val="513F5914"/>
    <w:rsid w:val="51666D1B"/>
    <w:rsid w:val="51681899"/>
    <w:rsid w:val="51AD0B6C"/>
    <w:rsid w:val="51AE7DE7"/>
    <w:rsid w:val="51D701A3"/>
    <w:rsid w:val="52586865"/>
    <w:rsid w:val="52656D29"/>
    <w:rsid w:val="52BE7D73"/>
    <w:rsid w:val="52C21EA1"/>
    <w:rsid w:val="52FB1B32"/>
    <w:rsid w:val="532C3E41"/>
    <w:rsid w:val="532F39B6"/>
    <w:rsid w:val="53595CA7"/>
    <w:rsid w:val="535C47DD"/>
    <w:rsid w:val="53631EFC"/>
    <w:rsid w:val="53715FB4"/>
    <w:rsid w:val="537840EC"/>
    <w:rsid w:val="539E6EEF"/>
    <w:rsid w:val="53AA2BCF"/>
    <w:rsid w:val="53AB3ED4"/>
    <w:rsid w:val="53FF6D6E"/>
    <w:rsid w:val="54101961"/>
    <w:rsid w:val="54145493"/>
    <w:rsid w:val="54214546"/>
    <w:rsid w:val="54296607"/>
    <w:rsid w:val="546311F5"/>
    <w:rsid w:val="54AE27FC"/>
    <w:rsid w:val="54B13782"/>
    <w:rsid w:val="54CA03C7"/>
    <w:rsid w:val="550F75E9"/>
    <w:rsid w:val="551F7932"/>
    <w:rsid w:val="554E2A6B"/>
    <w:rsid w:val="55560E97"/>
    <w:rsid w:val="55CB6217"/>
    <w:rsid w:val="55DE0971"/>
    <w:rsid w:val="56961C86"/>
    <w:rsid w:val="56B52F3D"/>
    <w:rsid w:val="56C84241"/>
    <w:rsid w:val="56E31D66"/>
    <w:rsid w:val="56E73386"/>
    <w:rsid w:val="56F4689F"/>
    <w:rsid w:val="571C4A56"/>
    <w:rsid w:val="574625F1"/>
    <w:rsid w:val="57635968"/>
    <w:rsid w:val="57AA218B"/>
    <w:rsid w:val="57B123DF"/>
    <w:rsid w:val="57C532FC"/>
    <w:rsid w:val="57E44562"/>
    <w:rsid w:val="581035A9"/>
    <w:rsid w:val="581738BA"/>
    <w:rsid w:val="58214023"/>
    <w:rsid w:val="583730A2"/>
    <w:rsid w:val="584D58F6"/>
    <w:rsid w:val="584E6AF9"/>
    <w:rsid w:val="585E3C4C"/>
    <w:rsid w:val="58922D5A"/>
    <w:rsid w:val="58C65EC0"/>
    <w:rsid w:val="58CC0D57"/>
    <w:rsid w:val="58CC36DE"/>
    <w:rsid w:val="58D57B41"/>
    <w:rsid w:val="58DC348C"/>
    <w:rsid w:val="595417E2"/>
    <w:rsid w:val="597730F2"/>
    <w:rsid w:val="599762A2"/>
    <w:rsid w:val="59A40654"/>
    <w:rsid w:val="5A036613"/>
    <w:rsid w:val="5A344A5D"/>
    <w:rsid w:val="5A450CB5"/>
    <w:rsid w:val="5A5E7E09"/>
    <w:rsid w:val="5A722EE5"/>
    <w:rsid w:val="5A980ECA"/>
    <w:rsid w:val="5AEB5017"/>
    <w:rsid w:val="5AEF2DFF"/>
    <w:rsid w:val="5B1F5E39"/>
    <w:rsid w:val="5B6D0D13"/>
    <w:rsid w:val="5B7C4AB2"/>
    <w:rsid w:val="5B964D75"/>
    <w:rsid w:val="5BCF6AA1"/>
    <w:rsid w:val="5BF06778"/>
    <w:rsid w:val="5BFF74C4"/>
    <w:rsid w:val="5C0D64F5"/>
    <w:rsid w:val="5C2951BD"/>
    <w:rsid w:val="5C2B04D4"/>
    <w:rsid w:val="5C393460"/>
    <w:rsid w:val="5C3D1908"/>
    <w:rsid w:val="5C52593F"/>
    <w:rsid w:val="5C710813"/>
    <w:rsid w:val="5C896803"/>
    <w:rsid w:val="5CB62694"/>
    <w:rsid w:val="5CC717DB"/>
    <w:rsid w:val="5CEF2E3E"/>
    <w:rsid w:val="5D177188"/>
    <w:rsid w:val="5D1F31B5"/>
    <w:rsid w:val="5D4869BE"/>
    <w:rsid w:val="5D833C1D"/>
    <w:rsid w:val="5DA8657F"/>
    <w:rsid w:val="5DAB2583"/>
    <w:rsid w:val="5DBC319B"/>
    <w:rsid w:val="5DD2614B"/>
    <w:rsid w:val="5DEA36AD"/>
    <w:rsid w:val="5E1A7C6C"/>
    <w:rsid w:val="5E4D2736"/>
    <w:rsid w:val="5EB47BC3"/>
    <w:rsid w:val="5EBA7087"/>
    <w:rsid w:val="5EC10BFA"/>
    <w:rsid w:val="5ED16C50"/>
    <w:rsid w:val="5EF01A3F"/>
    <w:rsid w:val="5EF157B7"/>
    <w:rsid w:val="5F122E30"/>
    <w:rsid w:val="5F435C98"/>
    <w:rsid w:val="5F4F0F88"/>
    <w:rsid w:val="5F66080B"/>
    <w:rsid w:val="5F963CBA"/>
    <w:rsid w:val="5FA4485D"/>
    <w:rsid w:val="5FCD3725"/>
    <w:rsid w:val="5FF92B75"/>
    <w:rsid w:val="600177AC"/>
    <w:rsid w:val="601E60F5"/>
    <w:rsid w:val="60333130"/>
    <w:rsid w:val="60570574"/>
    <w:rsid w:val="606354BF"/>
    <w:rsid w:val="60AC408B"/>
    <w:rsid w:val="60FB291D"/>
    <w:rsid w:val="611F1AB8"/>
    <w:rsid w:val="614E4AFE"/>
    <w:rsid w:val="615D25F1"/>
    <w:rsid w:val="617A3E9F"/>
    <w:rsid w:val="618B00CC"/>
    <w:rsid w:val="61C2693C"/>
    <w:rsid w:val="61D00D46"/>
    <w:rsid w:val="61D11C17"/>
    <w:rsid w:val="61D402E7"/>
    <w:rsid w:val="61F3071F"/>
    <w:rsid w:val="61FA078C"/>
    <w:rsid w:val="621F321C"/>
    <w:rsid w:val="623B765E"/>
    <w:rsid w:val="62510FA8"/>
    <w:rsid w:val="625E3163"/>
    <w:rsid w:val="62727775"/>
    <w:rsid w:val="627347A8"/>
    <w:rsid w:val="627B2053"/>
    <w:rsid w:val="62AA26FC"/>
    <w:rsid w:val="62D13FB9"/>
    <w:rsid w:val="62ED00F9"/>
    <w:rsid w:val="635D1949"/>
    <w:rsid w:val="638D5600"/>
    <w:rsid w:val="63C56299"/>
    <w:rsid w:val="63F6448F"/>
    <w:rsid w:val="63F801DF"/>
    <w:rsid w:val="640F30BE"/>
    <w:rsid w:val="642672F2"/>
    <w:rsid w:val="645D0BD9"/>
    <w:rsid w:val="6470642E"/>
    <w:rsid w:val="649A120C"/>
    <w:rsid w:val="649E3CC7"/>
    <w:rsid w:val="64BB6EED"/>
    <w:rsid w:val="64C228DE"/>
    <w:rsid w:val="64D5468F"/>
    <w:rsid w:val="64E2758F"/>
    <w:rsid w:val="650A6EA2"/>
    <w:rsid w:val="651B40F7"/>
    <w:rsid w:val="652A555C"/>
    <w:rsid w:val="65585A02"/>
    <w:rsid w:val="659657A0"/>
    <w:rsid w:val="65B10AE1"/>
    <w:rsid w:val="65B3664E"/>
    <w:rsid w:val="65DE3605"/>
    <w:rsid w:val="66087876"/>
    <w:rsid w:val="662B0176"/>
    <w:rsid w:val="66373779"/>
    <w:rsid w:val="66AA1C4B"/>
    <w:rsid w:val="66C93EF8"/>
    <w:rsid w:val="66D93280"/>
    <w:rsid w:val="67024D8A"/>
    <w:rsid w:val="67132F90"/>
    <w:rsid w:val="67233E21"/>
    <w:rsid w:val="67274DFC"/>
    <w:rsid w:val="67544551"/>
    <w:rsid w:val="675B6FDC"/>
    <w:rsid w:val="67775F09"/>
    <w:rsid w:val="67844B3C"/>
    <w:rsid w:val="678B77A1"/>
    <w:rsid w:val="678C01B8"/>
    <w:rsid w:val="679C6C08"/>
    <w:rsid w:val="67A24924"/>
    <w:rsid w:val="67A44F43"/>
    <w:rsid w:val="67B93E1A"/>
    <w:rsid w:val="67CD3905"/>
    <w:rsid w:val="67E40F6C"/>
    <w:rsid w:val="67EC2E40"/>
    <w:rsid w:val="68184B53"/>
    <w:rsid w:val="685077A7"/>
    <w:rsid w:val="689618A9"/>
    <w:rsid w:val="68B972D4"/>
    <w:rsid w:val="68E20F5F"/>
    <w:rsid w:val="692D7111"/>
    <w:rsid w:val="692F7B9E"/>
    <w:rsid w:val="69B453A3"/>
    <w:rsid w:val="69C2180C"/>
    <w:rsid w:val="69E02CA5"/>
    <w:rsid w:val="69FB43AA"/>
    <w:rsid w:val="6A361ED1"/>
    <w:rsid w:val="6A59346D"/>
    <w:rsid w:val="6A8E65B0"/>
    <w:rsid w:val="6ABF04BA"/>
    <w:rsid w:val="6ADA5A63"/>
    <w:rsid w:val="6AE01A85"/>
    <w:rsid w:val="6AF4294C"/>
    <w:rsid w:val="6AF97764"/>
    <w:rsid w:val="6B3C4825"/>
    <w:rsid w:val="6B4E646B"/>
    <w:rsid w:val="6BAE0CB8"/>
    <w:rsid w:val="6BE14AE0"/>
    <w:rsid w:val="6C0541A2"/>
    <w:rsid w:val="6C3267F7"/>
    <w:rsid w:val="6C4C56DA"/>
    <w:rsid w:val="6C6350B7"/>
    <w:rsid w:val="6C723977"/>
    <w:rsid w:val="6C7A3290"/>
    <w:rsid w:val="6C7E5F23"/>
    <w:rsid w:val="6CA63FF5"/>
    <w:rsid w:val="6CF3094C"/>
    <w:rsid w:val="6D353333"/>
    <w:rsid w:val="6D6C515F"/>
    <w:rsid w:val="6DA34CE5"/>
    <w:rsid w:val="6DA530BA"/>
    <w:rsid w:val="6DC1453F"/>
    <w:rsid w:val="6DDA593E"/>
    <w:rsid w:val="6DEE7F1C"/>
    <w:rsid w:val="6E0919B6"/>
    <w:rsid w:val="6E2033E7"/>
    <w:rsid w:val="6E9A7830"/>
    <w:rsid w:val="6EDB76A3"/>
    <w:rsid w:val="6F1572A0"/>
    <w:rsid w:val="6F1A14BB"/>
    <w:rsid w:val="6F311FE8"/>
    <w:rsid w:val="6F331B8F"/>
    <w:rsid w:val="6F4758C3"/>
    <w:rsid w:val="6F48697E"/>
    <w:rsid w:val="6F6A5C46"/>
    <w:rsid w:val="6F971E5B"/>
    <w:rsid w:val="6FEE4544"/>
    <w:rsid w:val="700272B9"/>
    <w:rsid w:val="70036781"/>
    <w:rsid w:val="702B3780"/>
    <w:rsid w:val="702F0098"/>
    <w:rsid w:val="70323CAF"/>
    <w:rsid w:val="70473489"/>
    <w:rsid w:val="70546330"/>
    <w:rsid w:val="705604C3"/>
    <w:rsid w:val="707A05CF"/>
    <w:rsid w:val="707F2C23"/>
    <w:rsid w:val="70C95174"/>
    <w:rsid w:val="70D3219F"/>
    <w:rsid w:val="70D35CA6"/>
    <w:rsid w:val="70D76F58"/>
    <w:rsid w:val="70E000EC"/>
    <w:rsid w:val="71124E63"/>
    <w:rsid w:val="711D0378"/>
    <w:rsid w:val="71365D4B"/>
    <w:rsid w:val="714350F3"/>
    <w:rsid w:val="714C4A83"/>
    <w:rsid w:val="715F4991"/>
    <w:rsid w:val="71831E1E"/>
    <w:rsid w:val="718B018D"/>
    <w:rsid w:val="718E20C1"/>
    <w:rsid w:val="71AE502E"/>
    <w:rsid w:val="71C84869"/>
    <w:rsid w:val="71CE7243"/>
    <w:rsid w:val="71D7391A"/>
    <w:rsid w:val="71DC465F"/>
    <w:rsid w:val="723101D3"/>
    <w:rsid w:val="7231619E"/>
    <w:rsid w:val="72327623"/>
    <w:rsid w:val="724233AB"/>
    <w:rsid w:val="724B6171"/>
    <w:rsid w:val="72583B0D"/>
    <w:rsid w:val="726C367A"/>
    <w:rsid w:val="7279559E"/>
    <w:rsid w:val="72876614"/>
    <w:rsid w:val="72AD20B4"/>
    <w:rsid w:val="72F25EDA"/>
    <w:rsid w:val="72F511AD"/>
    <w:rsid w:val="72F91735"/>
    <w:rsid w:val="72FB1F86"/>
    <w:rsid w:val="732F5A65"/>
    <w:rsid w:val="735B7962"/>
    <w:rsid w:val="736C797D"/>
    <w:rsid w:val="737C125D"/>
    <w:rsid w:val="738430FF"/>
    <w:rsid w:val="73852C46"/>
    <w:rsid w:val="73D040F9"/>
    <w:rsid w:val="73D42FEB"/>
    <w:rsid w:val="73E4092D"/>
    <w:rsid w:val="73E96194"/>
    <w:rsid w:val="73EA2623"/>
    <w:rsid w:val="73FC4004"/>
    <w:rsid w:val="741975CB"/>
    <w:rsid w:val="74516EE2"/>
    <w:rsid w:val="745600B6"/>
    <w:rsid w:val="74943856"/>
    <w:rsid w:val="74946A8E"/>
    <w:rsid w:val="74982505"/>
    <w:rsid w:val="74D847C7"/>
    <w:rsid w:val="74D93185"/>
    <w:rsid w:val="75127D94"/>
    <w:rsid w:val="751B7567"/>
    <w:rsid w:val="75425D93"/>
    <w:rsid w:val="75783EBF"/>
    <w:rsid w:val="75933945"/>
    <w:rsid w:val="75D86E2D"/>
    <w:rsid w:val="75DF1065"/>
    <w:rsid w:val="75E50BC3"/>
    <w:rsid w:val="75E9330B"/>
    <w:rsid w:val="762D1373"/>
    <w:rsid w:val="763D7808"/>
    <w:rsid w:val="763E70DC"/>
    <w:rsid w:val="765B321F"/>
    <w:rsid w:val="76867EB7"/>
    <w:rsid w:val="769F0BB6"/>
    <w:rsid w:val="76C21265"/>
    <w:rsid w:val="76C660B6"/>
    <w:rsid w:val="77154C42"/>
    <w:rsid w:val="77435F1B"/>
    <w:rsid w:val="77680FD9"/>
    <w:rsid w:val="778C5026"/>
    <w:rsid w:val="779D6E8E"/>
    <w:rsid w:val="77B77146"/>
    <w:rsid w:val="77C11D73"/>
    <w:rsid w:val="77E3445E"/>
    <w:rsid w:val="78006D46"/>
    <w:rsid w:val="780D2C73"/>
    <w:rsid w:val="787620B1"/>
    <w:rsid w:val="78781CE8"/>
    <w:rsid w:val="787B0173"/>
    <w:rsid w:val="788E6993"/>
    <w:rsid w:val="789C42D1"/>
    <w:rsid w:val="78D12A4D"/>
    <w:rsid w:val="78E42DA9"/>
    <w:rsid w:val="790E2E09"/>
    <w:rsid w:val="791448AF"/>
    <w:rsid w:val="7924591F"/>
    <w:rsid w:val="793151ED"/>
    <w:rsid w:val="79354A26"/>
    <w:rsid w:val="794C48AA"/>
    <w:rsid w:val="795A56A5"/>
    <w:rsid w:val="79661E30"/>
    <w:rsid w:val="798578AE"/>
    <w:rsid w:val="79B87723"/>
    <w:rsid w:val="79C505D8"/>
    <w:rsid w:val="7A2063DF"/>
    <w:rsid w:val="7A2860D9"/>
    <w:rsid w:val="7A4E3666"/>
    <w:rsid w:val="7A601B78"/>
    <w:rsid w:val="7AA3594B"/>
    <w:rsid w:val="7AAD5F02"/>
    <w:rsid w:val="7AB77575"/>
    <w:rsid w:val="7ADE0B1F"/>
    <w:rsid w:val="7AFA7B89"/>
    <w:rsid w:val="7B1D5512"/>
    <w:rsid w:val="7B2B6206"/>
    <w:rsid w:val="7B687984"/>
    <w:rsid w:val="7B696CB9"/>
    <w:rsid w:val="7B772FD6"/>
    <w:rsid w:val="7B774DF6"/>
    <w:rsid w:val="7BAE507F"/>
    <w:rsid w:val="7BBA336D"/>
    <w:rsid w:val="7BD65DFD"/>
    <w:rsid w:val="7C0E24DF"/>
    <w:rsid w:val="7C160F60"/>
    <w:rsid w:val="7C322D6C"/>
    <w:rsid w:val="7C514C8F"/>
    <w:rsid w:val="7C6158D2"/>
    <w:rsid w:val="7C924F5C"/>
    <w:rsid w:val="7CDA6C7F"/>
    <w:rsid w:val="7CE71CE8"/>
    <w:rsid w:val="7D3950B2"/>
    <w:rsid w:val="7D4B339D"/>
    <w:rsid w:val="7D737512"/>
    <w:rsid w:val="7D8A7CC3"/>
    <w:rsid w:val="7DF1153C"/>
    <w:rsid w:val="7DF5703E"/>
    <w:rsid w:val="7DF80EF1"/>
    <w:rsid w:val="7DF81F7A"/>
    <w:rsid w:val="7E0B57DE"/>
    <w:rsid w:val="7E1868BA"/>
    <w:rsid w:val="7E2261C2"/>
    <w:rsid w:val="7E2677BD"/>
    <w:rsid w:val="7E442EEE"/>
    <w:rsid w:val="7E4E5335"/>
    <w:rsid w:val="7EA101C9"/>
    <w:rsid w:val="7EA85A3A"/>
    <w:rsid w:val="7EB40DB1"/>
    <w:rsid w:val="7F112E31"/>
    <w:rsid w:val="7F164F2F"/>
    <w:rsid w:val="7F3A02EC"/>
    <w:rsid w:val="7F611044"/>
    <w:rsid w:val="7F63043A"/>
    <w:rsid w:val="7F9D4E73"/>
    <w:rsid w:val="7FA10B60"/>
    <w:rsid w:val="7FA5654B"/>
    <w:rsid w:val="7FA91B17"/>
    <w:rsid w:val="7FD12F83"/>
    <w:rsid w:val="7FD8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link w:val="17"/>
    <w:qFormat/>
    <w:uiPriority w:val="0"/>
    <w:pPr>
      <w:spacing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2">
    <w:name w:val="Emphasis"/>
    <w:basedOn w:val="10"/>
    <w:qFormat/>
    <w:uiPriority w:val="20"/>
  </w:style>
  <w:style w:type="character" w:styleId="13">
    <w:name w:val="Hyperlink"/>
    <w:basedOn w:val="10"/>
    <w:semiHidden/>
    <w:unhideWhenUsed/>
    <w:qFormat/>
    <w:uiPriority w:val="99"/>
    <w:rPr>
      <w:color w:val="000000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缩进 2 Char"/>
    <w:basedOn w:val="10"/>
    <w:link w:val="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8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9">
    <w:name w:val="cur"/>
    <w:basedOn w:val="10"/>
    <w:qFormat/>
    <w:uiPriority w:val="0"/>
    <w:rPr>
      <w:shd w:val="clear" w:color="auto" w:fill="FF0000"/>
    </w:rPr>
  </w:style>
  <w:style w:type="character" w:customStyle="1" w:styleId="20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chart" Target="charts/chart7.xml"/><Relationship Id="rId10" Type="http://schemas.openxmlformats.org/officeDocument/2006/relationships/chart" Target="charts/chart6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C:\Users\Administrator\Desktop\&#32479;&#35745;&#24180;&#37492;&#65288;PDF&#26684;&#24335;&#65289;\2024&#24180;&#37492;&#30456;&#20851;&#25968;&#25454;\&#32479;&#35745;&#20844;&#25253;&#22270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1   2020-2024</a:t>
            </a:r>
            <a:r>
              <a:rPr altLang="en-US"/>
              <a:t>年地区生产总值及其增长速度</a:t>
            </a:r>
            <a:r>
              <a:rPr lang="en-US" altLang="zh-CN"/>
              <a:t>  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[统计公报图表.xlsx]Sheet1!$D$5</c:f>
              <c:strCache>
                <c:ptCount val="1"/>
                <c:pt idx="0">
                  <c:v>地区生产总值（万元）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[统计公报图表.xlsx]Sheet1!$C$6:$C$10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[统计公报图表.xlsx]Sheet1!$D$6:$D$10</c:f>
              <c:numCache>
                <c:formatCode>General</c:formatCode>
                <c:ptCount val="5"/>
                <c:pt idx="0">
                  <c:v>599707</c:v>
                </c:pt>
                <c:pt idx="1">
                  <c:v>589930</c:v>
                </c:pt>
                <c:pt idx="2">
                  <c:v>613360</c:v>
                </c:pt>
                <c:pt idx="3">
                  <c:v>610257</c:v>
                </c:pt>
                <c:pt idx="4">
                  <c:v>646739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2602240"/>
        <c:axId val="82608128"/>
      </c:barChart>
      <c:lineChart>
        <c:grouping val="standard"/>
        <c:varyColors val="0"/>
        <c:ser>
          <c:idx val="1"/>
          <c:order val="1"/>
          <c:tx>
            <c:strRef>
              <c:f>[统计公报图表.xlsx]Sheet1!$E$5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[统计公报图表.xlsx]Sheet1!$C$6:$C$10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[统计公报图表.xlsx]Sheet1!$E$6:$E$10</c:f>
              <c:numCache>
                <c:formatCode>General</c:formatCode>
                <c:ptCount val="5"/>
                <c:pt idx="0">
                  <c:v>1.9</c:v>
                </c:pt>
                <c:pt idx="1">
                  <c:v>7.1</c:v>
                </c:pt>
                <c:pt idx="2" c:formatCode="0.0_ ">
                  <c:v>2</c:v>
                </c:pt>
                <c:pt idx="3" c:formatCode="0.0_ ">
                  <c:v>1.6</c:v>
                </c:pt>
                <c:pt idx="4">
                  <c:v>2.5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2767232"/>
        <c:axId val="82601088"/>
      </c:lineChart>
      <c:catAx>
        <c:axId val="8276723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01088"/>
        <c:crosses val="autoZero"/>
        <c:auto val="1"/>
        <c:lblAlgn val="ctr"/>
        <c:lblOffset val="100"/>
        <c:noMultiLvlLbl val="0"/>
      </c:catAx>
      <c:valAx>
        <c:axId val="82601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767232"/>
        <c:crosses val="autoZero"/>
        <c:crossBetween val="between"/>
        <c:majorUnit val="2"/>
      </c:valAx>
      <c:catAx>
        <c:axId val="82602240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08128"/>
        <c:crosses val="autoZero"/>
        <c:auto val="1"/>
        <c:lblAlgn val="ctr"/>
        <c:lblOffset val="100"/>
        <c:noMultiLvlLbl val="0"/>
      </c:catAx>
      <c:valAx>
        <c:axId val="82608128"/>
        <c:scaling>
          <c:orientation val="minMax"/>
          <c:min val="5000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2602240"/>
        <c:crosses val="max"/>
        <c:crossBetween val="between"/>
        <c:majorUnit val="30000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2   2020-2024</a:t>
            </a:r>
            <a:r>
              <a:rPr altLang="en-US"/>
              <a:t>年三次产业增加值占地区生产总值比重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[统计公报图表.xlsx]Sheet1!$D$36</c:f>
              <c:strCache>
                <c:ptCount val="1"/>
                <c:pt idx="0">
                  <c:v>第一产业（%）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[统计公报图表.xlsx]Sheet1!$C$37:$C$41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[统计公报图表.xlsx]Sheet1!$D$37:$D$41</c:f>
              <c:numCache>
                <c:formatCode>General</c:formatCode>
                <c:ptCount val="5"/>
                <c:pt idx="0">
                  <c:v>64.9</c:v>
                </c:pt>
                <c:pt idx="1">
                  <c:v>62.7</c:v>
                </c:pt>
                <c:pt idx="2">
                  <c:v>61.7</c:v>
                </c:pt>
                <c:pt idx="3">
                  <c:v>61.5</c:v>
                </c:pt>
                <c:pt idx="4">
                  <c:v>50.4</c:v>
                </c:pt>
              </c:numCache>
            </c:numRef>
          </c:val>
        </c:ser>
        <c:ser>
          <c:idx val="1"/>
          <c:order val="1"/>
          <c:tx>
            <c:strRef>
              <c:f>[统计公报图表.xlsx]Sheet1!$E$36</c:f>
              <c:strCache>
                <c:ptCount val="1"/>
                <c:pt idx="0">
                  <c:v>第二产业（%）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[统计公报图表.xlsx]Sheet1!$C$37:$C$41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[统计公报图表.xlsx]Sheet1!$E$37:$E$41</c:f>
              <c:numCache>
                <c:formatCode>General</c:formatCode>
                <c:ptCount val="5"/>
                <c:pt idx="0">
                  <c:v>2.1</c:v>
                </c:pt>
                <c:pt idx="1">
                  <c:v>3.4</c:v>
                </c:pt>
                <c:pt idx="2">
                  <c:v>3.4</c:v>
                </c:pt>
                <c:pt idx="3">
                  <c:v>3.3</c:v>
                </c:pt>
                <c:pt idx="4">
                  <c:v>7.3</c:v>
                </c:pt>
              </c:numCache>
            </c:numRef>
          </c:val>
        </c:ser>
        <c:ser>
          <c:idx val="2"/>
          <c:order val="2"/>
          <c:tx>
            <c:strRef>
              <c:f>[统计公报图表.xlsx]Sheet1!$F$36</c:f>
              <c:strCache>
                <c:ptCount val="1"/>
                <c:pt idx="0">
                  <c:v>第三产业（%）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[统计公报图表.xlsx]Sheet1!$C$37:$C$41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[统计公报图表.xlsx]Sheet1!$F$37:$F$41</c:f>
              <c:numCache>
                <c:formatCode>0.0_ </c:formatCode>
                <c:ptCount val="5"/>
                <c:pt idx="0">
                  <c:v>33</c:v>
                </c:pt>
                <c:pt idx="1" c:formatCode="General">
                  <c:v>33.9</c:v>
                </c:pt>
                <c:pt idx="2" c:formatCode="General">
                  <c:v>34.9</c:v>
                </c:pt>
                <c:pt idx="3" c:formatCode="General">
                  <c:v>35.2</c:v>
                </c:pt>
                <c:pt idx="4" c:formatCode="General">
                  <c:v>42.3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4164608"/>
        <c:axId val="84166144"/>
      </c:barChart>
      <c:catAx>
        <c:axId val="8416460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166144"/>
        <c:crosses val="autoZero"/>
        <c:auto val="1"/>
        <c:lblAlgn val="ctr"/>
        <c:lblOffset val="100"/>
        <c:noMultiLvlLbl val="0"/>
      </c:catAx>
      <c:valAx>
        <c:axId val="8416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164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3   2020-2024</a:t>
            </a:r>
            <a:r>
              <a:rPr altLang="en-US"/>
              <a:t>年全县粮食产量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[统计公报图表.xlsx]Sheet1!$D$56</c:f>
              <c:strCache>
                <c:ptCount val="1"/>
                <c:pt idx="0">
                  <c:v>粮食产量（吨）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[统计公报图表.xlsx]Sheet1!$C$57:$C$61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[统计公报图表.xlsx]Sheet1!$D$57:$D$61</c:f>
              <c:numCache>
                <c:formatCode>General</c:formatCode>
                <c:ptCount val="5"/>
                <c:pt idx="0">
                  <c:v>1346410</c:v>
                </c:pt>
                <c:pt idx="1">
                  <c:v>1356834</c:v>
                </c:pt>
                <c:pt idx="2">
                  <c:v>1291416</c:v>
                </c:pt>
                <c:pt idx="3">
                  <c:v>1272799</c:v>
                </c:pt>
                <c:pt idx="4">
                  <c:v>1323608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84207104"/>
        <c:axId val="84208640"/>
      </c:lineChart>
      <c:catAx>
        <c:axId val="84207104"/>
        <c:scaling>
          <c:orientation val="minMax"/>
        </c:scaling>
        <c:delete val="0"/>
        <c:axPos val="b"/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08640"/>
        <c:crosses val="autoZero"/>
        <c:auto val="1"/>
        <c:lblAlgn val="ctr"/>
        <c:lblOffset val="100"/>
        <c:noMultiLvlLbl val="0"/>
      </c:catAx>
      <c:valAx>
        <c:axId val="84208640"/>
        <c:scaling>
          <c:orientation val="minMax"/>
          <c:max val="1600000"/>
          <c:min val="10000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07104"/>
        <c:crosses val="autoZero"/>
        <c:crossBetween val="between"/>
        <c:majorUnit val="20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altLang="en-US"/>
              <a:t>图</a:t>
            </a:r>
            <a:r>
              <a:rPr lang="en-US" altLang="zh-CN"/>
              <a:t>4   2020-2024</a:t>
            </a:r>
            <a:r>
              <a:rPr altLang="en-US"/>
              <a:t>年全县规模以上工业增加值增速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[统计公报图表.xlsx]Sheet1!$E$79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[统计公报图表.xlsx]Sheet1!$D$80:$D$84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[统计公报图表.xlsx]Sheet1!$E$80:$E$84</c:f>
              <c:numCache>
                <c:formatCode>General</c:formatCode>
                <c:ptCount val="5"/>
                <c:pt idx="0">
                  <c:v>17.2</c:v>
                </c:pt>
                <c:pt idx="1">
                  <c:v>12.3</c:v>
                </c:pt>
                <c:pt idx="2" c:formatCode="0.0_ ">
                  <c:v>-24.7</c:v>
                </c:pt>
                <c:pt idx="3" c:formatCode="0.0_ ">
                  <c:v>1.8</c:v>
                </c:pt>
                <c:pt idx="4">
                  <c:v>-2.6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435008"/>
        <c:axId val="95449088"/>
      </c:lineChart>
      <c:catAx>
        <c:axId val="95435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49088"/>
        <c:crosses val="autoZero"/>
        <c:auto val="1"/>
        <c:lblAlgn val="ctr"/>
        <c:lblOffset val="100"/>
        <c:noMultiLvlLbl val="0"/>
      </c:catAx>
      <c:valAx>
        <c:axId val="9544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3500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5   2020-2024</a:t>
            </a:r>
            <a:r>
              <a:rPr altLang="en-US"/>
              <a:t>年全县固定资产投资增速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[统计公报图表.xlsx]Sheet1!$D$150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[统计公报图表.xlsx]Sheet1!$C$151:$C$155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[统计公报图表.xlsx]Sheet1!$D$151:$D$155</c:f>
              <c:numCache>
                <c:formatCode>General</c:formatCode>
                <c:ptCount val="5"/>
                <c:pt idx="0">
                  <c:v>28.5</c:v>
                </c:pt>
                <c:pt idx="1">
                  <c:v>-14.9</c:v>
                </c:pt>
                <c:pt idx="2">
                  <c:v>-24.9</c:v>
                </c:pt>
                <c:pt idx="3">
                  <c:v>-48.4</c:v>
                </c:pt>
                <c:pt idx="4">
                  <c:v>38.3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5481856"/>
        <c:axId val="95483392"/>
      </c:lineChart>
      <c:catAx>
        <c:axId val="95481856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83392"/>
        <c:crosses val="autoZero"/>
        <c:auto val="1"/>
        <c:lblAlgn val="ctr"/>
        <c:lblOffset val="100"/>
        <c:noMultiLvlLbl val="0"/>
      </c:catAx>
      <c:valAx>
        <c:axId val="95483392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8185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6   2024</a:t>
            </a:r>
            <a:r>
              <a:rPr altLang="en-US"/>
              <a:t>年三次产业投资占固定资产投资（不含农户）比重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[统计公报图表.xlsx]Sheet1!$D$106</c:f>
              <c:strCache>
                <c:ptCount val="1"/>
                <c:pt idx="0">
                  <c:v>比重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第一产业</a:t>
                    </a:r>
                    <a:r>
                      <a:rPr lang="en-US"/>
                      <a:t>59.3</a:t>
                    </a:r>
                    <a:r>
                      <a:rPr lang="en-US" altLang="zh-CN"/>
                      <a:t>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第二产业</a:t>
                    </a:r>
                    <a:r>
                      <a:rPr lang="en-US"/>
                      <a:t>21.5</a:t>
                    </a:r>
                    <a:r>
                      <a:rPr lang="en-US" altLang="zh-CN"/>
                      <a:t>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>
                      <a:defRPr lang="zh-CN"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第三产业</a:t>
                    </a:r>
                    <a:r>
                      <a:rPr lang="en-US"/>
                      <a:t>19.2</a:t>
                    </a:r>
                    <a:r>
                      <a:rPr lang="en-US" altLang="zh-CN"/>
                      <a:t>%</a:t>
                    </a:r>
                    <a:endParaRPr lang="en-US" altLang="zh-CN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[统计公报图表.xlsx]Sheet1!$C$107:$C$109</c:f>
              <c:strCache>
                <c:ptCount val="3"/>
                <c:pt idx="0">
                  <c:v>第一产业</c:v>
                </c:pt>
                <c:pt idx="1">
                  <c:v>第二产业</c:v>
                </c:pt>
                <c:pt idx="2">
                  <c:v>第三产业</c:v>
                </c:pt>
              </c:strCache>
            </c:strRef>
          </c:cat>
          <c:val>
            <c:numRef>
              <c:f>[统计公报图表.xlsx]Sheet1!$D$107:$D$109</c:f>
              <c:numCache>
                <c:formatCode>General</c:formatCode>
                <c:ptCount val="3"/>
                <c:pt idx="0">
                  <c:v>59.3</c:v>
                </c:pt>
                <c:pt idx="1">
                  <c:v>21.5</c:v>
                </c:pt>
                <c:pt idx="2">
                  <c:v>19.2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图</a:t>
            </a:r>
            <a:r>
              <a:rPr lang="en-US" altLang="zh-CN"/>
              <a:t>7    2020-2024</a:t>
            </a:r>
            <a:r>
              <a:rPr altLang="en-US"/>
              <a:t>年全县一般公共预算收入及其增速</a:t>
            </a:r>
            <a:endParaRPr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[统计公报图表.xlsx]Sheet1!$D$132</c:f>
              <c:strCache>
                <c:ptCount val="1"/>
                <c:pt idx="0">
                  <c:v>一般公共预算收入（万元）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[统计公报图表.xlsx]Sheet1!$C$133:$C$137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[统计公报图表.xlsx]Sheet1!$D$133:$D$137</c:f>
              <c:numCache>
                <c:formatCode>General</c:formatCode>
                <c:ptCount val="5"/>
                <c:pt idx="0">
                  <c:v>15888</c:v>
                </c:pt>
                <c:pt idx="1">
                  <c:v>20250</c:v>
                </c:pt>
                <c:pt idx="2">
                  <c:v>21467</c:v>
                </c:pt>
                <c:pt idx="3">
                  <c:v>31219</c:v>
                </c:pt>
                <c:pt idx="4">
                  <c:v>34448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419776"/>
        <c:axId val="95524352"/>
      </c:barChart>
      <c:lineChart>
        <c:grouping val="standard"/>
        <c:varyColors val="0"/>
        <c:ser>
          <c:idx val="1"/>
          <c:order val="1"/>
          <c:tx>
            <c:strRef>
              <c:f>[统计公报图表.xlsx]Sheet1!$E$132</c:f>
              <c:strCache>
                <c:ptCount val="1"/>
                <c:pt idx="0">
                  <c:v>比上年增长（%）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elete val="1"/>
          </c:dLbls>
          <c:cat>
            <c:strRef>
              <c:f>[统计公报图表.xlsx]Sheet1!$C$133:$C$137</c:f>
              <c:strCache>
                <c:ptCount val="5"/>
                <c:pt idx="0">
                  <c:v>2020年</c:v>
                </c:pt>
                <c:pt idx="1">
                  <c:v>2021年</c:v>
                </c:pt>
                <c:pt idx="2">
                  <c:v>2022年</c:v>
                </c:pt>
                <c:pt idx="3">
                  <c:v>2023年</c:v>
                </c:pt>
                <c:pt idx="4">
                  <c:v>2024年</c:v>
                </c:pt>
              </c:strCache>
            </c:strRef>
          </c:cat>
          <c:val>
            <c:numRef>
              <c:f>[统计公报图表.xlsx]Sheet1!$E$133:$E$137</c:f>
              <c:numCache>
                <c:formatCode>General</c:formatCode>
                <c:ptCount val="5"/>
                <c:pt idx="0">
                  <c:v>30.3</c:v>
                </c:pt>
                <c:pt idx="1">
                  <c:v>27.5</c:v>
                </c:pt>
                <c:pt idx="2" c:formatCode="0.0_ ">
                  <c:v>6</c:v>
                </c:pt>
                <c:pt idx="3" c:formatCode="0.0_ ">
                  <c:v>45.4</c:v>
                </c:pt>
                <c:pt idx="4">
                  <c:v>10.3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525888"/>
        <c:axId val="95531776"/>
      </c:lineChart>
      <c:catAx>
        <c:axId val="9541977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524352"/>
        <c:crosses val="autoZero"/>
        <c:auto val="1"/>
        <c:lblAlgn val="ctr"/>
        <c:lblOffset val="100"/>
        <c:noMultiLvlLbl val="0"/>
      </c:catAx>
      <c:valAx>
        <c:axId val="95524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419776"/>
        <c:crosses val="autoZero"/>
        <c:crossBetween val="between"/>
      </c:valAx>
      <c:catAx>
        <c:axId val="95525888"/>
        <c:scaling>
          <c:orientation val="minMax"/>
        </c:scaling>
        <c:delete val="1"/>
        <c:axPos val="b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531776"/>
        <c:crosses val="autoZero"/>
        <c:auto val="1"/>
        <c:lblAlgn val="ctr"/>
        <c:lblOffset val="100"/>
        <c:noMultiLvlLbl val="0"/>
      </c:catAx>
      <c:valAx>
        <c:axId val="95531776"/>
        <c:scaling>
          <c:orientation val="minMax"/>
          <c:max val="5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5525888"/>
        <c:crosses val="max"/>
        <c:crossBetween val="between"/>
        <c:majorUnit val="14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3A69D-71E5-486F-8142-E6F035CDEE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970</Words>
  <Characters>5531</Characters>
  <Lines>46</Lines>
  <Paragraphs>12</Paragraphs>
  <TotalTime>99</TotalTime>
  <ScaleCrop>false</ScaleCrop>
  <LinksUpToDate>false</LinksUpToDate>
  <CharactersWithSpaces>6489</CharactersWithSpaces>
  <Application>WPS Office_11.8.0.16981_F1E327BC-269C-435d-A152-05C5408002CA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2017-02-13T01:39:00Z</dcterms:created>
  <dc:creator>dell</dc:creator>
  <cp:lastModifiedBy>Administrator</cp:lastModifiedBy>
  <cp:lastPrinted>2022-06-08T06:52:00Z</cp:lastPrinted>
  <dcterms:modified xsi:type="dcterms:W3CDTF">2025-05-15T01:49:49Z</dcterms:modified>
  <cp:revision>454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2052-11.8.0.16981</vt:lpwstr>
  </property>
  <property fmtid="{D5CDD505-2E9C-101B-9397-08002B2CF9AE}" pid="3" name="ICV">
    <vt:lpwstr>B6FF1D0D0DC44E37A19ADB1F90CA754F</vt:lpwstr>
  </property>
</Properties>
</file>