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310D0D6A">
      <w:pPr>
        <w:spacing w:before="347" w:beforeLines="100" w:after="347" w:afterLines="100"/>
        <w:ind w:firstLine="0" w:firstLineChars="0"/>
        <w:jc w:val="center"/>
        <w:rPr>
          <w:rFonts w:hint="eastAsia" w:ascii="黑体" w:hAnsi="黑体" w:eastAsia="黑体" w:cs="黑体"/>
          <w:color w:val="000000" w:themeColor="text1"/>
          <w:sz w:val="52"/>
          <w:szCs w:val="52"/>
          <w14:textFill>
            <w14:solidFill>
              <w14:schemeClr w14:val="tx1"/>
            </w14:solidFill>
          </w14:textFill>
        </w:rPr>
      </w:pPr>
    </w:p>
    <w:p w14:paraId="051C1C4C">
      <w:pPr>
        <w:spacing w:before="347" w:beforeLines="100" w:after="347" w:afterLines="100"/>
        <w:ind w:firstLine="0" w:firstLineChars="0"/>
        <w:jc w:val="center"/>
        <w:rPr>
          <w:rFonts w:hint="eastAsia" w:ascii="黑体" w:hAnsi="黑体" w:eastAsia="黑体" w:cs="黑体"/>
          <w:color w:val="000000" w:themeColor="text1"/>
          <w:sz w:val="52"/>
          <w:szCs w:val="52"/>
          <w14:textFill>
            <w14:solidFill>
              <w14:schemeClr w14:val="tx1"/>
            </w14:solidFill>
          </w14:textFill>
        </w:rPr>
      </w:pPr>
    </w:p>
    <w:p w14:paraId="0CB27948">
      <w:pPr>
        <w:spacing w:before="347" w:beforeLines="100" w:after="347" w:afterLines="100"/>
        <w:ind w:firstLine="0" w:firstLineChars="0"/>
        <w:jc w:val="center"/>
        <w:rPr>
          <w:rFonts w:hint="eastAsia" w:ascii="黑体" w:hAnsi="黑体" w:eastAsia="黑体" w:cs="黑体"/>
          <w:color w:val="000000" w:themeColor="text1"/>
          <w:sz w:val="52"/>
          <w:szCs w:val="52"/>
          <w14:textFill>
            <w14:solidFill>
              <w14:schemeClr w14:val="tx1"/>
            </w14:solidFill>
          </w14:textFill>
        </w:rPr>
      </w:pPr>
    </w:p>
    <w:p w14:paraId="0AEF88D0">
      <w:pPr>
        <w:spacing w:before="347" w:beforeLines="100" w:after="347" w:afterLines="100"/>
        <w:ind w:firstLine="0" w:firstLineChars="0"/>
        <w:jc w:val="center"/>
        <w:rPr>
          <w:rFonts w:hint="eastAsia" w:ascii="黑体" w:hAnsi="黑体" w:eastAsia="黑体" w:cs="黑体"/>
          <w:color w:val="000000" w:themeColor="text1"/>
          <w:sz w:val="44"/>
          <w:szCs w:val="44"/>
          <w:lang w:eastAsia="zh-CN"/>
          <w14:textFill>
            <w14:solidFill>
              <w14:schemeClr w14:val="tx1"/>
            </w14:solidFill>
          </w14:textFill>
        </w:rPr>
      </w:pPr>
      <w:r>
        <w:rPr>
          <w:rFonts w:hint="eastAsia" w:ascii="黑体" w:hAnsi="黑体" w:eastAsia="黑体" w:cs="黑体"/>
          <w:color w:val="000000" w:themeColor="text1"/>
          <w:sz w:val="44"/>
          <w:szCs w:val="44"/>
          <w:lang w:eastAsia="zh-CN"/>
          <w14:textFill>
            <w14:solidFill>
              <w14:schemeClr w14:val="tx1"/>
            </w14:solidFill>
          </w14:textFill>
        </w:rPr>
        <w:t>绥滨县</w:t>
      </w:r>
      <w:r>
        <w:rPr>
          <w:rFonts w:hint="eastAsia" w:ascii="黑体" w:hAnsi="黑体" w:eastAsia="黑体" w:cs="黑体"/>
          <w:color w:val="000000" w:themeColor="text1"/>
          <w:sz w:val="44"/>
          <w:szCs w:val="44"/>
          <w:lang w:val="en-US" w:eastAsia="zh-CN"/>
          <w14:textFill>
            <w14:solidFill>
              <w14:schemeClr w14:val="tx1"/>
            </w14:solidFill>
          </w14:textFill>
        </w:rPr>
        <w:t>中心城区声环境功能</w:t>
      </w:r>
      <w:r>
        <w:rPr>
          <w:rFonts w:hint="eastAsia" w:ascii="黑体" w:hAnsi="黑体" w:eastAsia="黑体" w:cs="黑体"/>
          <w:color w:val="000000" w:themeColor="text1"/>
          <w:sz w:val="44"/>
          <w:szCs w:val="44"/>
          <w:lang w:eastAsia="zh-CN"/>
          <w14:textFill>
            <w14:solidFill>
              <w14:schemeClr w14:val="tx1"/>
            </w14:solidFill>
          </w14:textFill>
        </w:rPr>
        <w:t>区</w:t>
      </w:r>
    </w:p>
    <w:p w14:paraId="0BC0F59B">
      <w:pPr>
        <w:spacing w:before="347" w:beforeLines="100" w:after="347" w:afterLines="100"/>
        <w:ind w:firstLine="0" w:firstLineChars="0"/>
        <w:jc w:val="center"/>
        <w:rPr>
          <w:rFonts w:hint="eastAsia"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44"/>
          <w:szCs w:val="44"/>
          <w:lang w:eastAsia="zh-CN"/>
          <w14:textFill>
            <w14:solidFill>
              <w14:schemeClr w14:val="tx1"/>
            </w14:solidFill>
          </w14:textFill>
        </w:rPr>
        <w:t>划分</w:t>
      </w:r>
      <w:r>
        <w:rPr>
          <w:rFonts w:hint="eastAsia" w:ascii="黑体" w:hAnsi="黑体" w:eastAsia="黑体" w:cs="黑体"/>
          <w:color w:val="000000" w:themeColor="text1"/>
          <w:sz w:val="44"/>
          <w:szCs w:val="44"/>
          <w14:textFill>
            <w14:solidFill>
              <w14:schemeClr w14:val="tx1"/>
            </w14:solidFill>
          </w14:textFill>
        </w:rPr>
        <w:t>技术报告</w:t>
      </w:r>
    </w:p>
    <w:p w14:paraId="3CC33402">
      <w:pPr>
        <w:spacing w:before="347" w:beforeLines="100" w:after="347" w:afterLines="100"/>
        <w:ind w:firstLine="0" w:firstLineChars="0"/>
        <w:jc w:val="center"/>
        <w:rPr>
          <w:rFonts w:hint="eastAsia" w:ascii="黑体" w:hAnsi="黑体" w:eastAsia="黑体" w:cs="黑体"/>
          <w:color w:val="000000" w:themeColor="text1"/>
          <w:sz w:val="52"/>
          <w:szCs w:val="52"/>
          <w14:textFill>
            <w14:solidFill>
              <w14:schemeClr w14:val="tx1"/>
            </w14:solidFill>
          </w14:textFill>
        </w:rPr>
      </w:pPr>
    </w:p>
    <w:p w14:paraId="60FA47FD">
      <w:pPr>
        <w:spacing w:before="347" w:beforeLines="100" w:after="347" w:afterLines="100"/>
        <w:ind w:firstLine="0" w:firstLineChars="0"/>
        <w:jc w:val="center"/>
        <w:rPr>
          <w:rFonts w:ascii="黑体" w:hAnsi="黑体" w:eastAsia="黑体" w:cs="黑体"/>
          <w:color w:val="000000" w:themeColor="text1"/>
          <w:sz w:val="52"/>
          <w:szCs w:val="52"/>
          <w14:textFill>
            <w14:solidFill>
              <w14:schemeClr w14:val="tx1"/>
            </w14:solidFill>
          </w14:textFill>
        </w:rPr>
      </w:pPr>
    </w:p>
    <w:p w14:paraId="5FE31DBA">
      <w:pPr>
        <w:spacing w:before="347" w:beforeLines="100" w:after="347" w:afterLines="100"/>
        <w:ind w:firstLine="0" w:firstLineChars="0"/>
        <w:jc w:val="center"/>
        <w:rPr>
          <w:rFonts w:ascii="黑体" w:hAnsi="黑体" w:eastAsia="黑体" w:cs="黑体"/>
          <w:color w:val="000000" w:themeColor="text1"/>
          <w:sz w:val="52"/>
          <w:szCs w:val="52"/>
          <w14:textFill>
            <w14:solidFill>
              <w14:schemeClr w14:val="tx1"/>
            </w14:solidFill>
          </w14:textFill>
        </w:rPr>
      </w:pPr>
    </w:p>
    <w:p w14:paraId="61F4BC10">
      <w:pPr>
        <w:spacing w:before="347" w:beforeLines="100" w:after="347" w:afterLines="100"/>
        <w:ind w:firstLine="0" w:firstLineChars="0"/>
        <w:jc w:val="center"/>
        <w:rPr>
          <w:rFonts w:hint="eastAsia" w:ascii="黑体" w:hAnsi="黑体" w:eastAsia="黑体" w:cs="黑体"/>
          <w:color w:val="000000" w:themeColor="text1"/>
          <w:sz w:val="52"/>
          <w:szCs w:val="52"/>
          <w14:textFill>
            <w14:solidFill>
              <w14:schemeClr w14:val="tx1"/>
            </w14:solidFill>
          </w14:textFill>
        </w:rPr>
      </w:pPr>
    </w:p>
    <w:p w14:paraId="572FAD65">
      <w:pPr>
        <w:keepNext w:val="0"/>
        <w:keepLines w:val="0"/>
        <w:pageBreakBefore w:val="0"/>
        <w:widowControl w:val="0"/>
        <w:kinsoku/>
        <w:wordWrap/>
        <w:overflowPunct/>
        <w:topLinePunct w:val="0"/>
        <w:autoSpaceDE/>
        <w:autoSpaceDN/>
        <w:bidi w:val="0"/>
        <w:adjustRightInd/>
        <w:snapToGrid/>
        <w:ind w:left="0" w:leftChars="0" w:firstLine="948" w:firstLineChars="300"/>
        <w:jc w:val="left"/>
        <w:textAlignment w:val="auto"/>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组织</w:t>
      </w:r>
      <w:r>
        <w:rPr>
          <w:rFonts w:ascii="黑体" w:hAnsi="黑体" w:eastAsia="黑体" w:cs="黑体"/>
          <w:color w:val="000000" w:themeColor="text1"/>
          <w:sz w:val="32"/>
          <w:szCs w:val="32"/>
          <w14:textFill>
            <w14:solidFill>
              <w14:schemeClr w14:val="tx1"/>
            </w14:solidFill>
          </w14:textFill>
        </w:rPr>
        <w:t>单位：</w:t>
      </w:r>
      <w:r>
        <w:rPr>
          <w:rFonts w:hint="eastAsia" w:ascii="黑体" w:hAnsi="黑体" w:eastAsia="黑体" w:cs="黑体"/>
          <w:color w:val="000000" w:themeColor="text1"/>
          <w:sz w:val="32"/>
          <w:szCs w:val="32"/>
          <w:lang w:val="en-US" w:eastAsia="zh-CN"/>
          <w14:textFill>
            <w14:solidFill>
              <w14:schemeClr w14:val="tx1"/>
            </w14:solidFill>
          </w14:textFill>
        </w:rPr>
        <w:t>鹤岗市绥滨</w:t>
      </w:r>
      <w:r>
        <w:rPr>
          <w:rFonts w:ascii="黑体" w:hAnsi="黑体" w:eastAsia="黑体" w:cs="黑体"/>
          <w:color w:val="000000" w:themeColor="text1"/>
          <w:sz w:val="32"/>
          <w:szCs w:val="32"/>
          <w14:textFill>
            <w14:solidFill>
              <w14:schemeClr w14:val="tx1"/>
            </w14:solidFill>
          </w14:textFill>
        </w:rPr>
        <w:t>生态环境局</w:t>
      </w:r>
    </w:p>
    <w:p w14:paraId="70A6C9C1">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编制</w:t>
      </w:r>
      <w:r>
        <w:rPr>
          <w:rFonts w:ascii="黑体" w:hAnsi="黑体" w:eastAsia="黑体" w:cs="黑体"/>
          <w:color w:val="000000" w:themeColor="text1"/>
          <w:sz w:val="32"/>
          <w:szCs w:val="32"/>
          <w14:textFill>
            <w14:solidFill>
              <w14:schemeClr w14:val="tx1"/>
            </w14:solidFill>
          </w14:textFill>
        </w:rPr>
        <w:t>单位：哈尔滨东隆环保科技开发有限公司</w:t>
      </w:r>
    </w:p>
    <w:p w14:paraId="1B1C4F66">
      <w:pPr>
        <w:keepNext w:val="0"/>
        <w:keepLines w:val="0"/>
        <w:pageBreakBefore w:val="0"/>
        <w:widowControl w:val="0"/>
        <w:kinsoku/>
        <w:wordWrap/>
        <w:overflowPunct/>
        <w:topLinePunct w:val="0"/>
        <w:autoSpaceDE/>
        <w:autoSpaceDN/>
        <w:bidi w:val="0"/>
        <w:adjustRightInd/>
        <w:snapToGrid/>
        <w:ind w:left="0" w:leftChars="0" w:firstLine="948" w:firstLineChars="300"/>
        <w:jc w:val="left"/>
        <w:textAlignment w:val="auto"/>
        <w:rPr>
          <w:rFonts w:ascii="黑体" w:hAnsi="黑体" w:eastAsia="黑体" w:cs="黑体"/>
          <w:color w:val="000000" w:themeColor="text1"/>
          <w:sz w:val="32"/>
          <w:szCs w:val="32"/>
          <w14:textFill>
            <w14:solidFill>
              <w14:schemeClr w14:val="tx1"/>
            </w14:solidFill>
          </w14:textFill>
        </w:rPr>
        <w:sectPr>
          <w:headerReference r:id="rId6" w:type="first"/>
          <w:footerReference r:id="rId8" w:type="first"/>
          <w:headerReference r:id="rId5" w:type="even"/>
          <w:footerReference r:id="rId7" w:type="even"/>
          <w:pgSz w:w="11906" w:h="16838"/>
          <w:pgMar w:top="1440" w:right="1803" w:bottom="1440" w:left="1803" w:header="794" w:footer="992" w:gutter="0"/>
          <w:pgBorders>
            <w:top w:val="none" w:sz="0" w:space="0"/>
            <w:left w:val="none" w:sz="0" w:space="0"/>
            <w:bottom w:val="none" w:sz="0" w:space="0"/>
            <w:right w:val="none" w:sz="0" w:space="0"/>
          </w:pgBorders>
          <w:cols w:space="720" w:num="1"/>
          <w:rtlGutter w:val="0"/>
          <w:docGrid w:type="linesAndChars" w:linePitch="347" w:charSpace="-874"/>
        </w:sectPr>
      </w:pPr>
      <w:r>
        <w:rPr>
          <w:rFonts w:ascii="黑体" w:hAnsi="黑体" w:eastAsia="黑体" w:cs="黑体"/>
          <w:color w:val="000000" w:themeColor="text1"/>
          <w:sz w:val="32"/>
          <w:szCs w:val="32"/>
          <w14:textFill>
            <w14:solidFill>
              <w14:schemeClr w14:val="tx1"/>
            </w14:solidFill>
          </w14:textFill>
        </w:rPr>
        <w:t>编制时间：二〇</w:t>
      </w:r>
      <w:r>
        <w:rPr>
          <w:rFonts w:hint="eastAsia" w:ascii="黑体" w:hAnsi="黑体" w:eastAsia="黑体" w:cs="黑体"/>
          <w:color w:val="000000" w:themeColor="text1"/>
          <w:sz w:val="32"/>
          <w:szCs w:val="32"/>
          <w14:textFill>
            <w14:solidFill>
              <w14:schemeClr w14:val="tx1"/>
            </w14:solidFill>
          </w14:textFill>
        </w:rPr>
        <w:t>二</w:t>
      </w:r>
      <w:r>
        <w:rPr>
          <w:rFonts w:hint="default" w:ascii="黑体" w:hAnsi="黑体" w:eastAsia="黑体" w:cs="黑体"/>
          <w:color w:val="000000" w:themeColor="text1"/>
          <w:sz w:val="32"/>
          <w:szCs w:val="32"/>
          <w:lang w:val="en-US" w:eastAsia="zh-CN"/>
          <w14:textFill>
            <w14:solidFill>
              <w14:schemeClr w14:val="tx1"/>
            </w14:solidFill>
          </w14:textFill>
        </w:rPr>
        <w:t>五</w:t>
      </w:r>
      <w:r>
        <w:rPr>
          <w:rFonts w:ascii="黑体" w:hAnsi="黑体" w:eastAsia="黑体" w:cs="黑体"/>
          <w:color w:val="000000" w:themeColor="text1"/>
          <w:sz w:val="32"/>
          <w:szCs w:val="32"/>
          <w14:textFill>
            <w14:solidFill>
              <w14:schemeClr w14:val="tx1"/>
            </w14:solidFill>
          </w14:textFill>
        </w:rPr>
        <w:t>年</w:t>
      </w:r>
      <w:r>
        <w:rPr>
          <w:rFonts w:hint="eastAsia" w:ascii="黑体" w:hAnsi="黑体" w:eastAsia="黑体" w:cs="黑体"/>
          <w:color w:val="000000" w:themeColor="text1"/>
          <w:sz w:val="32"/>
          <w:szCs w:val="32"/>
          <w:lang w:val="en-US" w:eastAsia="zh-CN"/>
          <w14:textFill>
            <w14:solidFill>
              <w14:schemeClr w14:val="tx1"/>
            </w14:solidFill>
          </w14:textFill>
        </w:rPr>
        <w:t>十二</w:t>
      </w:r>
      <w:r>
        <w:rPr>
          <w:rFonts w:ascii="黑体" w:hAnsi="黑体" w:eastAsia="黑体" w:cs="黑体"/>
          <w:color w:val="000000" w:themeColor="text1"/>
          <w:sz w:val="32"/>
          <w:szCs w:val="32"/>
          <w14:textFill>
            <w14:solidFill>
              <w14:schemeClr w14:val="tx1"/>
            </w14:solidFill>
          </w14:textFill>
        </w:rPr>
        <w:t>月</w:t>
      </w:r>
    </w:p>
    <w:p w14:paraId="1583CC08">
      <w:pPr>
        <w:ind w:firstLine="0" w:firstLineChars="0"/>
        <w:jc w:val="center"/>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目</w:t>
      </w:r>
      <w:r>
        <w:rPr>
          <w:rFonts w:hint="eastAsia" w:ascii="黑体" w:hAnsi="黑体" w:eastAsia="黑体" w:cs="黑体"/>
          <w:color w:val="000000" w:themeColor="text1"/>
          <w:sz w:val="32"/>
          <w:szCs w:val="32"/>
          <w:lang w:val="en-US" w:eastAsia="zh-CN"/>
          <w14:textFill>
            <w14:solidFill>
              <w14:schemeClr w14:val="tx1"/>
            </w14:solidFill>
          </w14:textFill>
        </w:rPr>
        <w:t xml:space="preserve"> </w:t>
      </w:r>
      <w:r>
        <w:rPr>
          <w:rFonts w:hint="eastAsia" w:ascii="黑体" w:hAnsi="黑体" w:eastAsia="黑体" w:cs="黑体"/>
          <w:color w:val="000000" w:themeColor="text1"/>
          <w:sz w:val="32"/>
          <w:szCs w:val="32"/>
          <w14:textFill>
            <w14:solidFill>
              <w14:schemeClr w14:val="tx1"/>
            </w14:solidFill>
          </w14:textFill>
        </w:rPr>
        <w:t>录</w:t>
      </w:r>
    </w:p>
    <w:p w14:paraId="531C2E5F">
      <w:pPr>
        <w:pStyle w:val="16"/>
        <w:tabs>
          <w:tab w:val="right" w:leader="dot" w:pos="8300"/>
        </w:tabs>
        <w:ind w:left="0" w:leftChars="0" w:firstLine="0" w:firstLineChars="0"/>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color w:val="000000" w:themeColor="text1"/>
          <w14:textFill>
            <w14:solidFill>
              <w14:schemeClr w14:val="tx1"/>
            </w14:solidFill>
          </w14:textFill>
        </w:rPr>
        <w:instrText xml:space="preserve">TOC \o "1-2" \h \u </w:instrText>
      </w:r>
      <w:r>
        <w:rPr>
          <w:rFonts w:hint="eastAsia" w:ascii="黑体" w:hAnsi="黑体" w:eastAsia="黑体" w:cs="黑体"/>
          <w:color w:val="000000" w:themeColor="text1"/>
          <w14:textFill>
            <w14:solidFill>
              <w14:schemeClr w14:val="tx1"/>
            </w14:solidFill>
          </w14:textFill>
        </w:rPr>
        <w:fldChar w:fldCharType="separate"/>
      </w: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_Toc11734 </w:instrText>
      </w:r>
      <w:r>
        <w:rPr>
          <w:rFonts w:hint="eastAsia" w:ascii="黑体" w:hAnsi="黑体" w:eastAsia="黑体" w:cs="黑体"/>
        </w:rPr>
        <w:fldChar w:fldCharType="separate"/>
      </w:r>
      <w:r>
        <w:t>1</w:t>
      </w:r>
      <w:r>
        <w:rPr>
          <w:rFonts w:hint="eastAsia"/>
          <w:lang w:val="en-US" w:eastAsia="zh-CN"/>
        </w:rPr>
        <w:t xml:space="preserve"> </w:t>
      </w:r>
      <w:r>
        <w:t>总论</w:t>
      </w:r>
      <w:r>
        <w:tab/>
      </w:r>
      <w:r>
        <w:fldChar w:fldCharType="begin"/>
      </w:r>
      <w:r>
        <w:instrText xml:space="preserve"> PAGEREF _Toc11734 \h </w:instrText>
      </w:r>
      <w:r>
        <w:fldChar w:fldCharType="separate"/>
      </w:r>
      <w:r>
        <w:t>- 1 -</w:t>
      </w:r>
      <w:r>
        <w:fldChar w:fldCharType="end"/>
      </w:r>
      <w:r>
        <w:rPr>
          <w:rFonts w:hint="eastAsia" w:ascii="黑体" w:hAnsi="黑体" w:eastAsia="黑体" w:cs="黑体"/>
          <w:color w:val="000000" w:themeColor="text1"/>
          <w14:textFill>
            <w14:solidFill>
              <w14:schemeClr w14:val="tx1"/>
            </w14:solidFill>
          </w14:textFill>
        </w:rPr>
        <w:fldChar w:fldCharType="end"/>
      </w:r>
    </w:p>
    <w:p w14:paraId="63C8F526">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_Toc1410 </w:instrText>
      </w:r>
      <w:r>
        <w:rPr>
          <w:rFonts w:hint="eastAsia" w:ascii="黑体" w:hAnsi="黑体" w:eastAsia="黑体" w:cs="黑体"/>
        </w:rPr>
        <w:fldChar w:fldCharType="separate"/>
      </w:r>
      <w:r>
        <w:rPr>
          <w:rFonts w:hint="default"/>
          <w:kern w:val="2"/>
        </w:rPr>
        <w:t>1.1</w:t>
      </w:r>
      <w:r>
        <w:rPr>
          <w:rFonts w:hint="eastAsia"/>
          <w:kern w:val="2"/>
          <w:lang w:val="en-US" w:eastAsia="zh-CN"/>
        </w:rPr>
        <w:t xml:space="preserve"> 区划</w:t>
      </w:r>
      <w:r>
        <w:rPr>
          <w:rFonts w:hint="default"/>
          <w:kern w:val="2"/>
        </w:rPr>
        <w:t>由来</w:t>
      </w:r>
      <w:r>
        <w:tab/>
      </w:r>
      <w:r>
        <w:fldChar w:fldCharType="begin"/>
      </w:r>
      <w:r>
        <w:instrText xml:space="preserve"> PAGEREF _Toc1410 \h </w:instrText>
      </w:r>
      <w:r>
        <w:fldChar w:fldCharType="separate"/>
      </w:r>
      <w:r>
        <w:t>- 1 -</w:t>
      </w:r>
      <w:r>
        <w:fldChar w:fldCharType="end"/>
      </w:r>
      <w:r>
        <w:rPr>
          <w:rFonts w:hint="eastAsia" w:ascii="黑体" w:hAnsi="黑体" w:eastAsia="黑体" w:cs="黑体"/>
          <w:color w:val="000000" w:themeColor="text1"/>
          <w14:textFill>
            <w14:solidFill>
              <w14:schemeClr w14:val="tx1"/>
            </w14:solidFill>
          </w14:textFill>
        </w:rPr>
        <w:fldChar w:fldCharType="end"/>
      </w:r>
    </w:p>
    <w:p w14:paraId="3F58BCE9">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_Toc2197 </w:instrText>
      </w:r>
      <w:r>
        <w:rPr>
          <w:rFonts w:hint="eastAsia" w:ascii="黑体" w:hAnsi="黑体" w:eastAsia="黑体" w:cs="黑体"/>
        </w:rPr>
        <w:fldChar w:fldCharType="separate"/>
      </w:r>
      <w:r>
        <w:rPr>
          <w:kern w:val="2"/>
          <w:highlight w:val="none"/>
        </w:rPr>
        <w:t>1.2</w:t>
      </w:r>
      <w:r>
        <w:rPr>
          <w:rFonts w:hint="eastAsia"/>
          <w:kern w:val="2"/>
          <w:highlight w:val="none"/>
          <w:lang w:val="en-US" w:eastAsia="zh-CN"/>
        </w:rPr>
        <w:t xml:space="preserve"> </w:t>
      </w:r>
      <w:r>
        <w:rPr>
          <w:kern w:val="2"/>
          <w:highlight w:val="none"/>
        </w:rPr>
        <w:t>区划目的</w:t>
      </w:r>
      <w:r>
        <w:tab/>
      </w:r>
      <w:r>
        <w:fldChar w:fldCharType="begin"/>
      </w:r>
      <w:r>
        <w:instrText xml:space="preserve"> PAGEREF _Toc2197 \h </w:instrText>
      </w:r>
      <w:r>
        <w:fldChar w:fldCharType="separate"/>
      </w:r>
      <w:r>
        <w:t>- 2 -</w:t>
      </w:r>
      <w:r>
        <w:fldChar w:fldCharType="end"/>
      </w:r>
      <w:r>
        <w:rPr>
          <w:rFonts w:hint="eastAsia" w:ascii="黑体" w:hAnsi="黑体" w:eastAsia="黑体" w:cs="黑体"/>
          <w:color w:val="000000" w:themeColor="text1"/>
          <w14:textFill>
            <w14:solidFill>
              <w14:schemeClr w14:val="tx1"/>
            </w14:solidFill>
          </w14:textFill>
        </w:rPr>
        <w:fldChar w:fldCharType="end"/>
      </w:r>
    </w:p>
    <w:p w14:paraId="61DCD8FB">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_Toc11974 </w:instrText>
      </w:r>
      <w:r>
        <w:rPr>
          <w:rFonts w:hint="eastAsia" w:ascii="黑体" w:hAnsi="黑体" w:eastAsia="黑体" w:cs="黑体"/>
        </w:rPr>
        <w:fldChar w:fldCharType="separate"/>
      </w:r>
      <w:r>
        <w:rPr>
          <w:kern w:val="2"/>
          <w:highlight w:val="none"/>
        </w:rPr>
        <w:t>1.3</w:t>
      </w:r>
      <w:r>
        <w:rPr>
          <w:rFonts w:hint="eastAsia"/>
          <w:kern w:val="2"/>
          <w:highlight w:val="none"/>
          <w:lang w:val="en-US" w:eastAsia="zh-CN"/>
        </w:rPr>
        <w:t xml:space="preserve"> </w:t>
      </w:r>
      <w:r>
        <w:rPr>
          <w:rFonts w:hint="eastAsia"/>
          <w:kern w:val="2"/>
          <w:highlight w:val="none"/>
          <w:lang w:eastAsia="zh-CN"/>
        </w:rPr>
        <w:t>区划</w:t>
      </w:r>
      <w:r>
        <w:rPr>
          <w:kern w:val="2"/>
          <w:highlight w:val="none"/>
        </w:rPr>
        <w:t>原则</w:t>
      </w:r>
      <w:r>
        <w:tab/>
      </w:r>
      <w:r>
        <w:fldChar w:fldCharType="begin"/>
      </w:r>
      <w:r>
        <w:instrText xml:space="preserve"> PAGEREF _Toc11974 \h </w:instrText>
      </w:r>
      <w:r>
        <w:fldChar w:fldCharType="separate"/>
      </w:r>
      <w:r>
        <w:t>- 2 -</w:t>
      </w:r>
      <w:r>
        <w:fldChar w:fldCharType="end"/>
      </w:r>
      <w:r>
        <w:rPr>
          <w:rFonts w:hint="eastAsia" w:ascii="黑体" w:hAnsi="黑体" w:eastAsia="黑体" w:cs="黑体"/>
          <w:color w:val="000000" w:themeColor="text1"/>
          <w14:textFill>
            <w14:solidFill>
              <w14:schemeClr w14:val="tx1"/>
            </w14:solidFill>
          </w14:textFill>
        </w:rPr>
        <w:fldChar w:fldCharType="end"/>
      </w:r>
    </w:p>
    <w:p w14:paraId="698382D3">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_Toc1254 </w:instrText>
      </w:r>
      <w:r>
        <w:rPr>
          <w:rFonts w:hint="eastAsia" w:ascii="黑体" w:hAnsi="黑体" w:eastAsia="黑体" w:cs="黑体"/>
        </w:rPr>
        <w:fldChar w:fldCharType="separate"/>
      </w:r>
      <w:r>
        <w:rPr>
          <w:kern w:val="2"/>
        </w:rPr>
        <w:t>1.4</w:t>
      </w:r>
      <w:r>
        <w:rPr>
          <w:rFonts w:hint="eastAsia"/>
          <w:kern w:val="2"/>
          <w:lang w:val="en-US" w:eastAsia="zh-CN"/>
        </w:rPr>
        <w:t xml:space="preserve"> </w:t>
      </w:r>
      <w:r>
        <w:rPr>
          <w:rFonts w:hint="eastAsia"/>
          <w:kern w:val="2"/>
          <w:lang w:eastAsia="zh-CN"/>
        </w:rPr>
        <w:t>区划</w:t>
      </w:r>
      <w:r>
        <w:rPr>
          <w:kern w:val="2"/>
        </w:rPr>
        <w:t>依据</w:t>
      </w:r>
      <w:r>
        <w:tab/>
      </w:r>
      <w:r>
        <w:fldChar w:fldCharType="begin"/>
      </w:r>
      <w:r>
        <w:instrText xml:space="preserve"> PAGEREF _Toc1254 \h </w:instrText>
      </w:r>
      <w:r>
        <w:fldChar w:fldCharType="separate"/>
      </w:r>
      <w:r>
        <w:t>- 3 -</w:t>
      </w:r>
      <w:r>
        <w:fldChar w:fldCharType="end"/>
      </w:r>
      <w:r>
        <w:rPr>
          <w:rFonts w:hint="eastAsia" w:ascii="黑体" w:hAnsi="黑体" w:eastAsia="黑体" w:cs="黑体"/>
          <w:color w:val="000000" w:themeColor="text1"/>
          <w14:textFill>
            <w14:solidFill>
              <w14:schemeClr w14:val="tx1"/>
            </w14:solidFill>
          </w14:textFill>
        </w:rPr>
        <w:fldChar w:fldCharType="end"/>
      </w:r>
    </w:p>
    <w:p w14:paraId="4F928D6E">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_Toc25495 </w:instrText>
      </w:r>
      <w:r>
        <w:rPr>
          <w:rFonts w:hint="eastAsia" w:ascii="黑体" w:hAnsi="黑体" w:eastAsia="黑体" w:cs="黑体"/>
        </w:rPr>
        <w:fldChar w:fldCharType="separate"/>
      </w:r>
      <w:r>
        <w:rPr>
          <w:kern w:val="2"/>
        </w:rPr>
        <w:t>1.5</w:t>
      </w:r>
      <w:r>
        <w:rPr>
          <w:rFonts w:hint="eastAsia"/>
          <w:kern w:val="2"/>
          <w:lang w:val="en-US" w:eastAsia="zh-CN"/>
        </w:rPr>
        <w:t xml:space="preserve"> </w:t>
      </w:r>
      <w:r>
        <w:rPr>
          <w:rFonts w:hint="eastAsia"/>
          <w:kern w:val="2"/>
          <w:lang w:eastAsia="zh-CN"/>
        </w:rPr>
        <w:t>区划</w:t>
      </w:r>
      <w:r>
        <w:rPr>
          <w:kern w:val="2"/>
        </w:rPr>
        <w:t>流程</w:t>
      </w:r>
      <w:r>
        <w:tab/>
      </w:r>
      <w:r>
        <w:fldChar w:fldCharType="begin"/>
      </w:r>
      <w:r>
        <w:instrText xml:space="preserve"> PAGEREF _Toc25495 \h </w:instrText>
      </w:r>
      <w:r>
        <w:fldChar w:fldCharType="separate"/>
      </w:r>
      <w:r>
        <w:t>- 4 -</w:t>
      </w:r>
      <w:r>
        <w:fldChar w:fldCharType="end"/>
      </w:r>
      <w:r>
        <w:rPr>
          <w:rFonts w:hint="eastAsia" w:ascii="黑体" w:hAnsi="黑体" w:eastAsia="黑体" w:cs="黑体"/>
          <w:color w:val="000000" w:themeColor="text1"/>
          <w14:textFill>
            <w14:solidFill>
              <w14:schemeClr w14:val="tx1"/>
            </w14:solidFill>
          </w14:textFill>
        </w:rPr>
        <w:fldChar w:fldCharType="end"/>
      </w:r>
    </w:p>
    <w:p w14:paraId="3ED0FFBB">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_Toc12994 </w:instrText>
      </w:r>
      <w:r>
        <w:rPr>
          <w:rFonts w:hint="eastAsia" w:ascii="黑体" w:hAnsi="黑体" w:eastAsia="黑体" w:cs="黑体"/>
        </w:rPr>
        <w:fldChar w:fldCharType="separate"/>
      </w:r>
      <w:r>
        <w:rPr>
          <w:kern w:val="2"/>
        </w:rPr>
        <w:t>1.6</w:t>
      </w:r>
      <w:r>
        <w:rPr>
          <w:rFonts w:hint="eastAsia"/>
          <w:kern w:val="2"/>
          <w:lang w:val="en-US" w:eastAsia="zh-CN"/>
        </w:rPr>
        <w:t xml:space="preserve"> </w:t>
      </w:r>
      <w:r>
        <w:rPr>
          <w:kern w:val="2"/>
        </w:rPr>
        <w:t>区划范围</w:t>
      </w:r>
      <w:r>
        <w:tab/>
      </w:r>
      <w:r>
        <w:fldChar w:fldCharType="begin"/>
      </w:r>
      <w:r>
        <w:instrText xml:space="preserve"> PAGEREF _Toc12994 \h </w:instrText>
      </w:r>
      <w:r>
        <w:fldChar w:fldCharType="separate"/>
      </w:r>
      <w:r>
        <w:t>- 6 -</w:t>
      </w:r>
      <w:r>
        <w:fldChar w:fldCharType="end"/>
      </w:r>
      <w:r>
        <w:rPr>
          <w:rFonts w:hint="eastAsia" w:ascii="黑体" w:hAnsi="黑体" w:eastAsia="黑体" w:cs="黑体"/>
          <w:color w:val="000000" w:themeColor="text1"/>
          <w14:textFill>
            <w14:solidFill>
              <w14:schemeClr w14:val="tx1"/>
            </w14:solidFill>
          </w14:textFill>
        </w:rPr>
        <w:fldChar w:fldCharType="end"/>
      </w:r>
    </w:p>
    <w:p w14:paraId="51D7B835">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_Toc6202 </w:instrText>
      </w:r>
      <w:r>
        <w:rPr>
          <w:rFonts w:hint="eastAsia" w:ascii="黑体" w:hAnsi="黑体" w:eastAsia="黑体" w:cs="黑体"/>
        </w:rPr>
        <w:fldChar w:fldCharType="separate"/>
      </w:r>
      <w:r>
        <w:rPr>
          <w:rFonts w:hint="eastAsia"/>
          <w:kern w:val="2"/>
        </w:rPr>
        <w:t>1.</w:t>
      </w:r>
      <w:r>
        <w:rPr>
          <w:rFonts w:hint="eastAsia"/>
          <w:kern w:val="2"/>
          <w:lang w:val="en-US" w:eastAsia="zh-CN"/>
        </w:rPr>
        <w:t xml:space="preserve">7 </w:t>
      </w:r>
      <w:r>
        <w:rPr>
          <w:rFonts w:hint="eastAsia"/>
          <w:kern w:val="2"/>
        </w:rPr>
        <w:t>区划时限</w:t>
      </w:r>
      <w:r>
        <w:tab/>
      </w:r>
      <w:r>
        <w:fldChar w:fldCharType="begin"/>
      </w:r>
      <w:r>
        <w:instrText xml:space="preserve"> PAGEREF _Toc6202 \h </w:instrText>
      </w:r>
      <w:r>
        <w:fldChar w:fldCharType="separate"/>
      </w:r>
      <w:r>
        <w:t>- 6 -</w:t>
      </w:r>
      <w:r>
        <w:fldChar w:fldCharType="end"/>
      </w:r>
      <w:r>
        <w:rPr>
          <w:rFonts w:hint="eastAsia" w:ascii="黑体" w:hAnsi="黑体" w:eastAsia="黑体" w:cs="黑体"/>
          <w:color w:val="000000" w:themeColor="text1"/>
          <w14:textFill>
            <w14:solidFill>
              <w14:schemeClr w14:val="tx1"/>
            </w14:solidFill>
          </w14:textFill>
        </w:rPr>
        <w:fldChar w:fldCharType="end"/>
      </w:r>
    </w:p>
    <w:p w14:paraId="56361B8B">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_Toc28890 </w:instrText>
      </w:r>
      <w:r>
        <w:rPr>
          <w:rFonts w:hint="eastAsia" w:ascii="黑体" w:hAnsi="黑体" w:eastAsia="黑体" w:cs="黑体"/>
        </w:rPr>
        <w:fldChar w:fldCharType="separate"/>
      </w:r>
      <w:r>
        <w:rPr>
          <w:kern w:val="2"/>
        </w:rPr>
        <w:t>1.</w:t>
      </w:r>
      <w:r>
        <w:rPr>
          <w:rFonts w:hint="eastAsia"/>
          <w:kern w:val="2"/>
          <w:lang w:val="en-US" w:eastAsia="zh-CN"/>
        </w:rPr>
        <w:t xml:space="preserve">8 </w:t>
      </w:r>
      <w:r>
        <w:rPr>
          <w:rFonts w:hint="eastAsia"/>
          <w:kern w:val="2"/>
          <w:lang w:eastAsia="zh-CN"/>
        </w:rPr>
        <w:t>区划</w:t>
      </w:r>
      <w:r>
        <w:rPr>
          <w:kern w:val="2"/>
        </w:rPr>
        <w:t>内容</w:t>
      </w:r>
      <w:r>
        <w:tab/>
      </w:r>
      <w:r>
        <w:fldChar w:fldCharType="begin"/>
      </w:r>
      <w:r>
        <w:instrText xml:space="preserve"> PAGEREF _Toc28890 \h </w:instrText>
      </w:r>
      <w:r>
        <w:fldChar w:fldCharType="separate"/>
      </w:r>
      <w:r>
        <w:t>- 6 -</w:t>
      </w:r>
      <w:r>
        <w:fldChar w:fldCharType="end"/>
      </w:r>
      <w:r>
        <w:rPr>
          <w:rFonts w:hint="eastAsia" w:ascii="黑体" w:hAnsi="黑体" w:eastAsia="黑体" w:cs="黑体"/>
          <w:color w:val="000000" w:themeColor="text1"/>
          <w14:textFill>
            <w14:solidFill>
              <w14:schemeClr w14:val="tx1"/>
            </w14:solidFill>
          </w14:textFill>
        </w:rPr>
        <w:fldChar w:fldCharType="end"/>
      </w:r>
    </w:p>
    <w:p w14:paraId="3FBA0EA5">
      <w:pPr>
        <w:pStyle w:val="16"/>
        <w:tabs>
          <w:tab w:val="right" w:leader="dot" w:pos="8300"/>
        </w:tabs>
        <w:ind w:left="0" w:leftChars="0" w:firstLine="0" w:firstLineChars="0"/>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_Toc1551 </w:instrText>
      </w:r>
      <w:r>
        <w:rPr>
          <w:rFonts w:hint="eastAsia" w:ascii="黑体" w:hAnsi="黑体" w:eastAsia="黑体" w:cs="黑体"/>
        </w:rPr>
        <w:fldChar w:fldCharType="separate"/>
      </w:r>
      <w:r>
        <w:rPr>
          <w:rFonts w:hint="eastAsia"/>
        </w:rPr>
        <w:t>2</w:t>
      </w:r>
      <w:r>
        <w:rPr>
          <w:rFonts w:hint="eastAsia"/>
          <w:lang w:val="en-US" w:eastAsia="zh-CN"/>
        </w:rPr>
        <w:t xml:space="preserve"> </w:t>
      </w:r>
      <w:r>
        <w:rPr>
          <w:rFonts w:hint="eastAsia"/>
        </w:rPr>
        <w:t>区域概况</w:t>
      </w:r>
      <w:r>
        <w:tab/>
      </w:r>
      <w:r>
        <w:fldChar w:fldCharType="begin"/>
      </w:r>
      <w:r>
        <w:instrText xml:space="preserve"> PAGEREF _Toc1551 \h </w:instrText>
      </w:r>
      <w:r>
        <w:fldChar w:fldCharType="separate"/>
      </w:r>
      <w:r>
        <w:t>- 8 -</w:t>
      </w:r>
      <w:r>
        <w:fldChar w:fldCharType="end"/>
      </w:r>
      <w:r>
        <w:rPr>
          <w:rFonts w:hint="eastAsia" w:ascii="黑体" w:hAnsi="黑体" w:eastAsia="黑体" w:cs="黑体"/>
          <w:color w:val="000000" w:themeColor="text1"/>
          <w14:textFill>
            <w14:solidFill>
              <w14:schemeClr w14:val="tx1"/>
            </w14:solidFill>
          </w14:textFill>
        </w:rPr>
        <w:fldChar w:fldCharType="end"/>
      </w:r>
    </w:p>
    <w:p w14:paraId="03ED27B3">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_Toc31391 </w:instrText>
      </w:r>
      <w:r>
        <w:rPr>
          <w:rFonts w:hint="eastAsia" w:ascii="黑体" w:hAnsi="黑体" w:eastAsia="黑体" w:cs="黑体"/>
        </w:rPr>
        <w:fldChar w:fldCharType="separate"/>
      </w:r>
      <w:r>
        <w:rPr>
          <w:kern w:val="2"/>
        </w:rPr>
        <w:t>2.1</w:t>
      </w:r>
      <w:r>
        <w:rPr>
          <w:rFonts w:hint="eastAsia"/>
          <w:kern w:val="2"/>
          <w:lang w:val="en-US" w:eastAsia="zh-CN"/>
        </w:rPr>
        <w:t xml:space="preserve"> </w:t>
      </w:r>
      <w:r>
        <w:rPr>
          <w:kern w:val="2"/>
        </w:rPr>
        <w:t>地理位置</w:t>
      </w:r>
      <w:r>
        <w:tab/>
      </w:r>
      <w:r>
        <w:fldChar w:fldCharType="begin"/>
      </w:r>
      <w:r>
        <w:instrText xml:space="preserve"> PAGEREF _Toc31391 \h </w:instrText>
      </w:r>
      <w:r>
        <w:fldChar w:fldCharType="separate"/>
      </w:r>
      <w:r>
        <w:t>- 8 -</w:t>
      </w:r>
      <w:r>
        <w:fldChar w:fldCharType="end"/>
      </w:r>
      <w:r>
        <w:rPr>
          <w:rFonts w:hint="eastAsia" w:ascii="黑体" w:hAnsi="黑体" w:eastAsia="黑体" w:cs="黑体"/>
          <w:color w:val="000000" w:themeColor="text1"/>
          <w14:textFill>
            <w14:solidFill>
              <w14:schemeClr w14:val="tx1"/>
            </w14:solidFill>
          </w14:textFill>
        </w:rPr>
        <w:fldChar w:fldCharType="end"/>
      </w:r>
    </w:p>
    <w:p w14:paraId="721BE90E">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_Toc3090 </w:instrText>
      </w:r>
      <w:r>
        <w:rPr>
          <w:rFonts w:hint="eastAsia" w:ascii="黑体" w:hAnsi="黑体" w:eastAsia="黑体" w:cs="黑体"/>
        </w:rPr>
        <w:fldChar w:fldCharType="separate"/>
      </w:r>
      <w:r>
        <w:rPr>
          <w:kern w:val="2"/>
        </w:rPr>
        <w:t>2.2</w:t>
      </w:r>
      <w:r>
        <w:rPr>
          <w:rFonts w:hint="eastAsia"/>
          <w:kern w:val="2"/>
          <w:lang w:val="en-US" w:eastAsia="zh-CN"/>
        </w:rPr>
        <w:t xml:space="preserve"> </w:t>
      </w:r>
      <w:r>
        <w:rPr>
          <w:kern w:val="2"/>
        </w:rPr>
        <w:t>自然环境概况</w:t>
      </w:r>
      <w:r>
        <w:tab/>
      </w:r>
      <w:r>
        <w:fldChar w:fldCharType="begin"/>
      </w:r>
      <w:r>
        <w:instrText xml:space="preserve"> PAGEREF _Toc3090 \h </w:instrText>
      </w:r>
      <w:r>
        <w:fldChar w:fldCharType="separate"/>
      </w:r>
      <w:r>
        <w:t>- 10 -</w:t>
      </w:r>
      <w:r>
        <w:fldChar w:fldCharType="end"/>
      </w:r>
      <w:r>
        <w:rPr>
          <w:rFonts w:hint="eastAsia" w:ascii="黑体" w:hAnsi="黑体" w:eastAsia="黑体" w:cs="黑体"/>
          <w:color w:val="000000" w:themeColor="text1"/>
          <w14:textFill>
            <w14:solidFill>
              <w14:schemeClr w14:val="tx1"/>
            </w14:solidFill>
          </w14:textFill>
        </w:rPr>
        <w:fldChar w:fldCharType="end"/>
      </w:r>
    </w:p>
    <w:p w14:paraId="499A84BF">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_Toc10051 </w:instrText>
      </w:r>
      <w:r>
        <w:rPr>
          <w:rFonts w:hint="eastAsia" w:ascii="黑体" w:hAnsi="黑体" w:eastAsia="黑体" w:cs="黑体"/>
        </w:rPr>
        <w:fldChar w:fldCharType="separate"/>
      </w:r>
      <w:r>
        <w:rPr>
          <w:kern w:val="2"/>
        </w:rPr>
        <w:t>2.3</w:t>
      </w:r>
      <w:r>
        <w:rPr>
          <w:rFonts w:hint="eastAsia"/>
          <w:kern w:val="2"/>
          <w:lang w:val="en-US" w:eastAsia="zh-CN"/>
        </w:rPr>
        <w:t xml:space="preserve"> </w:t>
      </w:r>
      <w:r>
        <w:rPr>
          <w:kern w:val="2"/>
        </w:rPr>
        <w:t>社会经济状况</w:t>
      </w:r>
      <w:r>
        <w:tab/>
      </w:r>
      <w:r>
        <w:fldChar w:fldCharType="begin"/>
      </w:r>
      <w:r>
        <w:instrText xml:space="preserve"> PAGEREF _Toc10051 \h </w:instrText>
      </w:r>
      <w:r>
        <w:fldChar w:fldCharType="separate"/>
      </w:r>
      <w:r>
        <w:t>- 11 -</w:t>
      </w:r>
      <w:r>
        <w:fldChar w:fldCharType="end"/>
      </w:r>
      <w:r>
        <w:rPr>
          <w:rFonts w:hint="eastAsia" w:ascii="黑体" w:hAnsi="黑体" w:eastAsia="黑体" w:cs="黑体"/>
          <w:color w:val="000000" w:themeColor="text1"/>
          <w14:textFill>
            <w14:solidFill>
              <w14:schemeClr w14:val="tx1"/>
            </w14:solidFill>
          </w14:textFill>
        </w:rPr>
        <w:fldChar w:fldCharType="end"/>
      </w:r>
    </w:p>
    <w:p w14:paraId="13AC76AD">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_Toc20549 </w:instrText>
      </w:r>
      <w:r>
        <w:rPr>
          <w:rFonts w:hint="eastAsia" w:ascii="黑体" w:hAnsi="黑体" w:eastAsia="黑体" w:cs="黑体"/>
        </w:rPr>
        <w:fldChar w:fldCharType="separate"/>
      </w:r>
      <w:r>
        <w:rPr>
          <w:kern w:val="2"/>
          <w:highlight w:val="none"/>
        </w:rPr>
        <w:t>2.4</w:t>
      </w:r>
      <w:r>
        <w:rPr>
          <w:rFonts w:hint="eastAsia"/>
          <w:kern w:val="2"/>
          <w:highlight w:val="none"/>
          <w:lang w:val="en-US" w:eastAsia="zh-CN"/>
        </w:rPr>
        <w:t xml:space="preserve"> </w:t>
      </w:r>
      <w:r>
        <w:rPr>
          <w:rFonts w:hint="eastAsia"/>
          <w:kern w:val="2"/>
          <w:highlight w:val="none"/>
          <w:lang w:eastAsia="zh-CN"/>
        </w:rPr>
        <w:t>国土空间</w:t>
      </w:r>
      <w:r>
        <w:rPr>
          <w:kern w:val="2"/>
          <w:highlight w:val="none"/>
        </w:rPr>
        <w:t>总体规划情况</w:t>
      </w:r>
      <w:r>
        <w:tab/>
      </w:r>
      <w:r>
        <w:fldChar w:fldCharType="begin"/>
      </w:r>
      <w:r>
        <w:instrText xml:space="preserve"> PAGEREF _Toc20549 \h </w:instrText>
      </w:r>
      <w:r>
        <w:fldChar w:fldCharType="separate"/>
      </w:r>
      <w:r>
        <w:t>- 11 -</w:t>
      </w:r>
      <w:r>
        <w:fldChar w:fldCharType="end"/>
      </w:r>
      <w:r>
        <w:rPr>
          <w:rFonts w:hint="eastAsia" w:ascii="黑体" w:hAnsi="黑体" w:eastAsia="黑体" w:cs="黑体"/>
          <w:color w:val="000000" w:themeColor="text1"/>
          <w14:textFill>
            <w14:solidFill>
              <w14:schemeClr w14:val="tx1"/>
            </w14:solidFill>
          </w14:textFill>
        </w:rPr>
        <w:fldChar w:fldCharType="end"/>
      </w:r>
    </w:p>
    <w:p w14:paraId="42FBD303">
      <w:pPr>
        <w:pStyle w:val="16"/>
        <w:tabs>
          <w:tab w:val="right" w:leader="dot" w:pos="8300"/>
        </w:tabs>
        <w:ind w:left="0" w:leftChars="0" w:firstLine="0" w:firstLineChars="0"/>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_Toc27117 </w:instrText>
      </w:r>
      <w:r>
        <w:rPr>
          <w:rFonts w:hint="eastAsia" w:ascii="黑体" w:hAnsi="黑体" w:eastAsia="黑体" w:cs="黑体"/>
        </w:rPr>
        <w:fldChar w:fldCharType="separate"/>
      </w:r>
      <w:r>
        <w:rPr>
          <w:rFonts w:hint="eastAsia"/>
        </w:rPr>
        <w:t>3</w:t>
      </w:r>
      <w:r>
        <w:rPr>
          <w:rFonts w:hint="eastAsia"/>
          <w:lang w:val="en-US" w:eastAsia="zh-CN"/>
        </w:rPr>
        <w:t xml:space="preserve"> </w:t>
      </w:r>
      <w:r>
        <w:rPr>
          <w:rFonts w:hint="eastAsia"/>
        </w:rPr>
        <w:t>声环境质量现状调查</w:t>
      </w:r>
      <w:r>
        <w:tab/>
      </w:r>
      <w:r>
        <w:fldChar w:fldCharType="begin"/>
      </w:r>
      <w:r>
        <w:instrText xml:space="preserve"> PAGEREF _Toc27117 \h </w:instrText>
      </w:r>
      <w:r>
        <w:fldChar w:fldCharType="separate"/>
      </w:r>
      <w:r>
        <w:t>- 18 -</w:t>
      </w:r>
      <w:r>
        <w:fldChar w:fldCharType="end"/>
      </w:r>
      <w:r>
        <w:rPr>
          <w:rFonts w:hint="eastAsia" w:ascii="黑体" w:hAnsi="黑体" w:eastAsia="黑体" w:cs="黑体"/>
          <w:color w:val="000000" w:themeColor="text1"/>
          <w14:textFill>
            <w14:solidFill>
              <w14:schemeClr w14:val="tx1"/>
            </w14:solidFill>
          </w14:textFill>
        </w:rPr>
        <w:fldChar w:fldCharType="end"/>
      </w:r>
    </w:p>
    <w:p w14:paraId="5DED40CF">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_Toc4510 </w:instrText>
      </w:r>
      <w:r>
        <w:rPr>
          <w:rFonts w:hint="eastAsia" w:ascii="黑体" w:hAnsi="黑体" w:eastAsia="黑体" w:cs="黑体"/>
        </w:rPr>
        <w:fldChar w:fldCharType="separate"/>
      </w:r>
      <w:r>
        <w:rPr>
          <w:rFonts w:hint="eastAsia"/>
          <w:kern w:val="2"/>
          <w:highlight w:val="none"/>
          <w:lang w:val="en-US" w:eastAsia="zh-CN"/>
        </w:rPr>
        <w:t xml:space="preserve">3.1 </w:t>
      </w:r>
      <w:r>
        <w:rPr>
          <w:rFonts w:hint="eastAsia"/>
          <w:kern w:val="2"/>
          <w:highlight w:val="none"/>
          <w:lang w:eastAsia="zh-CN"/>
        </w:rPr>
        <w:t>历史监测资料收集</w:t>
      </w:r>
      <w:r>
        <w:tab/>
      </w:r>
      <w:r>
        <w:fldChar w:fldCharType="begin"/>
      </w:r>
      <w:r>
        <w:instrText xml:space="preserve"> PAGEREF _Toc4510 \h </w:instrText>
      </w:r>
      <w:r>
        <w:fldChar w:fldCharType="separate"/>
      </w:r>
      <w:r>
        <w:t>- 18 -</w:t>
      </w:r>
      <w:r>
        <w:fldChar w:fldCharType="end"/>
      </w:r>
      <w:r>
        <w:rPr>
          <w:rFonts w:hint="eastAsia" w:ascii="黑体" w:hAnsi="黑体" w:eastAsia="黑体" w:cs="黑体"/>
          <w:color w:val="000000" w:themeColor="text1"/>
          <w14:textFill>
            <w14:solidFill>
              <w14:schemeClr w14:val="tx1"/>
            </w14:solidFill>
          </w14:textFill>
        </w:rPr>
        <w:fldChar w:fldCharType="end"/>
      </w:r>
    </w:p>
    <w:p w14:paraId="0E454BD0">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_Toc25728 </w:instrText>
      </w:r>
      <w:r>
        <w:rPr>
          <w:rFonts w:hint="eastAsia" w:ascii="黑体" w:hAnsi="黑体" w:eastAsia="黑体" w:cs="黑体"/>
        </w:rPr>
        <w:fldChar w:fldCharType="separate"/>
      </w:r>
      <w:r>
        <w:rPr>
          <w:rFonts w:hint="eastAsia"/>
          <w:kern w:val="2"/>
          <w:highlight w:val="none"/>
          <w:lang w:val="en-US" w:eastAsia="zh-CN"/>
        </w:rPr>
        <w:t xml:space="preserve">3.2 </w:t>
      </w:r>
      <w:r>
        <w:rPr>
          <w:rFonts w:hint="eastAsia"/>
          <w:kern w:val="2"/>
          <w:highlight w:val="none"/>
          <w:lang w:eastAsia="zh-CN"/>
        </w:rPr>
        <w:t>现状分析主要流程</w:t>
      </w:r>
      <w:r>
        <w:tab/>
      </w:r>
      <w:r>
        <w:fldChar w:fldCharType="begin"/>
      </w:r>
      <w:r>
        <w:instrText xml:space="preserve"> PAGEREF _Toc25728 \h </w:instrText>
      </w:r>
      <w:r>
        <w:fldChar w:fldCharType="separate"/>
      </w:r>
      <w:r>
        <w:t>- 19 -</w:t>
      </w:r>
      <w:r>
        <w:fldChar w:fldCharType="end"/>
      </w:r>
      <w:r>
        <w:rPr>
          <w:rFonts w:hint="eastAsia" w:ascii="黑体" w:hAnsi="黑体" w:eastAsia="黑体" w:cs="黑体"/>
          <w:color w:val="000000" w:themeColor="text1"/>
          <w14:textFill>
            <w14:solidFill>
              <w14:schemeClr w14:val="tx1"/>
            </w14:solidFill>
          </w14:textFill>
        </w:rPr>
        <w:fldChar w:fldCharType="end"/>
      </w:r>
    </w:p>
    <w:p w14:paraId="4B8C267E">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_Toc22059 </w:instrText>
      </w:r>
      <w:r>
        <w:rPr>
          <w:rFonts w:hint="eastAsia" w:ascii="黑体" w:hAnsi="黑体" w:eastAsia="黑体" w:cs="黑体"/>
        </w:rPr>
        <w:fldChar w:fldCharType="separate"/>
      </w:r>
      <w:r>
        <w:rPr>
          <w:kern w:val="2"/>
        </w:rPr>
        <w:t>3.3</w:t>
      </w:r>
      <w:r>
        <w:rPr>
          <w:rFonts w:hint="eastAsia"/>
          <w:kern w:val="2"/>
          <w:lang w:val="en-US" w:eastAsia="zh-CN"/>
        </w:rPr>
        <w:t xml:space="preserve"> </w:t>
      </w:r>
      <w:r>
        <w:rPr>
          <w:kern w:val="2"/>
        </w:rPr>
        <w:t>监测的主要方法</w:t>
      </w:r>
      <w:r>
        <w:tab/>
      </w:r>
      <w:r>
        <w:fldChar w:fldCharType="begin"/>
      </w:r>
      <w:r>
        <w:instrText xml:space="preserve"> PAGEREF _Toc22059 \h </w:instrText>
      </w:r>
      <w:r>
        <w:fldChar w:fldCharType="separate"/>
      </w:r>
      <w:r>
        <w:t>- 19 -</w:t>
      </w:r>
      <w:r>
        <w:fldChar w:fldCharType="end"/>
      </w:r>
      <w:r>
        <w:rPr>
          <w:rFonts w:hint="eastAsia" w:ascii="黑体" w:hAnsi="黑体" w:eastAsia="黑体" w:cs="黑体"/>
          <w:color w:val="000000" w:themeColor="text1"/>
          <w14:textFill>
            <w14:solidFill>
              <w14:schemeClr w14:val="tx1"/>
            </w14:solidFill>
          </w14:textFill>
        </w:rPr>
        <w:fldChar w:fldCharType="end"/>
      </w:r>
    </w:p>
    <w:p w14:paraId="007B78C5">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_Toc10658 </w:instrText>
      </w:r>
      <w:r>
        <w:rPr>
          <w:rFonts w:hint="eastAsia" w:ascii="黑体" w:hAnsi="黑体" w:eastAsia="黑体" w:cs="黑体"/>
        </w:rPr>
        <w:fldChar w:fldCharType="separate"/>
      </w:r>
      <w:r>
        <w:rPr>
          <w:kern w:val="2"/>
        </w:rPr>
        <w:t>3.4</w:t>
      </w:r>
      <w:r>
        <w:rPr>
          <w:rFonts w:hint="eastAsia"/>
          <w:kern w:val="2"/>
          <w:lang w:val="en-US" w:eastAsia="zh-CN"/>
        </w:rPr>
        <w:t xml:space="preserve"> </w:t>
      </w:r>
      <w:r>
        <w:rPr>
          <w:kern w:val="2"/>
        </w:rPr>
        <w:t>监测仪器要求</w:t>
      </w:r>
      <w:r>
        <w:tab/>
      </w:r>
      <w:r>
        <w:fldChar w:fldCharType="begin"/>
      </w:r>
      <w:r>
        <w:instrText xml:space="preserve"> PAGEREF _Toc10658 \h </w:instrText>
      </w:r>
      <w:r>
        <w:fldChar w:fldCharType="separate"/>
      </w:r>
      <w:r>
        <w:t>- 21 -</w:t>
      </w:r>
      <w:r>
        <w:fldChar w:fldCharType="end"/>
      </w:r>
      <w:r>
        <w:rPr>
          <w:rFonts w:hint="eastAsia" w:ascii="黑体" w:hAnsi="黑体" w:eastAsia="黑体" w:cs="黑体"/>
          <w:color w:val="000000" w:themeColor="text1"/>
          <w14:textFill>
            <w14:solidFill>
              <w14:schemeClr w14:val="tx1"/>
            </w14:solidFill>
          </w14:textFill>
        </w:rPr>
        <w:fldChar w:fldCharType="end"/>
      </w:r>
    </w:p>
    <w:p w14:paraId="3C51019B">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_Toc16264 </w:instrText>
      </w:r>
      <w:r>
        <w:rPr>
          <w:rFonts w:hint="eastAsia" w:ascii="黑体" w:hAnsi="黑体" w:eastAsia="黑体" w:cs="黑体"/>
        </w:rPr>
        <w:fldChar w:fldCharType="separate"/>
      </w:r>
      <w:r>
        <w:rPr>
          <w:kern w:val="2"/>
        </w:rPr>
        <w:t>3.5</w:t>
      </w:r>
      <w:r>
        <w:rPr>
          <w:rFonts w:hint="eastAsia"/>
          <w:kern w:val="2"/>
          <w:lang w:val="en-US" w:eastAsia="zh-CN"/>
        </w:rPr>
        <w:t xml:space="preserve"> </w:t>
      </w:r>
      <w:r>
        <w:rPr>
          <w:kern w:val="2"/>
        </w:rPr>
        <w:t>监测点设置原则</w:t>
      </w:r>
      <w:r>
        <w:tab/>
      </w:r>
      <w:r>
        <w:fldChar w:fldCharType="begin"/>
      </w:r>
      <w:r>
        <w:instrText xml:space="preserve"> PAGEREF _Toc16264 \h </w:instrText>
      </w:r>
      <w:r>
        <w:fldChar w:fldCharType="separate"/>
      </w:r>
      <w:r>
        <w:t>- 22 -</w:t>
      </w:r>
      <w:r>
        <w:fldChar w:fldCharType="end"/>
      </w:r>
      <w:r>
        <w:rPr>
          <w:rFonts w:hint="eastAsia" w:ascii="黑体" w:hAnsi="黑体" w:eastAsia="黑体" w:cs="黑体"/>
          <w:color w:val="000000" w:themeColor="text1"/>
          <w14:textFill>
            <w14:solidFill>
              <w14:schemeClr w14:val="tx1"/>
            </w14:solidFill>
          </w14:textFill>
        </w:rPr>
        <w:fldChar w:fldCharType="end"/>
      </w:r>
    </w:p>
    <w:p w14:paraId="0560B2A9">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_Toc28642 </w:instrText>
      </w:r>
      <w:r>
        <w:rPr>
          <w:rFonts w:hint="eastAsia" w:ascii="黑体" w:hAnsi="黑体" w:eastAsia="黑体" w:cs="黑体"/>
        </w:rPr>
        <w:fldChar w:fldCharType="separate"/>
      </w:r>
      <w:r>
        <w:rPr>
          <w:kern w:val="2"/>
        </w:rPr>
        <w:t>3.6</w:t>
      </w:r>
      <w:r>
        <w:rPr>
          <w:rFonts w:hint="eastAsia"/>
          <w:kern w:val="2"/>
          <w:lang w:val="en-US" w:eastAsia="zh-CN"/>
        </w:rPr>
        <w:t xml:space="preserve"> </w:t>
      </w:r>
      <w:r>
        <w:rPr>
          <w:kern w:val="2"/>
        </w:rPr>
        <w:t>监测记录与审核</w:t>
      </w:r>
      <w:r>
        <w:tab/>
      </w:r>
      <w:r>
        <w:fldChar w:fldCharType="begin"/>
      </w:r>
      <w:r>
        <w:instrText xml:space="preserve"> PAGEREF _Toc28642 \h </w:instrText>
      </w:r>
      <w:r>
        <w:fldChar w:fldCharType="separate"/>
      </w:r>
      <w:r>
        <w:t>- 23 -</w:t>
      </w:r>
      <w:r>
        <w:fldChar w:fldCharType="end"/>
      </w:r>
      <w:r>
        <w:rPr>
          <w:rFonts w:hint="eastAsia" w:ascii="黑体" w:hAnsi="黑体" w:eastAsia="黑体" w:cs="黑体"/>
          <w:color w:val="000000" w:themeColor="text1"/>
          <w14:textFill>
            <w14:solidFill>
              <w14:schemeClr w14:val="tx1"/>
            </w14:solidFill>
          </w14:textFill>
        </w:rPr>
        <w:fldChar w:fldCharType="end"/>
      </w:r>
    </w:p>
    <w:p w14:paraId="48678C5C">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_Toc24545 </w:instrText>
      </w:r>
      <w:r>
        <w:rPr>
          <w:rFonts w:hint="eastAsia" w:ascii="黑体" w:hAnsi="黑体" w:eastAsia="黑体" w:cs="黑体"/>
        </w:rPr>
        <w:fldChar w:fldCharType="separate"/>
      </w:r>
      <w:r>
        <w:rPr>
          <w:kern w:val="2"/>
        </w:rPr>
        <w:t>3.7</w:t>
      </w:r>
      <w:r>
        <w:rPr>
          <w:rFonts w:hint="eastAsia"/>
          <w:kern w:val="2"/>
          <w:lang w:val="en-US" w:eastAsia="zh-CN"/>
        </w:rPr>
        <w:t xml:space="preserve"> </w:t>
      </w:r>
      <w:r>
        <w:rPr>
          <w:kern w:val="2"/>
        </w:rPr>
        <w:t>声环境现状监测与评价</w:t>
      </w:r>
      <w:r>
        <w:tab/>
      </w:r>
      <w:r>
        <w:fldChar w:fldCharType="begin"/>
      </w:r>
      <w:r>
        <w:instrText xml:space="preserve"> PAGEREF _Toc24545 \h </w:instrText>
      </w:r>
      <w:r>
        <w:fldChar w:fldCharType="separate"/>
      </w:r>
      <w:r>
        <w:t>- 23 -</w:t>
      </w:r>
      <w:r>
        <w:fldChar w:fldCharType="end"/>
      </w:r>
      <w:r>
        <w:rPr>
          <w:rFonts w:hint="eastAsia" w:ascii="黑体" w:hAnsi="黑体" w:eastAsia="黑体" w:cs="黑体"/>
          <w:color w:val="000000" w:themeColor="text1"/>
          <w14:textFill>
            <w14:solidFill>
              <w14:schemeClr w14:val="tx1"/>
            </w14:solidFill>
          </w14:textFill>
        </w:rPr>
        <w:fldChar w:fldCharType="end"/>
      </w:r>
    </w:p>
    <w:p w14:paraId="5329C8E6">
      <w:pPr>
        <w:pStyle w:val="16"/>
        <w:tabs>
          <w:tab w:val="right" w:leader="dot" w:pos="8300"/>
        </w:tabs>
        <w:ind w:left="0" w:leftChars="0" w:firstLine="0" w:firstLineChars="0"/>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_Toc18225 </w:instrText>
      </w:r>
      <w:r>
        <w:rPr>
          <w:rFonts w:hint="eastAsia" w:ascii="黑体" w:hAnsi="黑体" w:eastAsia="黑体" w:cs="黑体"/>
        </w:rPr>
        <w:fldChar w:fldCharType="separate"/>
      </w:r>
      <w:r>
        <w:rPr>
          <w:rFonts w:hint="eastAsia"/>
        </w:rPr>
        <w:t>4</w:t>
      </w:r>
      <w:r>
        <w:rPr>
          <w:rFonts w:hint="eastAsia"/>
          <w:lang w:val="en-US" w:eastAsia="zh-CN"/>
        </w:rPr>
        <w:t xml:space="preserve"> </w:t>
      </w:r>
      <w:r>
        <w:rPr>
          <w:rFonts w:hint="eastAsia"/>
        </w:rPr>
        <w:t>声环境功能区划定方案</w:t>
      </w:r>
      <w:r>
        <w:tab/>
      </w:r>
      <w:r>
        <w:fldChar w:fldCharType="begin"/>
      </w:r>
      <w:r>
        <w:instrText xml:space="preserve"> PAGEREF _Toc18225 \h </w:instrText>
      </w:r>
      <w:r>
        <w:fldChar w:fldCharType="separate"/>
      </w:r>
      <w:r>
        <w:t>- 37 -</w:t>
      </w:r>
      <w:r>
        <w:fldChar w:fldCharType="end"/>
      </w:r>
      <w:r>
        <w:rPr>
          <w:rFonts w:hint="eastAsia" w:ascii="黑体" w:hAnsi="黑体" w:eastAsia="黑体" w:cs="黑体"/>
          <w:color w:val="000000" w:themeColor="text1"/>
          <w14:textFill>
            <w14:solidFill>
              <w14:schemeClr w14:val="tx1"/>
            </w14:solidFill>
          </w14:textFill>
        </w:rPr>
        <w:fldChar w:fldCharType="end"/>
      </w:r>
    </w:p>
    <w:p w14:paraId="6DCDEBE1">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_Toc31755 </w:instrText>
      </w:r>
      <w:r>
        <w:rPr>
          <w:rFonts w:hint="eastAsia" w:ascii="黑体" w:hAnsi="黑体" w:eastAsia="黑体" w:cs="黑体"/>
        </w:rPr>
        <w:fldChar w:fldCharType="separate"/>
      </w:r>
      <w:r>
        <w:rPr>
          <w:kern w:val="2"/>
        </w:rPr>
        <w:t>4.1</w:t>
      </w:r>
      <w:r>
        <w:rPr>
          <w:rFonts w:hint="eastAsia"/>
          <w:kern w:val="2"/>
          <w:lang w:val="en-US" w:eastAsia="zh-CN"/>
        </w:rPr>
        <w:t xml:space="preserve"> </w:t>
      </w:r>
      <w:r>
        <w:rPr>
          <w:kern w:val="2"/>
        </w:rPr>
        <w:t>概述</w:t>
      </w:r>
      <w:r>
        <w:tab/>
      </w:r>
      <w:r>
        <w:fldChar w:fldCharType="begin"/>
      </w:r>
      <w:r>
        <w:instrText xml:space="preserve"> PAGEREF _Toc31755 \h </w:instrText>
      </w:r>
      <w:r>
        <w:fldChar w:fldCharType="separate"/>
      </w:r>
      <w:r>
        <w:t>- 37 -</w:t>
      </w:r>
      <w:r>
        <w:fldChar w:fldCharType="end"/>
      </w:r>
      <w:r>
        <w:rPr>
          <w:rFonts w:hint="eastAsia" w:ascii="黑体" w:hAnsi="黑体" w:eastAsia="黑体" w:cs="黑体"/>
          <w:color w:val="000000" w:themeColor="text1"/>
          <w14:textFill>
            <w14:solidFill>
              <w14:schemeClr w14:val="tx1"/>
            </w14:solidFill>
          </w14:textFill>
        </w:rPr>
        <w:fldChar w:fldCharType="end"/>
      </w:r>
    </w:p>
    <w:p w14:paraId="1073A756">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_Toc11022 </w:instrText>
      </w:r>
      <w:r>
        <w:rPr>
          <w:rFonts w:hint="eastAsia" w:ascii="黑体" w:hAnsi="黑体" w:eastAsia="黑体" w:cs="黑体"/>
        </w:rPr>
        <w:fldChar w:fldCharType="separate"/>
      </w:r>
      <w:r>
        <w:rPr>
          <w:kern w:val="2"/>
        </w:rPr>
        <w:t>4.2</w:t>
      </w:r>
      <w:r>
        <w:rPr>
          <w:rFonts w:hint="eastAsia"/>
          <w:kern w:val="2"/>
          <w:lang w:val="en-US" w:eastAsia="zh-CN"/>
        </w:rPr>
        <w:t xml:space="preserve"> </w:t>
      </w:r>
      <w:r>
        <w:rPr>
          <w:kern w:val="2"/>
        </w:rPr>
        <w:t>区划的主要方法</w:t>
      </w:r>
      <w:r>
        <w:tab/>
      </w:r>
      <w:r>
        <w:fldChar w:fldCharType="begin"/>
      </w:r>
      <w:r>
        <w:instrText xml:space="preserve"> PAGEREF _Toc11022 \h </w:instrText>
      </w:r>
      <w:r>
        <w:fldChar w:fldCharType="separate"/>
      </w:r>
      <w:r>
        <w:t>- 39 -</w:t>
      </w:r>
      <w:r>
        <w:fldChar w:fldCharType="end"/>
      </w:r>
      <w:r>
        <w:rPr>
          <w:rFonts w:hint="eastAsia" w:ascii="黑体" w:hAnsi="黑体" w:eastAsia="黑体" w:cs="黑体"/>
          <w:color w:val="000000" w:themeColor="text1"/>
          <w14:textFill>
            <w14:solidFill>
              <w14:schemeClr w14:val="tx1"/>
            </w14:solidFill>
          </w14:textFill>
        </w:rPr>
        <w:fldChar w:fldCharType="end"/>
      </w:r>
    </w:p>
    <w:p w14:paraId="0874BC9A">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_Toc19334 </w:instrText>
      </w:r>
      <w:r>
        <w:rPr>
          <w:rFonts w:hint="eastAsia" w:ascii="黑体" w:hAnsi="黑体" w:eastAsia="黑体" w:cs="黑体"/>
        </w:rPr>
        <w:fldChar w:fldCharType="separate"/>
      </w:r>
      <w:r>
        <w:rPr>
          <w:kern w:val="2"/>
        </w:rPr>
        <w:t>4.3</w:t>
      </w:r>
      <w:r>
        <w:rPr>
          <w:rFonts w:hint="eastAsia"/>
          <w:kern w:val="2"/>
          <w:lang w:val="en-US" w:eastAsia="zh-CN"/>
        </w:rPr>
        <w:t xml:space="preserve"> </w:t>
      </w:r>
      <w:r>
        <w:rPr>
          <w:rFonts w:hint="eastAsia"/>
          <w:kern w:val="2"/>
          <w:lang w:eastAsia="zh-CN"/>
        </w:rPr>
        <w:t>声功能区划分</w:t>
      </w:r>
      <w:r>
        <w:rPr>
          <w:kern w:val="2"/>
        </w:rPr>
        <w:t>方案</w:t>
      </w:r>
      <w:r>
        <w:tab/>
      </w:r>
      <w:r>
        <w:fldChar w:fldCharType="begin"/>
      </w:r>
      <w:r>
        <w:instrText xml:space="preserve"> PAGEREF _Toc19334 \h </w:instrText>
      </w:r>
      <w:r>
        <w:fldChar w:fldCharType="separate"/>
      </w:r>
      <w:r>
        <w:t>- 44 -</w:t>
      </w:r>
      <w:r>
        <w:fldChar w:fldCharType="end"/>
      </w:r>
      <w:r>
        <w:rPr>
          <w:rFonts w:hint="eastAsia" w:ascii="黑体" w:hAnsi="黑体" w:eastAsia="黑体" w:cs="黑体"/>
          <w:color w:val="000000" w:themeColor="text1"/>
          <w14:textFill>
            <w14:solidFill>
              <w14:schemeClr w14:val="tx1"/>
            </w14:solidFill>
          </w14:textFill>
        </w:rPr>
        <w:fldChar w:fldCharType="end"/>
      </w:r>
    </w:p>
    <w:p w14:paraId="3F2B9FE6">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_Toc24331 </w:instrText>
      </w:r>
      <w:r>
        <w:rPr>
          <w:rFonts w:hint="eastAsia" w:ascii="黑体" w:hAnsi="黑体" w:eastAsia="黑体" w:cs="黑体"/>
        </w:rPr>
        <w:fldChar w:fldCharType="separate"/>
      </w:r>
      <w:r>
        <w:rPr>
          <w:kern w:val="2"/>
        </w:rPr>
        <w:t>4.4</w:t>
      </w:r>
      <w:r>
        <w:rPr>
          <w:rFonts w:hint="eastAsia"/>
          <w:kern w:val="2"/>
          <w:lang w:val="en-US" w:eastAsia="zh-CN"/>
        </w:rPr>
        <w:t xml:space="preserve"> </w:t>
      </w:r>
      <w:r>
        <w:rPr>
          <w:rFonts w:hint="eastAsia"/>
          <w:kern w:val="2"/>
          <w:lang w:eastAsia="zh-CN"/>
        </w:rPr>
        <w:t>功能区声环境</w:t>
      </w:r>
      <w:r>
        <w:rPr>
          <w:kern w:val="2"/>
        </w:rPr>
        <w:t>质量达标情况分析</w:t>
      </w:r>
      <w:r>
        <w:tab/>
      </w:r>
      <w:r>
        <w:fldChar w:fldCharType="begin"/>
      </w:r>
      <w:r>
        <w:instrText xml:space="preserve"> PAGEREF _Toc24331 \h </w:instrText>
      </w:r>
      <w:r>
        <w:fldChar w:fldCharType="separate"/>
      </w:r>
      <w:r>
        <w:t>- 54 -</w:t>
      </w:r>
      <w:r>
        <w:fldChar w:fldCharType="end"/>
      </w:r>
      <w:r>
        <w:rPr>
          <w:rFonts w:hint="eastAsia" w:ascii="黑体" w:hAnsi="黑体" w:eastAsia="黑体" w:cs="黑体"/>
          <w:color w:val="000000" w:themeColor="text1"/>
          <w14:textFill>
            <w14:solidFill>
              <w14:schemeClr w14:val="tx1"/>
            </w14:solidFill>
          </w14:textFill>
        </w:rPr>
        <w:fldChar w:fldCharType="end"/>
      </w:r>
    </w:p>
    <w:p w14:paraId="02DBC215">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_Toc3424 </w:instrText>
      </w:r>
      <w:r>
        <w:rPr>
          <w:rFonts w:hint="eastAsia" w:ascii="黑体" w:hAnsi="黑体" w:eastAsia="黑体" w:cs="黑体"/>
        </w:rPr>
        <w:fldChar w:fldCharType="separate"/>
      </w:r>
      <w:r>
        <w:rPr>
          <w:kern w:val="2"/>
        </w:rPr>
        <w:t>4.5</w:t>
      </w:r>
      <w:r>
        <w:rPr>
          <w:rFonts w:hint="eastAsia"/>
          <w:kern w:val="2"/>
          <w:lang w:val="en-US" w:eastAsia="zh-CN"/>
        </w:rPr>
        <w:t xml:space="preserve"> </w:t>
      </w:r>
      <w:r>
        <w:rPr>
          <w:kern w:val="2"/>
        </w:rPr>
        <w:t>主要存在的问题</w:t>
      </w:r>
      <w:r>
        <w:tab/>
      </w:r>
      <w:r>
        <w:fldChar w:fldCharType="begin"/>
      </w:r>
      <w:r>
        <w:instrText xml:space="preserve"> PAGEREF _Toc3424 \h </w:instrText>
      </w:r>
      <w:r>
        <w:fldChar w:fldCharType="separate"/>
      </w:r>
      <w:r>
        <w:t>- 54 -</w:t>
      </w:r>
      <w:r>
        <w:fldChar w:fldCharType="end"/>
      </w:r>
      <w:r>
        <w:rPr>
          <w:rFonts w:hint="eastAsia" w:ascii="黑体" w:hAnsi="黑体" w:eastAsia="黑体" w:cs="黑体"/>
          <w:color w:val="000000" w:themeColor="text1"/>
          <w14:textFill>
            <w14:solidFill>
              <w14:schemeClr w14:val="tx1"/>
            </w14:solidFill>
          </w14:textFill>
        </w:rPr>
        <w:fldChar w:fldCharType="end"/>
      </w:r>
    </w:p>
    <w:p w14:paraId="542D2FFF">
      <w:pPr>
        <w:pStyle w:val="16"/>
        <w:tabs>
          <w:tab w:val="right" w:leader="dot" w:pos="8300"/>
        </w:tabs>
        <w:ind w:left="0" w:leftChars="0" w:firstLine="0" w:firstLineChars="0"/>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_Toc12450 </w:instrText>
      </w:r>
      <w:r>
        <w:rPr>
          <w:rFonts w:hint="eastAsia" w:ascii="黑体" w:hAnsi="黑体" w:eastAsia="黑体" w:cs="黑体"/>
        </w:rPr>
        <w:fldChar w:fldCharType="separate"/>
      </w:r>
      <w:r>
        <w:rPr>
          <w:rFonts w:hint="eastAsia"/>
        </w:rPr>
        <w:t>5</w:t>
      </w:r>
      <w:r>
        <w:rPr>
          <w:rFonts w:hint="eastAsia"/>
          <w:lang w:val="en-US" w:eastAsia="zh-CN"/>
        </w:rPr>
        <w:t xml:space="preserve"> 区</w:t>
      </w:r>
      <w:r>
        <w:rPr>
          <w:rFonts w:hint="eastAsia"/>
        </w:rPr>
        <w:t>划可行性分析</w:t>
      </w:r>
      <w:r>
        <w:tab/>
      </w:r>
      <w:r>
        <w:fldChar w:fldCharType="begin"/>
      </w:r>
      <w:r>
        <w:instrText xml:space="preserve"> PAGEREF _Toc12450 \h </w:instrText>
      </w:r>
      <w:r>
        <w:fldChar w:fldCharType="separate"/>
      </w:r>
      <w:r>
        <w:t>- 56 -</w:t>
      </w:r>
      <w:r>
        <w:fldChar w:fldCharType="end"/>
      </w:r>
      <w:r>
        <w:rPr>
          <w:rFonts w:hint="eastAsia" w:ascii="黑体" w:hAnsi="黑体" w:eastAsia="黑体" w:cs="黑体"/>
          <w:color w:val="000000" w:themeColor="text1"/>
          <w14:textFill>
            <w14:solidFill>
              <w14:schemeClr w14:val="tx1"/>
            </w14:solidFill>
          </w14:textFill>
        </w:rPr>
        <w:fldChar w:fldCharType="end"/>
      </w:r>
    </w:p>
    <w:p w14:paraId="0EE9975F">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_Toc16718 </w:instrText>
      </w:r>
      <w:r>
        <w:rPr>
          <w:rFonts w:hint="eastAsia" w:ascii="黑体" w:hAnsi="黑体" w:eastAsia="黑体" w:cs="黑体"/>
        </w:rPr>
        <w:fldChar w:fldCharType="separate"/>
      </w:r>
      <w:r>
        <w:rPr>
          <w:kern w:val="2"/>
        </w:rPr>
        <w:t>5.1</w:t>
      </w:r>
      <w:r>
        <w:rPr>
          <w:rFonts w:hint="eastAsia"/>
          <w:kern w:val="2"/>
          <w:lang w:val="en-US" w:eastAsia="zh-CN"/>
        </w:rPr>
        <w:t xml:space="preserve"> </w:t>
      </w:r>
      <w:r>
        <w:rPr>
          <w:kern w:val="2"/>
        </w:rPr>
        <w:t>声环境质量现状</w:t>
      </w:r>
      <w:r>
        <w:tab/>
      </w:r>
      <w:r>
        <w:fldChar w:fldCharType="begin"/>
      </w:r>
      <w:r>
        <w:instrText xml:space="preserve"> PAGEREF _Toc16718 \h </w:instrText>
      </w:r>
      <w:r>
        <w:fldChar w:fldCharType="separate"/>
      </w:r>
      <w:r>
        <w:t>- 56 -</w:t>
      </w:r>
      <w:r>
        <w:fldChar w:fldCharType="end"/>
      </w:r>
      <w:r>
        <w:rPr>
          <w:rFonts w:hint="eastAsia" w:ascii="黑体" w:hAnsi="黑体" w:eastAsia="黑体" w:cs="黑体"/>
          <w:color w:val="000000" w:themeColor="text1"/>
          <w14:textFill>
            <w14:solidFill>
              <w14:schemeClr w14:val="tx1"/>
            </w14:solidFill>
          </w14:textFill>
        </w:rPr>
        <w:fldChar w:fldCharType="end"/>
      </w:r>
    </w:p>
    <w:p w14:paraId="28972053">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_Toc20582 </w:instrText>
      </w:r>
      <w:r>
        <w:rPr>
          <w:rFonts w:hint="eastAsia" w:ascii="黑体" w:hAnsi="黑体" w:eastAsia="黑体" w:cs="黑体"/>
        </w:rPr>
        <w:fldChar w:fldCharType="separate"/>
      </w:r>
      <w:r>
        <w:rPr>
          <w:kern w:val="2"/>
        </w:rPr>
        <w:t>5.2</w:t>
      </w:r>
      <w:r>
        <w:rPr>
          <w:rFonts w:hint="eastAsia"/>
          <w:kern w:val="2"/>
          <w:lang w:val="en-US" w:eastAsia="zh-CN"/>
        </w:rPr>
        <w:t xml:space="preserve"> 声</w:t>
      </w:r>
      <w:r>
        <w:rPr>
          <w:kern w:val="2"/>
        </w:rPr>
        <w:t>功能区划分结果</w:t>
      </w:r>
      <w:r>
        <w:tab/>
      </w:r>
      <w:r>
        <w:fldChar w:fldCharType="begin"/>
      </w:r>
      <w:r>
        <w:instrText xml:space="preserve"> PAGEREF _Toc20582 \h </w:instrText>
      </w:r>
      <w:r>
        <w:fldChar w:fldCharType="separate"/>
      </w:r>
      <w:r>
        <w:t>- 56 -</w:t>
      </w:r>
      <w:r>
        <w:fldChar w:fldCharType="end"/>
      </w:r>
      <w:r>
        <w:rPr>
          <w:rFonts w:hint="eastAsia" w:ascii="黑体" w:hAnsi="黑体" w:eastAsia="黑体" w:cs="黑体"/>
          <w:color w:val="000000" w:themeColor="text1"/>
          <w14:textFill>
            <w14:solidFill>
              <w14:schemeClr w14:val="tx1"/>
            </w14:solidFill>
          </w14:textFill>
        </w:rPr>
        <w:fldChar w:fldCharType="end"/>
      </w:r>
    </w:p>
    <w:p w14:paraId="53609ECC">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_Toc3705 </w:instrText>
      </w:r>
      <w:r>
        <w:rPr>
          <w:rFonts w:hint="eastAsia" w:ascii="黑体" w:hAnsi="黑体" w:eastAsia="黑体" w:cs="黑体"/>
        </w:rPr>
        <w:fldChar w:fldCharType="separate"/>
      </w:r>
      <w:r>
        <w:rPr>
          <w:kern w:val="2"/>
        </w:rPr>
        <w:t>5.3</w:t>
      </w:r>
      <w:r>
        <w:rPr>
          <w:rFonts w:hint="eastAsia"/>
          <w:kern w:val="2"/>
          <w:lang w:val="en-US" w:eastAsia="zh-CN"/>
        </w:rPr>
        <w:t xml:space="preserve"> </w:t>
      </w:r>
      <w:r>
        <w:rPr>
          <w:kern w:val="2"/>
        </w:rPr>
        <w:t>可行性分析</w:t>
      </w:r>
      <w:r>
        <w:tab/>
      </w:r>
      <w:r>
        <w:fldChar w:fldCharType="begin"/>
      </w:r>
      <w:r>
        <w:instrText xml:space="preserve"> PAGEREF _Toc3705 \h </w:instrText>
      </w:r>
      <w:r>
        <w:fldChar w:fldCharType="separate"/>
      </w:r>
      <w:r>
        <w:t>- 57 -</w:t>
      </w:r>
      <w:r>
        <w:fldChar w:fldCharType="end"/>
      </w:r>
      <w:r>
        <w:rPr>
          <w:rFonts w:hint="eastAsia" w:ascii="黑体" w:hAnsi="黑体" w:eastAsia="黑体" w:cs="黑体"/>
          <w:color w:val="000000" w:themeColor="text1"/>
          <w14:textFill>
            <w14:solidFill>
              <w14:schemeClr w14:val="tx1"/>
            </w14:solidFill>
          </w14:textFill>
        </w:rPr>
        <w:fldChar w:fldCharType="end"/>
      </w:r>
    </w:p>
    <w:p w14:paraId="53E6BB5D">
      <w:pPr>
        <w:pStyle w:val="10"/>
        <w:keepNext w:val="0"/>
        <w:keepLines w:val="0"/>
        <w:pageBreakBefore w:val="0"/>
        <w:widowControl w:val="0"/>
        <w:tabs>
          <w:tab w:val="right" w:leader="dot" w:pos="8300"/>
        </w:tabs>
        <w:kinsoku/>
        <w:wordWrap/>
        <w:overflowPunct/>
        <w:topLinePunct w:val="0"/>
        <w:autoSpaceDE/>
        <w:autoSpaceDN/>
        <w:bidi w:val="0"/>
        <w:adjustRightInd/>
        <w:snapToGrid/>
        <w:ind w:left="0" w:leftChars="0" w:firstLine="472" w:firstLineChars="200"/>
        <w:textAlignment w:val="auto"/>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_Toc17947 </w:instrText>
      </w:r>
      <w:r>
        <w:rPr>
          <w:rFonts w:hint="eastAsia" w:ascii="黑体" w:hAnsi="黑体" w:eastAsia="黑体" w:cs="黑体"/>
        </w:rPr>
        <w:fldChar w:fldCharType="separate"/>
      </w:r>
      <w:r>
        <w:rPr>
          <w:kern w:val="2"/>
        </w:rPr>
        <w:t>5.4</w:t>
      </w:r>
      <w:r>
        <w:rPr>
          <w:rFonts w:hint="eastAsia"/>
          <w:kern w:val="2"/>
          <w:lang w:val="en-US" w:eastAsia="zh-CN"/>
        </w:rPr>
        <w:t xml:space="preserve"> 声环境</w:t>
      </w:r>
      <w:r>
        <w:rPr>
          <w:kern w:val="2"/>
        </w:rPr>
        <w:t>管理及保护措施</w:t>
      </w:r>
      <w:r>
        <w:tab/>
      </w:r>
      <w:r>
        <w:fldChar w:fldCharType="begin"/>
      </w:r>
      <w:r>
        <w:instrText xml:space="preserve"> PAGEREF _Toc17947 \h </w:instrText>
      </w:r>
      <w:r>
        <w:fldChar w:fldCharType="separate"/>
      </w:r>
      <w:r>
        <w:t>- 59 -</w:t>
      </w:r>
      <w:r>
        <w:fldChar w:fldCharType="end"/>
      </w:r>
      <w:r>
        <w:rPr>
          <w:rFonts w:hint="eastAsia" w:ascii="黑体" w:hAnsi="黑体" w:eastAsia="黑体" w:cs="黑体"/>
          <w:color w:val="000000" w:themeColor="text1"/>
          <w14:textFill>
            <w14:solidFill>
              <w14:schemeClr w14:val="tx1"/>
            </w14:solidFill>
          </w14:textFill>
        </w:rPr>
        <w:fldChar w:fldCharType="end"/>
      </w:r>
    </w:p>
    <w:p w14:paraId="2E301D24">
      <w:pPr>
        <w:pStyle w:val="16"/>
        <w:tabs>
          <w:tab w:val="right" w:leader="dot" w:pos="8300"/>
        </w:tabs>
        <w:ind w:left="0" w:leftChars="0" w:firstLine="0" w:firstLineChars="0"/>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_Toc28116 </w:instrText>
      </w:r>
      <w:r>
        <w:rPr>
          <w:rFonts w:hint="eastAsia" w:ascii="黑体" w:hAnsi="黑体" w:eastAsia="黑体" w:cs="黑体"/>
        </w:rPr>
        <w:fldChar w:fldCharType="separate"/>
      </w:r>
      <w:r>
        <w:rPr>
          <w:rFonts w:hint="eastAsia"/>
        </w:rPr>
        <w:t>6</w:t>
      </w:r>
      <w:r>
        <w:rPr>
          <w:rFonts w:hint="eastAsia"/>
          <w:lang w:val="en-US" w:eastAsia="zh-CN"/>
        </w:rPr>
        <w:t xml:space="preserve"> </w:t>
      </w:r>
      <w:r>
        <w:rPr>
          <w:rFonts w:hint="eastAsia"/>
        </w:rPr>
        <w:t>结论</w:t>
      </w:r>
      <w:r>
        <w:tab/>
      </w:r>
      <w:r>
        <w:fldChar w:fldCharType="begin"/>
      </w:r>
      <w:r>
        <w:instrText xml:space="preserve"> PAGEREF _Toc28116 \h </w:instrText>
      </w:r>
      <w:r>
        <w:fldChar w:fldCharType="separate"/>
      </w:r>
      <w:r>
        <w:t>- 61 -</w:t>
      </w:r>
      <w:r>
        <w:fldChar w:fldCharType="end"/>
      </w:r>
      <w:r>
        <w:rPr>
          <w:rFonts w:hint="eastAsia" w:ascii="黑体" w:hAnsi="黑体" w:eastAsia="黑体" w:cs="黑体"/>
          <w:color w:val="000000" w:themeColor="text1"/>
          <w14:textFill>
            <w14:solidFill>
              <w14:schemeClr w14:val="tx1"/>
            </w14:solidFill>
          </w14:textFill>
        </w:rPr>
        <w:fldChar w:fldCharType="end"/>
      </w:r>
    </w:p>
    <w:p w14:paraId="5879CA07">
      <w:pPr>
        <w:pStyle w:val="16"/>
        <w:tabs>
          <w:tab w:val="right" w:leader="dot" w:pos="8300"/>
        </w:tabs>
        <w:ind w:left="0" w:leftChars="0" w:firstLine="0" w:firstLineChars="0"/>
      </w:pP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rPr>
        <w:instrText xml:space="preserve"> HYPERLINK \l _Toc24125 </w:instrText>
      </w:r>
      <w:r>
        <w:rPr>
          <w:rFonts w:hint="eastAsia" w:ascii="黑体" w:hAnsi="黑体" w:eastAsia="黑体" w:cs="黑体"/>
        </w:rPr>
        <w:fldChar w:fldCharType="separate"/>
      </w:r>
      <w:r>
        <w:rPr>
          <w:rFonts w:hint="eastAsia"/>
          <w:lang w:val="en-US" w:eastAsia="zh-CN"/>
        </w:rPr>
        <w:t>7 建议</w:t>
      </w:r>
      <w:r>
        <w:tab/>
      </w:r>
      <w:r>
        <w:fldChar w:fldCharType="begin"/>
      </w:r>
      <w:r>
        <w:instrText xml:space="preserve"> PAGEREF _Toc24125 \h </w:instrText>
      </w:r>
      <w:r>
        <w:fldChar w:fldCharType="separate"/>
      </w:r>
      <w:r>
        <w:t>- 62 -</w:t>
      </w:r>
      <w:r>
        <w:fldChar w:fldCharType="end"/>
      </w:r>
      <w:r>
        <w:rPr>
          <w:rFonts w:hint="eastAsia" w:ascii="黑体" w:hAnsi="黑体" w:eastAsia="黑体" w:cs="黑体"/>
          <w:color w:val="000000" w:themeColor="text1"/>
          <w14:textFill>
            <w14:solidFill>
              <w14:schemeClr w14:val="tx1"/>
            </w14:solidFill>
          </w14:textFill>
        </w:rPr>
        <w:fldChar w:fldCharType="end"/>
      </w:r>
    </w:p>
    <w:p w14:paraId="79106C66">
      <w:pPr>
        <w:keepNext w:val="0"/>
        <w:keepLines w:val="0"/>
        <w:pageBreakBefore w:val="0"/>
        <w:widowControl w:val="0"/>
        <w:kinsoku/>
        <w:wordWrap/>
        <w:overflowPunct/>
        <w:topLinePunct w:val="0"/>
        <w:autoSpaceDE/>
        <w:autoSpaceDN/>
        <w:bidi w:val="0"/>
        <w:adjustRightInd/>
        <w:snapToGrid/>
        <w:ind w:firstLine="0" w:firstLineChars="0"/>
        <w:textAlignment w:val="auto"/>
        <w:rPr>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fldChar w:fldCharType="end"/>
      </w:r>
    </w:p>
    <w:p w14:paraId="373CBDF3">
      <w:pPr>
        <w:ind w:firstLine="471"/>
        <w:rPr>
          <w:color w:val="000000" w:themeColor="text1"/>
          <w14:textFill>
            <w14:solidFill>
              <w14:schemeClr w14:val="tx1"/>
            </w14:solidFill>
          </w14:textFill>
        </w:rPr>
        <w:sectPr>
          <w:headerReference r:id="rId9" w:type="default"/>
          <w:footerReference r:id="rId10" w:type="default"/>
          <w:pgSz w:w="11906" w:h="16838"/>
          <w:pgMar w:top="1440" w:right="1803" w:bottom="1440" w:left="1803" w:header="794" w:footer="992" w:gutter="0"/>
          <w:pgBorders>
            <w:top w:val="none" w:sz="0" w:space="0"/>
            <w:left w:val="none" w:sz="0" w:space="0"/>
            <w:bottom w:val="none" w:sz="0" w:space="0"/>
            <w:right w:val="none" w:sz="0" w:space="0"/>
          </w:pgBorders>
          <w:pgNumType w:fmt="upperRoman" w:start="1"/>
          <w:cols w:space="720" w:num="1"/>
          <w:rtlGutter w:val="0"/>
          <w:docGrid w:type="linesAndChars" w:linePitch="347" w:charSpace="-874"/>
        </w:sectPr>
      </w:pPr>
    </w:p>
    <w:p w14:paraId="6A51D559">
      <w:pPr>
        <w:pStyle w:val="2"/>
        <w:keepNext/>
        <w:keepLines/>
        <w:jc w:val="center"/>
        <w:rPr>
          <w:color w:val="000000" w:themeColor="text1"/>
          <w14:textFill>
            <w14:solidFill>
              <w14:schemeClr w14:val="tx1"/>
            </w14:solidFill>
          </w14:textFill>
        </w:rPr>
      </w:pPr>
      <w:bookmarkStart w:id="0" w:name="_Toc18677"/>
      <w:bookmarkStart w:id="1" w:name="_Toc18089"/>
      <w:bookmarkStart w:id="2" w:name="_Toc20024"/>
      <w:bookmarkStart w:id="3" w:name="_Toc25851"/>
      <w:bookmarkStart w:id="4" w:name="_Toc11734"/>
      <w:bookmarkStart w:id="5" w:name="_Toc5762"/>
      <w:r>
        <w:rPr>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color w:val="000000" w:themeColor="text1"/>
          <w14:textFill>
            <w14:solidFill>
              <w14:schemeClr w14:val="tx1"/>
            </w14:solidFill>
          </w14:textFill>
        </w:rPr>
        <w:t>总论</w:t>
      </w:r>
      <w:bookmarkEnd w:id="0"/>
      <w:bookmarkEnd w:id="1"/>
      <w:bookmarkEnd w:id="2"/>
      <w:bookmarkEnd w:id="3"/>
      <w:bookmarkEnd w:id="4"/>
      <w:bookmarkEnd w:id="5"/>
    </w:p>
    <w:p w14:paraId="0725A079">
      <w:pPr>
        <w:pStyle w:val="3"/>
        <w:keepNext/>
        <w:keepLines/>
        <w:rPr>
          <w:rFonts w:hint="default"/>
          <w:color w:val="000000" w:themeColor="text1"/>
          <w:kern w:val="2"/>
          <w14:textFill>
            <w14:solidFill>
              <w14:schemeClr w14:val="tx1"/>
            </w14:solidFill>
          </w14:textFill>
        </w:rPr>
      </w:pPr>
      <w:bookmarkStart w:id="6" w:name="_Toc22119"/>
      <w:bookmarkStart w:id="7" w:name="_Toc21506"/>
      <w:bookmarkStart w:id="8" w:name="_Toc30242"/>
      <w:bookmarkStart w:id="9" w:name="_Toc6717"/>
      <w:bookmarkStart w:id="10" w:name="_Toc1410"/>
      <w:bookmarkStart w:id="11" w:name="_Toc15667"/>
      <w:r>
        <w:rPr>
          <w:rFonts w:hint="default"/>
          <w:color w:val="000000" w:themeColor="text1"/>
          <w:kern w:val="2"/>
          <w14:textFill>
            <w14:solidFill>
              <w14:schemeClr w14:val="tx1"/>
            </w14:solidFill>
          </w14:textFill>
        </w:rPr>
        <w:t>1.1</w:t>
      </w:r>
      <w:r>
        <w:rPr>
          <w:rFonts w:hint="eastAsia"/>
          <w:color w:val="000000" w:themeColor="text1"/>
          <w:kern w:val="2"/>
          <w:lang w:val="en-US" w:eastAsia="zh-CN"/>
          <w14:textFill>
            <w14:solidFill>
              <w14:schemeClr w14:val="tx1"/>
            </w14:solidFill>
          </w14:textFill>
        </w:rPr>
        <w:t xml:space="preserve"> 区划</w:t>
      </w:r>
      <w:r>
        <w:rPr>
          <w:rFonts w:hint="default"/>
          <w:color w:val="000000" w:themeColor="text1"/>
          <w:kern w:val="2"/>
          <w14:textFill>
            <w14:solidFill>
              <w14:schemeClr w14:val="tx1"/>
            </w14:solidFill>
          </w14:textFill>
        </w:rPr>
        <w:t>由来</w:t>
      </w:r>
      <w:bookmarkEnd w:id="6"/>
      <w:bookmarkEnd w:id="7"/>
      <w:bookmarkEnd w:id="8"/>
      <w:bookmarkEnd w:id="9"/>
      <w:bookmarkEnd w:id="10"/>
      <w:bookmarkEnd w:id="11"/>
    </w:p>
    <w:p w14:paraId="7B9C9457">
      <w:pPr>
        <w:ind w:firstLine="471"/>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自中国共产党第十八次全国代表大会以来</w:t>
      </w:r>
      <w:r>
        <w:rPr>
          <w:rFonts w:hint="eastAsia"/>
          <w:color w:val="000000" w:themeColor="text1"/>
          <w14:textFill>
            <w14:solidFill>
              <w14:schemeClr w14:val="tx1"/>
            </w14:solidFill>
          </w14:textFill>
        </w:rPr>
        <w:t>，以习近平同志为核心的党中央</w:t>
      </w:r>
      <w:r>
        <w:rPr>
          <w:rFonts w:hint="eastAsia"/>
          <w:color w:val="000000" w:themeColor="text1"/>
          <w:lang w:eastAsia="zh-CN"/>
          <w14:textFill>
            <w14:solidFill>
              <w14:schemeClr w14:val="tx1"/>
            </w14:solidFill>
          </w14:textFill>
        </w:rPr>
        <w:t>将</w:t>
      </w:r>
      <w:r>
        <w:rPr>
          <w:rFonts w:hint="eastAsia"/>
          <w:color w:val="000000" w:themeColor="text1"/>
          <w14:textFill>
            <w14:solidFill>
              <w14:schemeClr w14:val="tx1"/>
            </w14:solidFill>
          </w14:textFill>
        </w:rPr>
        <w:t>生态文明建设</w:t>
      </w:r>
      <w:r>
        <w:rPr>
          <w:rFonts w:hint="eastAsia"/>
          <w:color w:val="000000" w:themeColor="text1"/>
          <w:lang w:eastAsia="zh-CN"/>
          <w14:textFill>
            <w14:solidFill>
              <w14:schemeClr w14:val="tx1"/>
            </w14:solidFill>
          </w14:textFill>
        </w:rPr>
        <w:t>置于</w:t>
      </w:r>
      <w:r>
        <w:rPr>
          <w:rFonts w:hint="eastAsia"/>
          <w:color w:val="000000" w:themeColor="text1"/>
          <w14:textFill>
            <w14:solidFill>
              <w14:schemeClr w14:val="tx1"/>
            </w14:solidFill>
          </w14:textFill>
        </w:rPr>
        <w:t>全局工作的突出位置，全方位、全地域、全过程加强生态环境保护，实现了</w:t>
      </w:r>
      <w:r>
        <w:rPr>
          <w:rFonts w:hint="eastAsia"/>
          <w:color w:val="000000" w:themeColor="text1"/>
          <w:lang w:eastAsia="zh-CN"/>
          <w14:textFill>
            <w14:solidFill>
              <w14:schemeClr w14:val="tx1"/>
            </w14:solidFill>
          </w14:textFill>
        </w:rPr>
        <w:t>从</w:t>
      </w:r>
      <w:r>
        <w:rPr>
          <w:rFonts w:hint="eastAsia"/>
          <w:color w:val="000000" w:themeColor="text1"/>
          <w14:textFill>
            <w14:solidFill>
              <w14:schemeClr w14:val="tx1"/>
            </w14:solidFill>
          </w14:textFill>
        </w:rPr>
        <w:t>重点整治到系统治理、由被动应对到主动作为、由全球环境治理参与者</w:t>
      </w:r>
      <w:r>
        <w:rPr>
          <w:rFonts w:hint="eastAsia"/>
          <w:color w:val="000000" w:themeColor="text1"/>
          <w:lang w:eastAsia="zh-CN"/>
          <w14:textFill>
            <w14:solidFill>
              <w14:schemeClr w14:val="tx1"/>
            </w14:solidFill>
          </w14:textFill>
        </w:rPr>
        <w:t>转变为</w:t>
      </w:r>
      <w:r>
        <w:rPr>
          <w:rFonts w:hint="eastAsia"/>
          <w:color w:val="000000" w:themeColor="text1"/>
          <w14:textFill>
            <w14:solidFill>
              <w14:schemeClr w14:val="tx1"/>
            </w14:solidFill>
          </w14:textFill>
        </w:rPr>
        <w:t>引领者、由实践探索</w:t>
      </w:r>
      <w:r>
        <w:rPr>
          <w:rFonts w:hint="eastAsia"/>
          <w:color w:val="000000" w:themeColor="text1"/>
          <w:lang w:eastAsia="zh-CN"/>
          <w14:textFill>
            <w14:solidFill>
              <w14:schemeClr w14:val="tx1"/>
            </w14:solidFill>
          </w14:textFill>
        </w:rPr>
        <w:t>上升为</w:t>
      </w:r>
      <w:r>
        <w:rPr>
          <w:rFonts w:hint="eastAsia"/>
          <w:color w:val="000000" w:themeColor="text1"/>
          <w14:textFill>
            <w14:solidFill>
              <w14:schemeClr w14:val="tx1"/>
            </w14:solidFill>
          </w14:textFill>
        </w:rPr>
        <w:t>科学理论指导的重大转变，美丽中国建设迈出重大步伐。</w:t>
      </w:r>
    </w:p>
    <w:p w14:paraId="157A445D">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2024年1月11日</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中共中央</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国务院发布</w:t>
      </w:r>
      <w:r>
        <w:rPr>
          <w:rFonts w:hint="eastAsia"/>
          <w:color w:val="000000" w:themeColor="text1"/>
          <w:lang w:eastAsia="zh-CN"/>
          <w14:textFill>
            <w14:solidFill>
              <w14:schemeClr w14:val="tx1"/>
            </w14:solidFill>
          </w14:textFill>
        </w:rPr>
        <w:t>了</w:t>
      </w:r>
      <w:r>
        <w:rPr>
          <w:rFonts w:hint="eastAsia"/>
          <w:color w:val="000000" w:themeColor="text1"/>
          <w14:textFill>
            <w14:solidFill>
              <w14:schemeClr w14:val="tx1"/>
            </w14:solidFill>
          </w14:textFill>
        </w:rPr>
        <w:t>《关于全面推进美丽中国建设的意见》。全面推进美丽中国建设，</w:t>
      </w:r>
      <w:r>
        <w:rPr>
          <w:rFonts w:hint="eastAsia"/>
          <w:color w:val="000000" w:themeColor="text1"/>
          <w:lang w:eastAsia="zh-CN"/>
          <w14:textFill>
            <w14:solidFill>
              <w14:schemeClr w14:val="tx1"/>
            </w14:solidFill>
          </w14:textFill>
        </w:rPr>
        <w:t>必须</w:t>
      </w:r>
      <w:r>
        <w:rPr>
          <w:rFonts w:hint="eastAsia"/>
          <w:color w:val="000000" w:themeColor="text1"/>
          <w14:textFill>
            <w14:solidFill>
              <w14:schemeClr w14:val="tx1"/>
            </w14:solidFill>
          </w14:textFill>
        </w:rPr>
        <w:t>坚持以习近平新时代中国特色社会主义思想</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特别是习近平生态文明</w:t>
      </w:r>
      <w:r>
        <w:rPr>
          <w:rFonts w:hint="eastAsia"/>
          <w:color w:val="000000" w:themeColor="text1"/>
          <w:lang w:eastAsia="zh-CN"/>
          <w14:textFill>
            <w14:solidFill>
              <w14:schemeClr w14:val="tx1"/>
            </w14:solidFill>
          </w14:textFill>
        </w:rPr>
        <w:t>思想</w:t>
      </w:r>
      <w:r>
        <w:rPr>
          <w:rFonts w:hint="eastAsia"/>
          <w:color w:val="000000" w:themeColor="text1"/>
          <w14:textFill>
            <w14:solidFill>
              <w14:schemeClr w14:val="tx1"/>
            </w14:solidFill>
          </w14:textFill>
        </w:rPr>
        <w:t>为指导，深入贯彻党的二十大</w:t>
      </w:r>
      <w:r>
        <w:rPr>
          <w:rFonts w:hint="eastAsia"/>
          <w:color w:val="000000" w:themeColor="text1"/>
          <w:lang w:eastAsia="zh-CN"/>
          <w14:textFill>
            <w14:solidFill>
              <w14:schemeClr w14:val="tx1"/>
            </w14:solidFill>
          </w14:textFill>
        </w:rPr>
        <w:t>及</w:t>
      </w:r>
      <w:r>
        <w:rPr>
          <w:rFonts w:hint="eastAsia"/>
          <w:color w:val="000000" w:themeColor="text1"/>
          <w14:textFill>
            <w14:solidFill>
              <w14:schemeClr w14:val="tx1"/>
            </w14:solidFill>
          </w14:textFill>
        </w:rPr>
        <w:t>二十届</w:t>
      </w:r>
      <w:r>
        <w:rPr>
          <w:rFonts w:hint="eastAsia"/>
          <w:color w:val="000000" w:themeColor="text1"/>
          <w:lang w:eastAsia="zh-CN"/>
          <w14:textFill>
            <w14:solidFill>
              <w14:schemeClr w14:val="tx1"/>
            </w14:solidFill>
          </w14:textFill>
        </w:rPr>
        <w:t>中央</w:t>
      </w:r>
      <w:r>
        <w:rPr>
          <w:rFonts w:hint="eastAsia"/>
          <w:color w:val="000000" w:themeColor="text1"/>
          <w14:textFill>
            <w14:solidFill>
              <w14:schemeClr w14:val="tx1"/>
            </w14:solidFill>
          </w14:textFill>
        </w:rPr>
        <w:t>历次全会精神，</w:t>
      </w:r>
      <w:r>
        <w:rPr>
          <w:rFonts w:hint="eastAsia"/>
          <w:color w:val="000000" w:themeColor="text1"/>
          <w:lang w:eastAsia="zh-CN"/>
          <w14:textFill>
            <w14:solidFill>
              <w14:schemeClr w14:val="tx1"/>
            </w14:solidFill>
          </w14:textFill>
        </w:rPr>
        <w:t>秉持“</w:t>
      </w:r>
      <w:r>
        <w:rPr>
          <w:rFonts w:hint="eastAsia"/>
          <w:color w:val="000000" w:themeColor="text1"/>
          <w14:textFill>
            <w14:solidFill>
              <w14:schemeClr w14:val="tx1"/>
            </w14:solidFill>
          </w14:textFill>
        </w:rPr>
        <w:t>人民城市人民建、人民城市为人民</w:t>
      </w:r>
      <w:r>
        <w:rPr>
          <w:rFonts w:hint="eastAsia"/>
          <w:color w:val="000000" w:themeColor="text1"/>
          <w:lang w:eastAsia="zh-CN"/>
          <w14:textFill>
            <w14:solidFill>
              <w14:schemeClr w14:val="tx1"/>
            </w14:solidFill>
          </w14:textFill>
        </w:rPr>
        <w:t>”的理念</w:t>
      </w:r>
      <w:r>
        <w:rPr>
          <w:rFonts w:hint="eastAsia"/>
          <w:color w:val="000000" w:themeColor="text1"/>
          <w14:textFill>
            <w14:solidFill>
              <w14:schemeClr w14:val="tx1"/>
            </w14:solidFill>
          </w14:textFill>
        </w:rPr>
        <w:t>，推进以绿色低碳、环境优美、生态宜居、安全健康、智慧高效为</w:t>
      </w:r>
      <w:r>
        <w:rPr>
          <w:rFonts w:hint="eastAsia"/>
          <w:color w:val="000000" w:themeColor="text1"/>
          <w:lang w:eastAsia="zh-CN"/>
          <w14:textFill>
            <w14:solidFill>
              <w14:schemeClr w14:val="tx1"/>
            </w14:solidFill>
          </w14:textFill>
        </w:rPr>
        <w:t>方向</w:t>
      </w:r>
      <w:r>
        <w:rPr>
          <w:rFonts w:hint="eastAsia"/>
          <w:color w:val="000000" w:themeColor="text1"/>
          <w14:textFill>
            <w14:solidFill>
              <w14:schemeClr w14:val="tx1"/>
            </w14:solidFill>
          </w14:textFill>
        </w:rPr>
        <w:t>的美丽城市建设。</w:t>
      </w:r>
    </w:p>
    <w:p w14:paraId="04C7E6F7">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声环境功能区划分是加强环境噪声污染防治、强化噪声源监督管理和环境执法、改善声环境质量的重要依据和手段。随着</w:t>
      </w:r>
      <w:r>
        <w:rPr>
          <w:rFonts w:hint="eastAsia"/>
          <w:color w:val="000000" w:themeColor="text1"/>
          <w:lang w:eastAsia="zh-CN"/>
          <w14:textFill>
            <w14:solidFill>
              <w14:schemeClr w14:val="tx1"/>
            </w14:solidFill>
          </w14:textFill>
        </w:rPr>
        <w:t>绥滨县</w:t>
      </w:r>
      <w:r>
        <w:rPr>
          <w:rFonts w:hint="eastAsia"/>
          <w:color w:val="000000" w:themeColor="text1"/>
          <w14:textFill>
            <w14:solidFill>
              <w14:schemeClr w14:val="tx1"/>
            </w14:solidFill>
          </w14:textFill>
        </w:rPr>
        <w:t>社会经济快速发展和城市化、工业化的步伐大大加快，城区面积不断地扩大，城市规模、城市功能布局都发生了较大的变化，人们对工作、学习和生活的环境的声环境质量的要求逐步提高，对声环境管理也提出了新的要求，原有的声环境管理模式已很难适应新形势下声环境管理工作的需要。因此，迫切需要对</w:t>
      </w:r>
      <w:r>
        <w:rPr>
          <w:rFonts w:hint="eastAsia"/>
          <w:color w:val="000000" w:themeColor="text1"/>
          <w:lang w:val="en-US" w:eastAsia="zh-CN"/>
          <w14:textFill>
            <w14:solidFill>
              <w14:schemeClr w14:val="tx1"/>
            </w14:solidFill>
          </w14:textFill>
        </w:rPr>
        <w:t>中心城区</w:t>
      </w:r>
      <w:r>
        <w:rPr>
          <w:rFonts w:hint="eastAsia"/>
          <w:color w:val="000000" w:themeColor="text1"/>
          <w14:textFill>
            <w14:solidFill>
              <w14:schemeClr w14:val="tx1"/>
            </w14:solidFill>
          </w14:textFill>
        </w:rPr>
        <w:t>范围内的声环境功能区进行划分，以适应新的标准及规划、城市建设发展和人民对声环境质量的要求。</w:t>
      </w:r>
    </w:p>
    <w:p w14:paraId="584BD1D9">
      <w:pPr>
        <w:ind w:firstLine="471"/>
        <w:rPr>
          <w:color w:val="000000" w:themeColor="text1"/>
          <w14:textFill>
            <w14:solidFill>
              <w14:schemeClr w14:val="tx1"/>
            </w14:solidFill>
          </w14:textFill>
        </w:rPr>
      </w:pPr>
      <w:r>
        <w:rPr>
          <w:rFonts w:hint="eastAsia"/>
          <w:color w:val="000000" w:themeColor="text1"/>
          <w14:textFill>
            <w14:solidFill>
              <w14:schemeClr w14:val="tx1"/>
            </w14:solidFill>
          </w14:textFill>
        </w:rPr>
        <w:t>为落实《中华人民共和国噪声污染防治法》《关于加强环境噪声污染防治工作改善城乡声环境质量的指导意见》（环发﹝2010﹞144号）有关要求，原环境保护部发布了《关于加强和规范声环境功能区划分管理工作的通知》（环办大气函﹝2017﹞1709号），要求加强城市噪声污染防治工作，改善声环境质量，进一步加强和规范声环境功能区划分工作。为此，</w:t>
      </w:r>
      <w:r>
        <w:rPr>
          <w:rFonts w:hint="eastAsia"/>
          <w:color w:val="000000" w:themeColor="text1"/>
          <w:lang w:val="en-US" w:eastAsia="zh-CN"/>
          <w14:textFill>
            <w14:solidFill>
              <w14:schemeClr w14:val="tx1"/>
            </w14:solidFill>
          </w14:textFill>
        </w:rPr>
        <w:t>鹤岗市绥滨生态环境局</w:t>
      </w:r>
      <w:r>
        <w:rPr>
          <w:rFonts w:hint="eastAsia"/>
          <w:color w:val="000000" w:themeColor="text1"/>
          <w14:textFill>
            <w14:solidFill>
              <w14:schemeClr w14:val="tx1"/>
            </w14:solidFill>
          </w14:textFill>
        </w:rPr>
        <w:t>委托哈尔滨东隆环保科技开发有限公司对</w:t>
      </w:r>
      <w:r>
        <w:rPr>
          <w:rFonts w:hint="eastAsia"/>
          <w:color w:val="000000" w:themeColor="text1"/>
          <w:lang w:eastAsia="zh-CN"/>
          <w14:textFill>
            <w14:solidFill>
              <w14:schemeClr w14:val="tx1"/>
            </w14:solidFill>
          </w14:textFill>
        </w:rPr>
        <w:t>绥滨县</w:t>
      </w:r>
      <w:r>
        <w:rPr>
          <w:rFonts w:hint="eastAsia"/>
          <w:color w:val="000000" w:themeColor="text1"/>
          <w:highlight w:val="none"/>
          <w:lang w:eastAsia="zh-CN"/>
          <w14:textFill>
            <w14:solidFill>
              <w14:schemeClr w14:val="tx1"/>
            </w14:solidFill>
          </w14:textFill>
        </w:rPr>
        <w:t>中心城区</w:t>
      </w:r>
      <w:r>
        <w:rPr>
          <w:rFonts w:hint="eastAsia"/>
          <w:color w:val="000000" w:themeColor="text1"/>
          <w14:textFill>
            <w14:solidFill>
              <w14:schemeClr w14:val="tx1"/>
            </w14:solidFill>
          </w14:textFill>
        </w:rPr>
        <w:t>声环境功能区进行划分。</w:t>
      </w:r>
    </w:p>
    <w:p w14:paraId="72B2580B">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编制单位按照《声环境功能区划分技术规范》（GB/T</w:t>
      </w:r>
      <w:r>
        <w:rPr>
          <w:rFonts w:hint="eastAsia"/>
          <w:color w:val="000000" w:themeColor="text1"/>
          <w:lang w:val="en-US" w:eastAsia="zh-CN"/>
          <w14:textFill>
            <w14:solidFill>
              <w14:schemeClr w14:val="tx1"/>
            </w14:solidFill>
          </w14:textFill>
        </w:rPr>
        <w:t xml:space="preserve"> 15190</w:t>
      </w:r>
      <w:r>
        <w:rPr>
          <w:rFonts w:hint="eastAsia"/>
          <w:color w:val="000000" w:themeColor="text1"/>
          <w14:textFill>
            <w14:solidFill>
              <w14:schemeClr w14:val="tx1"/>
            </w14:solidFill>
          </w14:textFill>
        </w:rPr>
        <w:t>-2014）要求，</w:t>
      </w:r>
      <w:r>
        <w:rPr>
          <w:rFonts w:hint="eastAsia"/>
          <w:color w:val="000000" w:themeColor="text1"/>
          <w:highlight w:val="none"/>
          <w14:textFill>
            <w14:solidFill>
              <w14:schemeClr w14:val="tx1"/>
            </w14:solidFill>
          </w14:textFill>
        </w:rPr>
        <w:t>结合</w:t>
      </w:r>
      <w:r>
        <w:rPr>
          <w:rFonts w:hint="eastAsia"/>
          <w:color w:val="000000" w:themeColor="text1"/>
          <w:highlight w:val="none"/>
          <w:lang w:eastAsia="zh-CN"/>
          <w14:textFill>
            <w14:solidFill>
              <w14:schemeClr w14:val="tx1"/>
            </w14:solidFill>
          </w14:textFill>
        </w:rPr>
        <w:t>绥滨县</w:t>
      </w:r>
      <w:r>
        <w:rPr>
          <w:rFonts w:hint="eastAsia"/>
          <w:color w:val="000000" w:themeColor="text1"/>
          <w:highlight w:val="none"/>
          <w14:textFill>
            <w14:solidFill>
              <w14:schemeClr w14:val="tx1"/>
            </w14:solidFill>
          </w14:textFill>
        </w:rPr>
        <w:t>城市建设现状和未来发展规划</w:t>
      </w:r>
      <w:r>
        <w:rPr>
          <w:rFonts w:hint="eastAsia"/>
          <w:color w:val="000000" w:themeColor="text1"/>
          <w14:textFill>
            <w14:solidFill>
              <w14:schemeClr w14:val="tx1"/>
            </w14:solidFill>
          </w14:textFill>
        </w:rPr>
        <w:t>，在</w:t>
      </w:r>
      <w:r>
        <w:rPr>
          <w:rFonts w:hint="eastAsia"/>
          <w:color w:val="000000" w:themeColor="text1"/>
          <w:lang w:eastAsia="zh-CN"/>
          <w14:textFill>
            <w14:solidFill>
              <w14:schemeClr w14:val="tx1"/>
            </w14:solidFill>
          </w14:textFill>
        </w:rPr>
        <w:t>绥滨县</w:t>
      </w:r>
      <w:r>
        <w:rPr>
          <w:rFonts w:hint="eastAsia"/>
          <w:color w:val="000000" w:themeColor="text1"/>
          <w14:textFill>
            <w14:solidFill>
              <w14:schemeClr w14:val="tx1"/>
            </w14:solidFill>
          </w14:textFill>
        </w:rPr>
        <w:t>声环境现状、交通道路网、行政区划、</w:t>
      </w:r>
      <w:r>
        <w:rPr>
          <w:rFonts w:hint="eastAsia"/>
          <w:color w:val="000000" w:themeColor="text1"/>
          <w:lang w:val="en-US" w:eastAsia="zh-CN"/>
          <w14:textFill>
            <w14:solidFill>
              <w14:schemeClr w14:val="tx1"/>
            </w14:solidFill>
          </w14:textFill>
        </w:rPr>
        <w:t>国土空间总体规划</w:t>
      </w:r>
      <w:r>
        <w:rPr>
          <w:rFonts w:hint="eastAsia"/>
          <w:color w:val="000000" w:themeColor="text1"/>
          <w14:textFill>
            <w14:solidFill>
              <w14:schemeClr w14:val="tx1"/>
            </w14:solidFill>
          </w14:textFill>
        </w:rPr>
        <w:t>等资料基础上，对</w:t>
      </w:r>
      <w:r>
        <w:rPr>
          <w:rFonts w:hint="eastAsia"/>
          <w:color w:val="000000" w:themeColor="text1"/>
          <w:lang w:eastAsia="zh-CN"/>
          <w14:textFill>
            <w14:solidFill>
              <w14:schemeClr w14:val="tx1"/>
            </w14:solidFill>
          </w14:textFill>
        </w:rPr>
        <w:t>绥滨县</w:t>
      </w:r>
      <w:r>
        <w:rPr>
          <w:rFonts w:hint="eastAsia"/>
          <w:color w:val="000000" w:themeColor="text1"/>
          <w:highlight w:val="none"/>
          <w:lang w:eastAsia="zh-CN"/>
          <w14:textFill>
            <w14:solidFill>
              <w14:schemeClr w14:val="tx1"/>
            </w14:solidFill>
          </w14:textFill>
        </w:rPr>
        <w:t>中心城区</w:t>
      </w:r>
      <w:r>
        <w:rPr>
          <w:rFonts w:hint="eastAsia"/>
          <w:color w:val="000000" w:themeColor="text1"/>
          <w14:textFill>
            <w14:solidFill>
              <w14:schemeClr w14:val="tx1"/>
            </w14:solidFill>
          </w14:textFill>
        </w:rPr>
        <w:t>声环境功能区进行划分，以其为合理规划</w:t>
      </w:r>
      <w:r>
        <w:rPr>
          <w:rFonts w:hint="eastAsia"/>
          <w:color w:val="000000" w:themeColor="text1"/>
          <w:lang w:eastAsia="zh-CN"/>
          <w14:textFill>
            <w14:solidFill>
              <w14:schemeClr w14:val="tx1"/>
            </w14:solidFill>
          </w14:textFill>
        </w:rPr>
        <w:t>绥滨县</w:t>
      </w:r>
      <w:r>
        <w:rPr>
          <w:rFonts w:hint="eastAsia"/>
          <w:color w:val="000000" w:themeColor="text1"/>
          <w14:textFill>
            <w14:solidFill>
              <w14:schemeClr w14:val="tx1"/>
            </w14:solidFill>
          </w14:textFill>
        </w:rPr>
        <w:t>总体布局提供一定的理论依据，为</w:t>
      </w: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声环境质量评价、建设项目审批、噪声纠纷评判等提供一定的规范依据。</w:t>
      </w:r>
    </w:p>
    <w:p w14:paraId="25798708">
      <w:pPr>
        <w:pStyle w:val="3"/>
        <w:keepNext/>
        <w:keepLines/>
        <w:rPr>
          <w:color w:val="000000" w:themeColor="text1"/>
          <w:kern w:val="2"/>
          <w:highlight w:val="none"/>
          <w14:textFill>
            <w14:solidFill>
              <w14:schemeClr w14:val="tx1"/>
            </w14:solidFill>
          </w14:textFill>
        </w:rPr>
      </w:pPr>
      <w:bookmarkStart w:id="12" w:name="_Toc23468"/>
      <w:bookmarkStart w:id="13" w:name="_Toc6548"/>
      <w:bookmarkStart w:id="14" w:name="_Toc7424"/>
      <w:bookmarkStart w:id="15" w:name="_Toc2197"/>
      <w:r>
        <w:rPr>
          <w:color w:val="000000" w:themeColor="text1"/>
          <w:kern w:val="2"/>
          <w:highlight w:val="none"/>
          <w14:textFill>
            <w14:solidFill>
              <w14:schemeClr w14:val="tx1"/>
            </w14:solidFill>
          </w14:textFill>
        </w:rPr>
        <w:t>1.2</w:t>
      </w:r>
      <w:r>
        <w:rPr>
          <w:rFonts w:hint="eastAsia"/>
          <w:color w:val="000000" w:themeColor="text1"/>
          <w:kern w:val="2"/>
          <w:highlight w:val="none"/>
          <w:lang w:val="en-US" w:eastAsia="zh-CN"/>
          <w14:textFill>
            <w14:solidFill>
              <w14:schemeClr w14:val="tx1"/>
            </w14:solidFill>
          </w14:textFill>
        </w:rPr>
        <w:t xml:space="preserve"> </w:t>
      </w:r>
      <w:r>
        <w:rPr>
          <w:color w:val="000000" w:themeColor="text1"/>
          <w:kern w:val="2"/>
          <w:highlight w:val="none"/>
          <w14:textFill>
            <w14:solidFill>
              <w14:schemeClr w14:val="tx1"/>
            </w14:solidFill>
          </w14:textFill>
        </w:rPr>
        <w:t>区划目的</w:t>
      </w:r>
      <w:bookmarkEnd w:id="12"/>
      <w:bookmarkEnd w:id="13"/>
      <w:bookmarkEnd w:id="14"/>
      <w:bookmarkEnd w:id="15"/>
    </w:p>
    <w:p w14:paraId="2B683531">
      <w:pPr>
        <w:bidi w:val="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城市声环境功能区划是在分析城市环境噪声污染特点，发展趋势以及城市环境管理要求等基础上，根据城市总体规划对功能区的划分和规划用地的主导功能，确定城市范围内《声环境质量标准》（GB</w:t>
      </w:r>
      <w:r>
        <w:rPr>
          <w:rFonts w:hint="eastAsia" w:ascii="Times New Roman" w:hAnsi="Times New Roman" w:eastAsia="宋体" w:cs="Times New Roman"/>
          <w:color w:val="000000" w:themeColor="text1"/>
          <w:lang w:val="en-US" w:eastAsia="zh-CN"/>
          <w14:textFill>
            <w14:solidFill>
              <w14:schemeClr w14:val="tx1"/>
            </w14:solidFill>
          </w14:textFill>
        </w:rPr>
        <w:t xml:space="preserve"> </w:t>
      </w:r>
      <w:r>
        <w:rPr>
          <w:rFonts w:hint="eastAsia" w:ascii="Times New Roman" w:hAnsi="Times New Roman" w:eastAsia="宋体" w:cs="Times New Roman"/>
          <w:color w:val="000000" w:themeColor="text1"/>
          <w14:textFill>
            <w14:solidFill>
              <w14:schemeClr w14:val="tx1"/>
            </w14:solidFill>
          </w14:textFill>
        </w:rPr>
        <w:t>3096-2008）适用区域划分及其执行标准。声要素是城市居民比较敏感的环境要素，编制城市声环境功能区划方案，对于加强城区声环境综合整治、提高环境管理水平、创造一个安静舒适的人居环境</w:t>
      </w:r>
      <w:r>
        <w:rPr>
          <w:rFonts w:hint="eastAsia" w:cs="Times New Roman"/>
          <w:color w:val="000000" w:themeColor="text1"/>
          <w:lang w:eastAsia="zh-CN"/>
          <w14:textFill>
            <w14:solidFill>
              <w14:schemeClr w14:val="tx1"/>
            </w14:solidFill>
          </w14:textFill>
        </w:rPr>
        <w:t>，提升城市规划、建设、治理水平，开启全面推进美丽中国建设</w:t>
      </w:r>
      <w:r>
        <w:rPr>
          <w:rFonts w:hint="eastAsia" w:ascii="Times New Roman" w:hAnsi="Times New Roman" w:eastAsia="宋体" w:cs="Times New Roman"/>
          <w:color w:val="000000" w:themeColor="text1"/>
          <w14:textFill>
            <w14:solidFill>
              <w14:schemeClr w14:val="tx1"/>
            </w14:solidFill>
          </w14:textFill>
        </w:rPr>
        <w:t>具有重要的指导意义。</w:t>
      </w:r>
    </w:p>
    <w:p w14:paraId="741FE336">
      <w:pPr>
        <w:pStyle w:val="3"/>
        <w:keepNext/>
        <w:keepLines/>
        <w:rPr>
          <w:color w:val="000000" w:themeColor="text1"/>
          <w:kern w:val="2"/>
          <w14:textFill>
            <w14:solidFill>
              <w14:schemeClr w14:val="tx1"/>
            </w14:solidFill>
          </w14:textFill>
        </w:rPr>
      </w:pPr>
      <w:bookmarkStart w:id="16" w:name="_Toc1988"/>
      <w:bookmarkStart w:id="17" w:name="_Toc11974"/>
      <w:bookmarkStart w:id="18" w:name="_Toc4759"/>
      <w:bookmarkStart w:id="19" w:name="_Toc22531"/>
      <w:r>
        <w:rPr>
          <w:color w:val="000000" w:themeColor="text1"/>
          <w:kern w:val="2"/>
          <w:highlight w:val="none"/>
          <w14:textFill>
            <w14:solidFill>
              <w14:schemeClr w14:val="tx1"/>
            </w14:solidFill>
          </w14:textFill>
        </w:rPr>
        <w:t>1.3</w:t>
      </w:r>
      <w:r>
        <w:rPr>
          <w:rFonts w:hint="eastAsia"/>
          <w:color w:val="000000" w:themeColor="text1"/>
          <w:kern w:val="2"/>
          <w:highlight w:val="none"/>
          <w:lang w:val="en-US" w:eastAsia="zh-CN"/>
          <w14:textFill>
            <w14:solidFill>
              <w14:schemeClr w14:val="tx1"/>
            </w14:solidFill>
          </w14:textFill>
        </w:rPr>
        <w:t xml:space="preserve"> </w:t>
      </w:r>
      <w:r>
        <w:rPr>
          <w:rFonts w:hint="eastAsia"/>
          <w:color w:val="000000" w:themeColor="text1"/>
          <w:kern w:val="2"/>
          <w:highlight w:val="none"/>
          <w:lang w:eastAsia="zh-CN"/>
          <w14:textFill>
            <w14:solidFill>
              <w14:schemeClr w14:val="tx1"/>
            </w14:solidFill>
          </w14:textFill>
        </w:rPr>
        <w:t>区划</w:t>
      </w:r>
      <w:r>
        <w:rPr>
          <w:color w:val="000000" w:themeColor="text1"/>
          <w:kern w:val="2"/>
          <w:highlight w:val="none"/>
          <w14:textFill>
            <w14:solidFill>
              <w14:schemeClr w14:val="tx1"/>
            </w14:solidFill>
          </w14:textFill>
        </w:rPr>
        <w:t>原则</w:t>
      </w:r>
      <w:bookmarkEnd w:id="16"/>
      <w:bookmarkEnd w:id="17"/>
      <w:bookmarkEnd w:id="18"/>
      <w:bookmarkEnd w:id="19"/>
    </w:p>
    <w:p w14:paraId="703D3830">
      <w:pPr>
        <w:bidi w:val="0"/>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绥滨县中心城区声环境功能区划分</w:t>
      </w:r>
      <w:r>
        <w:rPr>
          <w:rFonts w:hint="eastAsia"/>
          <w:color w:val="000000" w:themeColor="text1"/>
          <w14:textFill>
            <w14:solidFill>
              <w14:schemeClr w14:val="tx1"/>
            </w14:solidFill>
          </w14:textFill>
        </w:rPr>
        <w:t>充分利用道路、自然分界线、规划界限及现行行政区界等，既要考虑城区的声环境质量现状，又要兼顾城市的总体发展规划，更要满足城市环境综合整治定量考核要求，具体原则为：</w:t>
      </w:r>
    </w:p>
    <w:p w14:paraId="3FC9F233">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（1）构建</w:t>
      </w:r>
      <w:r>
        <w:rPr>
          <w:color w:val="000000" w:themeColor="text1"/>
          <w14:textFill>
            <w14:solidFill>
              <w14:schemeClr w14:val="tx1"/>
            </w14:solidFill>
          </w14:textFill>
        </w:rPr>
        <w:t>安静环境。</w:t>
      </w:r>
      <w:r>
        <w:rPr>
          <w:rFonts w:hint="eastAsia"/>
          <w:color w:val="000000" w:themeColor="text1"/>
          <w14:textFill>
            <w14:solidFill>
              <w14:schemeClr w14:val="tx1"/>
            </w14:solidFill>
          </w14:textFill>
        </w:rPr>
        <w:t>以人为本，提高声环境质量。有效控制噪声污染的程度和范围，提高声环境质量，保障城市居民正常生活、学习和工作场所的安静。</w:t>
      </w:r>
    </w:p>
    <w:p w14:paraId="2C8EC844">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（2）依据</w:t>
      </w:r>
      <w:r>
        <w:rPr>
          <w:rFonts w:hint="eastAsia"/>
          <w:color w:val="000000" w:themeColor="text1"/>
          <w:lang w:val="en-US" w:eastAsia="zh-CN"/>
          <w14:textFill>
            <w14:solidFill>
              <w14:schemeClr w14:val="tx1"/>
            </w14:solidFill>
          </w14:textFill>
        </w:rPr>
        <w:t>国土空间规划</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城市规划为指导，结合实际现状。以</w:t>
      </w:r>
      <w:r>
        <w:rPr>
          <w:rFonts w:hint="eastAsia"/>
          <w:color w:val="000000" w:themeColor="text1"/>
          <w:lang w:val="en-US" w:eastAsia="zh-CN"/>
          <w14:textFill>
            <w14:solidFill>
              <w14:schemeClr w14:val="tx1"/>
            </w14:solidFill>
          </w14:textFill>
        </w:rPr>
        <w:t>国土空间规划</w:t>
      </w:r>
      <w:r>
        <w:rPr>
          <w:rFonts w:hint="eastAsia"/>
          <w:color w:val="000000" w:themeColor="text1"/>
          <w:highlight w:val="none"/>
          <w14:textFill>
            <w14:solidFill>
              <w14:schemeClr w14:val="tx1"/>
            </w14:solidFill>
          </w14:textFill>
        </w:rPr>
        <w:t>为指导</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结合实际现状，</w:t>
      </w:r>
      <w:r>
        <w:rPr>
          <w:rFonts w:hint="eastAsia"/>
          <w:color w:val="000000" w:themeColor="text1"/>
          <w14:textFill>
            <w14:solidFill>
              <w14:schemeClr w14:val="tx1"/>
            </w14:solidFill>
          </w14:textFill>
        </w:rPr>
        <w:t>按城市规划用地现状的主导功能确定声环境质量功能区。其中，近期内功能与规划目标相差较大的区域，以近期的区域规划用地主导功能作为功能区类别划分的主要依据，并应随着城市规划的逐步实现及时调整功能区类别；未建成的规划区内，按其规划性质或区域声环境质量现状，结合未来发展划定该区域的功能区类别。</w:t>
      </w:r>
    </w:p>
    <w:p w14:paraId="3FC8FD19">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促进协调统一。声环境保护与社会、经济发展协调统一。城市区域声环境质量功能区划分要充分考虑城市生态性原则、经济性原则和可持续发展原则，充分利用城市行政区划及自然地貌，做到区划科学合理，促进环境、经济、社会协调一致发展。</w:t>
      </w:r>
    </w:p>
    <w:p w14:paraId="7D0B2378">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（4）满足</w:t>
      </w:r>
      <w:r>
        <w:rPr>
          <w:color w:val="000000" w:themeColor="text1"/>
          <w14:textFill>
            <w14:solidFill>
              <w14:schemeClr w14:val="tx1"/>
            </w14:solidFill>
          </w14:textFill>
        </w:rPr>
        <w:t>管理要</w:t>
      </w:r>
      <w:r>
        <w:rPr>
          <w:rFonts w:hint="eastAsia"/>
          <w:color w:val="000000" w:themeColor="text1"/>
          <w14:textFill>
            <w14:solidFill>
              <w14:schemeClr w14:val="tx1"/>
            </w14:solidFill>
          </w14:textFill>
        </w:rPr>
        <w:t>求。</w:t>
      </w:r>
      <w:r>
        <w:rPr>
          <w:rFonts w:hint="eastAsia"/>
          <w:color w:val="000000" w:themeColor="text1"/>
          <w:lang w:val="en-US" w:eastAsia="zh-CN"/>
          <w14:textFill>
            <w14:solidFill>
              <w14:schemeClr w14:val="tx1"/>
            </w14:solidFill>
          </w14:textFill>
        </w:rPr>
        <w:t>区划</w:t>
      </w:r>
      <w:r>
        <w:rPr>
          <w:rFonts w:hint="eastAsia"/>
          <w:color w:val="000000" w:themeColor="text1"/>
          <w14:textFill>
            <w14:solidFill>
              <w14:schemeClr w14:val="tx1"/>
            </w14:solidFill>
          </w14:textFill>
        </w:rPr>
        <w:t>充分考虑城市性质、结构特征、城市规划、城市用地现状以及自然地貌特征，同时还应该满足环境噪声管理的要求。</w:t>
      </w:r>
    </w:p>
    <w:p w14:paraId="3095D6E3">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（5）宏观控制为主。城市区域声环境功能区划分坚持宏观控制为主，宜粗不宜细，宜大不宜小，宜连不宜断的原则。</w:t>
      </w:r>
    </w:p>
    <w:p w14:paraId="5295E236">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（6）大区划分小区管理。区划主观性与城市客观性协调统一。如大区划分、小区管理。一般不在低噪声环境功能区内再划定高噪声环境功能区，但</w:t>
      </w:r>
      <w:r>
        <w:rPr>
          <w:rFonts w:hint="eastAsia"/>
          <w:color w:val="000000" w:themeColor="text1"/>
          <w:lang w:val="en-US" w:eastAsia="zh-CN"/>
          <w14:textFill>
            <w14:solidFill>
              <w14:schemeClr w14:val="tx1"/>
            </w14:solidFill>
          </w14:textFill>
        </w:rPr>
        <w:t>县内</w:t>
      </w:r>
      <w:r>
        <w:rPr>
          <w:rFonts w:hint="eastAsia"/>
          <w:color w:val="000000" w:themeColor="text1"/>
          <w14:textFill>
            <w14:solidFill>
              <w14:schemeClr w14:val="tx1"/>
            </w14:solidFill>
          </w14:textFill>
        </w:rPr>
        <w:t>交通干线道路可作为特殊高噪声区段考虑。</w:t>
      </w:r>
    </w:p>
    <w:p w14:paraId="4ACB46B4">
      <w:pPr>
        <w:pStyle w:val="3"/>
        <w:keepNext/>
        <w:keepLines/>
        <w:rPr>
          <w:color w:val="000000" w:themeColor="text1"/>
          <w:kern w:val="2"/>
          <w14:textFill>
            <w14:solidFill>
              <w14:schemeClr w14:val="tx1"/>
            </w14:solidFill>
          </w14:textFill>
        </w:rPr>
      </w:pPr>
      <w:bookmarkStart w:id="20" w:name="_Toc28045"/>
      <w:bookmarkStart w:id="21" w:name="_Toc21278"/>
      <w:bookmarkStart w:id="22" w:name="_Toc1254"/>
      <w:bookmarkStart w:id="23" w:name="_Toc10567"/>
      <w:r>
        <w:rPr>
          <w:color w:val="000000" w:themeColor="text1"/>
          <w:kern w:val="2"/>
          <w14:textFill>
            <w14:solidFill>
              <w14:schemeClr w14:val="tx1"/>
            </w14:solidFill>
          </w14:textFill>
        </w:rPr>
        <w:t>1.4</w:t>
      </w:r>
      <w:r>
        <w:rPr>
          <w:rFonts w:hint="eastAsia"/>
          <w:color w:val="000000" w:themeColor="text1"/>
          <w:kern w:val="2"/>
          <w:lang w:val="en-US" w:eastAsia="zh-CN"/>
          <w14:textFill>
            <w14:solidFill>
              <w14:schemeClr w14:val="tx1"/>
            </w14:solidFill>
          </w14:textFill>
        </w:rPr>
        <w:t xml:space="preserve"> </w:t>
      </w:r>
      <w:r>
        <w:rPr>
          <w:rFonts w:hint="eastAsia"/>
          <w:color w:val="000000" w:themeColor="text1"/>
          <w:kern w:val="2"/>
          <w:lang w:eastAsia="zh-CN"/>
          <w14:textFill>
            <w14:solidFill>
              <w14:schemeClr w14:val="tx1"/>
            </w14:solidFill>
          </w14:textFill>
        </w:rPr>
        <w:t>区划</w:t>
      </w:r>
      <w:r>
        <w:rPr>
          <w:color w:val="000000" w:themeColor="text1"/>
          <w:kern w:val="2"/>
          <w14:textFill>
            <w14:solidFill>
              <w14:schemeClr w14:val="tx1"/>
            </w14:solidFill>
          </w14:textFill>
        </w:rPr>
        <w:t>依据</w:t>
      </w:r>
      <w:bookmarkEnd w:id="20"/>
      <w:bookmarkEnd w:id="21"/>
      <w:bookmarkEnd w:id="22"/>
      <w:bookmarkEnd w:id="23"/>
    </w:p>
    <w:p w14:paraId="33DC71DD">
      <w:pPr>
        <w:pStyle w:val="4"/>
        <w:rPr>
          <w:rFonts w:hint="eastAsia"/>
          <w:color w:val="000000" w:themeColor="text1"/>
          <w14:textFill>
            <w14:solidFill>
              <w14:schemeClr w14:val="tx1"/>
            </w14:solidFill>
          </w14:textFill>
        </w:rPr>
      </w:pPr>
      <w:bookmarkStart w:id="24" w:name="_Toc11895"/>
      <w:r>
        <w:rPr>
          <w:rFonts w:hint="eastAsia"/>
          <w:color w:val="000000" w:themeColor="text1"/>
          <w14:textFill>
            <w14:solidFill>
              <w14:schemeClr w14:val="tx1"/>
            </w14:solidFill>
          </w14:textFill>
        </w:rPr>
        <w:t>1.4.1</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法律法规</w:t>
      </w:r>
      <w:bookmarkEnd w:id="24"/>
    </w:p>
    <w:p w14:paraId="280B78E5">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（1）《中华人民共和国环境保护法》（2015年1月1日）；</w:t>
      </w:r>
    </w:p>
    <w:p w14:paraId="53E6F349">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（2）《中华人民共和国噪声污染防治法》（</w:t>
      </w:r>
      <w:r>
        <w:rPr>
          <w:rFonts w:hint="eastAsia"/>
          <w:color w:val="000000" w:themeColor="text1"/>
          <w:lang w:val="en-US" w:eastAsia="zh-CN"/>
          <w14:textFill>
            <w14:solidFill>
              <w14:schemeClr w14:val="tx1"/>
            </w14:solidFill>
          </w14:textFill>
        </w:rPr>
        <w:t>2022年6月5日</w:t>
      </w:r>
      <w:r>
        <w:rPr>
          <w:rFonts w:hint="eastAsia"/>
          <w:color w:val="000000" w:themeColor="text1"/>
          <w14:textFill>
            <w14:solidFill>
              <w14:schemeClr w14:val="tx1"/>
            </w14:solidFill>
          </w14:textFill>
        </w:rPr>
        <w:t>）。</w:t>
      </w:r>
    </w:p>
    <w:p w14:paraId="4E11E946">
      <w:pPr>
        <w:pStyle w:val="4"/>
        <w:rPr>
          <w:rFonts w:hint="eastAsia"/>
          <w:color w:val="000000" w:themeColor="text1"/>
          <w14:textFill>
            <w14:solidFill>
              <w14:schemeClr w14:val="tx1"/>
            </w14:solidFill>
          </w14:textFill>
        </w:rPr>
      </w:pPr>
      <w:bookmarkStart w:id="25" w:name="_Toc6127"/>
      <w:r>
        <w:rPr>
          <w:rFonts w:hint="eastAsia"/>
          <w:color w:val="000000" w:themeColor="text1"/>
          <w14:textFill>
            <w14:solidFill>
              <w14:schemeClr w14:val="tx1"/>
            </w14:solidFill>
          </w14:textFill>
        </w:rPr>
        <w:t>1.4.2</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规范标准</w:t>
      </w:r>
      <w:bookmarkEnd w:id="25"/>
    </w:p>
    <w:p w14:paraId="7C77D683">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（1）《声环境功能区划分技术规范》（GB/T</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15190-2014）；</w:t>
      </w:r>
    </w:p>
    <w:p w14:paraId="29A7CB7A">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（2）《声环境质量标准》（GB</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3096-2008）；</w:t>
      </w:r>
    </w:p>
    <w:p w14:paraId="64E59E50">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（3）《城市用地分类与规划建设用地标准》（GB</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50137-2011）；</w:t>
      </w:r>
    </w:p>
    <w:p w14:paraId="361B6EF4">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（4）《环境噪声监测技术规范</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城市声环境常规监测》（HJ</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640-2012）；</w:t>
      </w:r>
    </w:p>
    <w:p w14:paraId="48308A75">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（5）《环境噪声监测技术规范</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噪声测量值修正》（HJ</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706-2014）；</w:t>
      </w:r>
    </w:p>
    <w:p w14:paraId="1705D43D">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（6）《声学、机动车定置噪声测量方法》（GB/T</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14365-93）；</w:t>
      </w:r>
    </w:p>
    <w:p w14:paraId="11F1DC94">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（7）</w:t>
      </w:r>
      <w:r>
        <w:rPr>
          <w:rFonts w:hint="eastAsia"/>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电声学</w:t>
      </w:r>
      <w:r>
        <w:rPr>
          <w:rFonts w:hint="eastAsia"/>
          <w:color w:val="000000" w:themeColor="text1"/>
          <w:highlight w:val="none"/>
          <w14:textFill>
            <w14:solidFill>
              <w14:schemeClr w14:val="tx1"/>
            </w14:solidFill>
          </w14:textFill>
        </w:rPr>
        <w:t>声校准器》（GB/T</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15173-</w:t>
      </w:r>
      <w:r>
        <w:rPr>
          <w:rFonts w:hint="eastAsia"/>
          <w:color w:val="000000" w:themeColor="text1"/>
          <w:highlight w:val="none"/>
          <w:lang w:val="en-US" w:eastAsia="zh-CN"/>
          <w14:textFill>
            <w14:solidFill>
              <w14:schemeClr w14:val="tx1"/>
            </w14:solidFill>
          </w14:textFill>
        </w:rPr>
        <w:t>2021</w:t>
      </w:r>
      <w:r>
        <w:rPr>
          <w:rFonts w:hint="eastAsia"/>
          <w:color w:val="000000" w:themeColor="text1"/>
          <w:highlight w:val="none"/>
          <w14:textFill>
            <w14:solidFill>
              <w14:schemeClr w14:val="tx1"/>
            </w14:solidFill>
          </w14:textFill>
        </w:rPr>
        <w:t>）</w:t>
      </w:r>
      <w:r>
        <w:rPr>
          <w:rFonts w:hint="eastAsia"/>
          <w:color w:val="000000" w:themeColor="text1"/>
          <w14:textFill>
            <w14:solidFill>
              <w14:schemeClr w14:val="tx1"/>
            </w14:solidFill>
          </w14:textFill>
        </w:rPr>
        <w:t>；</w:t>
      </w:r>
    </w:p>
    <w:p w14:paraId="3022AEE5">
      <w:pPr>
        <w:ind w:firstLine="471"/>
        <w:rPr>
          <w:rFonts w:hint="eastAsia"/>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（8）《积分平均声级计》（GB/T</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17181-1997）</w:t>
      </w:r>
      <w:r>
        <w:rPr>
          <w:rFonts w:hint="eastAsia"/>
          <w:color w:val="000000" w:themeColor="text1"/>
          <w:highlight w:val="none"/>
          <w:lang w:eastAsia="zh-CN"/>
          <w14:textFill>
            <w14:solidFill>
              <w14:schemeClr w14:val="tx1"/>
            </w14:solidFill>
          </w14:textFill>
        </w:rPr>
        <w:t>；</w:t>
      </w:r>
    </w:p>
    <w:p w14:paraId="7D3D0AF9">
      <w:pPr>
        <w:ind w:firstLine="471"/>
        <w:rPr>
          <w:rFonts w:hint="eastAsia" w:ascii="Times New Roman" w:hAnsi="Times New Roman" w:eastAsia="宋体"/>
          <w:color w:val="000000" w:themeColor="text1"/>
          <w:lang w:eastAsia="zh-CN"/>
          <w14:textFill>
            <w14:solidFill>
              <w14:schemeClr w14:val="tx1"/>
            </w14:solidFill>
          </w14:textFill>
        </w:rPr>
      </w:pPr>
      <w:r>
        <w:rPr>
          <w:rFonts w:hint="eastAsia" w:ascii="Times New Roman" w:hAnsi="Times New Roman" w:eastAsia="宋体"/>
          <w:color w:val="000000" w:themeColor="text1"/>
          <w:lang w:eastAsia="zh-CN"/>
          <w14:textFill>
            <w14:solidFill>
              <w14:schemeClr w14:val="tx1"/>
            </w14:solidFill>
          </w14:textFill>
        </w:rPr>
        <w:t>（</w:t>
      </w:r>
      <w:r>
        <w:rPr>
          <w:rFonts w:hint="eastAsia" w:ascii="Times New Roman" w:hAnsi="Times New Roman" w:eastAsia="宋体"/>
          <w:color w:val="000000" w:themeColor="text1"/>
          <w:lang w:val="en-US" w:eastAsia="zh-CN"/>
          <w14:textFill>
            <w14:solidFill>
              <w14:schemeClr w14:val="tx1"/>
            </w14:solidFill>
          </w14:textFill>
        </w:rPr>
        <w:t>9</w:t>
      </w:r>
      <w:r>
        <w:rPr>
          <w:rFonts w:hint="eastAsia" w:ascii="Times New Roman" w:hAnsi="Times New Roman" w:eastAsia="宋体"/>
          <w:color w:val="000000" w:themeColor="text1"/>
          <w:lang w:eastAsia="zh-CN"/>
          <w14:textFill>
            <w14:solidFill>
              <w14:schemeClr w14:val="tx1"/>
            </w14:solidFill>
          </w14:textFill>
        </w:rPr>
        <w:t>）</w:t>
      </w:r>
      <w:r>
        <w:rPr>
          <w:rFonts w:hint="eastAsia" w:ascii="Times New Roman" w:hAnsi="Times New Roman" w:eastAsia="宋体"/>
          <w:color w:val="000000" w:themeColor="text1"/>
          <w14:textFill>
            <w14:solidFill>
              <w14:schemeClr w14:val="tx1"/>
            </w14:solidFill>
          </w14:textFill>
        </w:rPr>
        <w:t>《公路工程技术标准》（JTG</w:t>
      </w:r>
      <w:r>
        <w:rPr>
          <w:rFonts w:hint="eastAsia" w:ascii="Times New Roman" w:hAnsi="Times New Roman" w:eastAsia="宋体"/>
          <w:color w:val="000000" w:themeColor="text1"/>
          <w:lang w:val="en-US" w:eastAsia="zh-CN"/>
          <w14:textFill>
            <w14:solidFill>
              <w14:schemeClr w14:val="tx1"/>
            </w14:solidFill>
          </w14:textFill>
        </w:rPr>
        <w:t xml:space="preserve"> </w:t>
      </w:r>
      <w:r>
        <w:rPr>
          <w:rFonts w:hint="eastAsia" w:ascii="Times New Roman" w:hAnsi="Times New Roman" w:eastAsia="宋体"/>
          <w:color w:val="000000" w:themeColor="text1"/>
          <w14:textFill>
            <w14:solidFill>
              <w14:schemeClr w14:val="tx1"/>
            </w14:solidFill>
          </w14:textFill>
        </w:rPr>
        <w:t>B01-2014）</w:t>
      </w:r>
      <w:r>
        <w:rPr>
          <w:rFonts w:hint="eastAsia" w:ascii="Times New Roman" w:hAnsi="Times New Roman" w:eastAsia="宋体"/>
          <w:color w:val="000000" w:themeColor="text1"/>
          <w:lang w:eastAsia="zh-CN"/>
          <w14:textFill>
            <w14:solidFill>
              <w14:schemeClr w14:val="tx1"/>
            </w14:solidFill>
          </w14:textFill>
        </w:rPr>
        <w:t>；</w:t>
      </w:r>
    </w:p>
    <w:p w14:paraId="3CE0A71C">
      <w:pPr>
        <w:ind w:firstLine="471"/>
        <w:rPr>
          <w:rFonts w:hint="eastAsia" w:ascii="Times New Roman" w:hAnsi="Times New Roman" w:eastAsia="宋体"/>
          <w:color w:val="000000" w:themeColor="text1"/>
          <w:lang w:eastAsia="zh-CN"/>
          <w14:textFill>
            <w14:solidFill>
              <w14:schemeClr w14:val="tx1"/>
            </w14:solidFill>
          </w14:textFill>
        </w:rPr>
      </w:pPr>
      <w:r>
        <w:rPr>
          <w:rFonts w:hint="eastAsia" w:ascii="Times New Roman" w:hAnsi="Times New Roman" w:eastAsia="宋体"/>
          <w:color w:val="000000" w:themeColor="text1"/>
          <w:lang w:eastAsia="zh-CN"/>
          <w14:textFill>
            <w14:solidFill>
              <w14:schemeClr w14:val="tx1"/>
            </w14:solidFill>
          </w14:textFill>
        </w:rPr>
        <w:t>（</w:t>
      </w:r>
      <w:r>
        <w:rPr>
          <w:rFonts w:hint="eastAsia" w:ascii="Times New Roman" w:hAnsi="Times New Roman" w:eastAsia="宋体"/>
          <w:color w:val="000000" w:themeColor="text1"/>
          <w:lang w:val="en-US" w:eastAsia="zh-CN"/>
          <w14:textFill>
            <w14:solidFill>
              <w14:schemeClr w14:val="tx1"/>
            </w14:solidFill>
          </w14:textFill>
        </w:rPr>
        <w:t>10</w:t>
      </w:r>
      <w:r>
        <w:rPr>
          <w:rFonts w:hint="eastAsia" w:ascii="Times New Roman" w:hAnsi="Times New Roman" w:eastAsia="宋体"/>
          <w:color w:val="000000" w:themeColor="text1"/>
          <w:lang w:eastAsia="zh-CN"/>
          <w14:textFill>
            <w14:solidFill>
              <w14:schemeClr w14:val="tx1"/>
            </w14:solidFill>
          </w14:textFill>
        </w:rPr>
        <w:t>）</w:t>
      </w:r>
      <w:r>
        <w:rPr>
          <w:rFonts w:hint="eastAsia" w:ascii="Times New Roman" w:hAnsi="Times New Roman" w:eastAsia="宋体"/>
          <w:color w:val="000000" w:themeColor="text1"/>
          <w14:textFill>
            <w14:solidFill>
              <w14:schemeClr w14:val="tx1"/>
            </w14:solidFill>
          </w14:textFill>
        </w:rPr>
        <w:t>《城市道路工程设计规范》（CJJ</w:t>
      </w:r>
      <w:r>
        <w:rPr>
          <w:rFonts w:hint="eastAsia" w:ascii="Times New Roman" w:hAnsi="Times New Roman" w:eastAsia="宋体"/>
          <w:color w:val="000000" w:themeColor="text1"/>
          <w:lang w:val="en-US" w:eastAsia="zh-CN"/>
          <w14:textFill>
            <w14:solidFill>
              <w14:schemeClr w14:val="tx1"/>
            </w14:solidFill>
          </w14:textFill>
        </w:rPr>
        <w:t xml:space="preserve"> </w:t>
      </w:r>
      <w:r>
        <w:rPr>
          <w:rFonts w:hint="eastAsia" w:ascii="Times New Roman" w:hAnsi="Times New Roman" w:eastAsia="宋体"/>
          <w:color w:val="000000" w:themeColor="text1"/>
          <w14:textFill>
            <w14:solidFill>
              <w14:schemeClr w14:val="tx1"/>
            </w14:solidFill>
          </w14:textFill>
        </w:rPr>
        <w:t>37-2012）</w:t>
      </w:r>
      <w:r>
        <w:rPr>
          <w:rFonts w:hint="eastAsia" w:ascii="Times New Roman" w:hAnsi="Times New Roman" w:eastAsia="宋体"/>
          <w:color w:val="000000" w:themeColor="text1"/>
          <w:lang w:eastAsia="zh-CN"/>
          <w14:textFill>
            <w14:solidFill>
              <w14:schemeClr w14:val="tx1"/>
            </w14:solidFill>
          </w14:textFill>
        </w:rPr>
        <w:t>；</w:t>
      </w:r>
    </w:p>
    <w:p w14:paraId="285B2B4D">
      <w:pPr>
        <w:ind w:firstLine="471"/>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11</w:t>
      </w:r>
      <w:r>
        <w:rPr>
          <w:rFonts w:hint="default"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kern w:val="21"/>
          <w:sz w:val="24"/>
          <w:szCs w:val="24"/>
          <w14:textFill>
            <w14:solidFill>
              <w14:schemeClr w14:val="tx1"/>
            </w14:solidFill>
          </w14:textFill>
        </w:rPr>
        <w:t>《城市规划基本术语标准》（</w:t>
      </w:r>
      <w:r>
        <w:rPr>
          <w:rFonts w:ascii="Times New Roman" w:hAnsi="Times New Roman" w:eastAsia="宋体" w:cs="Times New Roman"/>
          <w:color w:val="000000" w:themeColor="text1"/>
          <w:kern w:val="21"/>
          <w:sz w:val="24"/>
          <w:szCs w:val="24"/>
          <w14:textFill>
            <w14:solidFill>
              <w14:schemeClr w14:val="tx1"/>
            </w14:solidFill>
          </w14:textFill>
        </w:rPr>
        <w:t>GB/T</w:t>
      </w:r>
      <w:r>
        <w:rPr>
          <w:rFonts w:hint="eastAsia" w:ascii="Times New Roman" w:hAnsi="Times New Roman" w:eastAsia="宋体" w:cs="Times New Roman"/>
          <w:color w:val="000000" w:themeColor="text1"/>
          <w:kern w:val="21"/>
          <w:sz w:val="24"/>
          <w:szCs w:val="24"/>
          <w:lang w:val="en-US" w:eastAsia="zh-CN"/>
          <w14:textFill>
            <w14:solidFill>
              <w14:schemeClr w14:val="tx1"/>
            </w14:solidFill>
          </w14:textFill>
        </w:rPr>
        <w:t xml:space="preserve"> </w:t>
      </w:r>
      <w:r>
        <w:rPr>
          <w:rFonts w:ascii="Times New Roman" w:hAnsi="Times New Roman" w:eastAsia="宋体" w:cs="Times New Roman"/>
          <w:color w:val="000000" w:themeColor="text1"/>
          <w:kern w:val="21"/>
          <w:sz w:val="24"/>
          <w:szCs w:val="24"/>
          <w14:textFill>
            <w14:solidFill>
              <w14:schemeClr w14:val="tx1"/>
            </w14:solidFill>
          </w14:textFill>
        </w:rPr>
        <w:t>50280</w:t>
      </w:r>
      <w:r>
        <w:rPr>
          <w:rFonts w:hint="default" w:ascii="Times New Roman" w:hAnsi="Times New Roman" w:eastAsia="宋体" w:cs="Times New Roman"/>
          <w:color w:val="000000" w:themeColor="text1"/>
          <w:kern w:val="21"/>
          <w:sz w:val="24"/>
          <w:szCs w:val="24"/>
          <w14:textFill>
            <w14:solidFill>
              <w14:schemeClr w14:val="tx1"/>
            </w14:solidFill>
          </w14:textFill>
        </w:rPr>
        <w:t>-1998）</w:t>
      </w:r>
      <w:r>
        <w:rPr>
          <w:rFonts w:hint="default" w:ascii="Times New Roman" w:hAnsi="Times New Roman" w:cs="Times New Roman"/>
          <w:color w:val="000000" w:themeColor="text1"/>
          <w14:textFill>
            <w14:solidFill>
              <w14:schemeClr w14:val="tx1"/>
            </w14:solidFill>
          </w14:textFill>
        </w:rPr>
        <w:t>。</w:t>
      </w:r>
    </w:p>
    <w:p w14:paraId="7878F2C4">
      <w:pPr>
        <w:pStyle w:val="4"/>
        <w:rPr>
          <w:rFonts w:hint="eastAsia"/>
          <w:color w:val="000000" w:themeColor="text1"/>
          <w14:textFill>
            <w14:solidFill>
              <w14:schemeClr w14:val="tx1"/>
            </w14:solidFill>
          </w14:textFill>
        </w:rPr>
      </w:pPr>
      <w:bookmarkStart w:id="26" w:name="_Toc3548"/>
      <w:r>
        <w:rPr>
          <w:rFonts w:hint="eastAsia"/>
          <w:color w:val="000000" w:themeColor="text1"/>
          <w14:textFill>
            <w14:solidFill>
              <w14:schemeClr w14:val="tx1"/>
            </w14:solidFill>
          </w14:textFill>
        </w:rPr>
        <w:t>1.4.3</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其他依据</w:t>
      </w:r>
      <w:bookmarkEnd w:id="26"/>
    </w:p>
    <w:p w14:paraId="7BB03262">
      <w:pPr>
        <w:ind w:firstLine="471"/>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（1）《绥滨县国土空间总体规划（2021—2035年）》；</w:t>
      </w:r>
    </w:p>
    <w:p w14:paraId="59810994">
      <w:pPr>
        <w:ind w:firstLine="471"/>
        <w:rPr>
          <w:rFonts w:hint="eastAsia"/>
          <w:color w:val="000000" w:themeColor="text1"/>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w:t>
      </w:r>
      <w:r>
        <w:rPr>
          <w:rFonts w:hint="eastAsia"/>
          <w:color w:val="000000" w:themeColor="text1"/>
          <w14:textFill>
            <w14:solidFill>
              <w14:schemeClr w14:val="tx1"/>
            </w14:solidFill>
          </w14:textFill>
        </w:rPr>
        <w:t>《关于加强和规范声环境功能区划分管理工作的通知》（环办大气函﹝2017﹞1709号</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2017年11月10日）。</w:t>
      </w:r>
    </w:p>
    <w:p w14:paraId="07268CCD">
      <w:pPr>
        <w:pStyle w:val="3"/>
        <w:keepNext/>
        <w:keepLines/>
        <w:rPr>
          <w:color w:val="000000" w:themeColor="text1"/>
          <w:kern w:val="2"/>
          <w14:textFill>
            <w14:solidFill>
              <w14:schemeClr w14:val="tx1"/>
            </w14:solidFill>
          </w14:textFill>
        </w:rPr>
      </w:pPr>
      <w:bookmarkStart w:id="27" w:name="_Toc25495"/>
      <w:bookmarkStart w:id="28" w:name="_Toc31939"/>
      <w:bookmarkStart w:id="29" w:name="_Toc6386"/>
      <w:bookmarkStart w:id="30" w:name="_Toc30031"/>
      <w:r>
        <w:rPr>
          <w:color w:val="000000" w:themeColor="text1"/>
          <w:kern w:val="2"/>
          <w14:textFill>
            <w14:solidFill>
              <w14:schemeClr w14:val="tx1"/>
            </w14:solidFill>
          </w14:textFill>
        </w:rPr>
        <w:t>1.5</w:t>
      </w:r>
      <w:r>
        <w:rPr>
          <w:rFonts w:hint="eastAsia"/>
          <w:color w:val="000000" w:themeColor="text1"/>
          <w:kern w:val="2"/>
          <w:lang w:val="en-US" w:eastAsia="zh-CN"/>
          <w14:textFill>
            <w14:solidFill>
              <w14:schemeClr w14:val="tx1"/>
            </w14:solidFill>
          </w14:textFill>
        </w:rPr>
        <w:t xml:space="preserve"> </w:t>
      </w:r>
      <w:r>
        <w:rPr>
          <w:rFonts w:hint="eastAsia"/>
          <w:color w:val="000000" w:themeColor="text1"/>
          <w:kern w:val="2"/>
          <w:lang w:eastAsia="zh-CN"/>
          <w14:textFill>
            <w14:solidFill>
              <w14:schemeClr w14:val="tx1"/>
            </w14:solidFill>
          </w14:textFill>
        </w:rPr>
        <w:t>区划</w:t>
      </w:r>
      <w:r>
        <w:rPr>
          <w:color w:val="000000" w:themeColor="text1"/>
          <w:kern w:val="2"/>
          <w14:textFill>
            <w14:solidFill>
              <w14:schemeClr w14:val="tx1"/>
            </w14:solidFill>
          </w14:textFill>
        </w:rPr>
        <w:t>流程</w:t>
      </w:r>
      <w:bookmarkEnd w:id="27"/>
      <w:bookmarkEnd w:id="28"/>
      <w:bookmarkEnd w:id="29"/>
      <w:bookmarkEnd w:id="30"/>
    </w:p>
    <w:p w14:paraId="49902F3F">
      <w:pPr>
        <w:ind w:firstLine="471"/>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本次区划工作主要流程有以下几个部分：</w:t>
      </w:r>
    </w:p>
    <w:p w14:paraId="3802B98C">
      <w:pPr>
        <w:ind w:firstLine="471"/>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收集</w:t>
      </w:r>
      <w:r>
        <w:rPr>
          <w:rFonts w:hint="eastAsia"/>
          <w:color w:val="000000" w:themeColor="text1"/>
          <w:highlight w:val="none"/>
          <w14:textFill>
            <w14:solidFill>
              <w14:schemeClr w14:val="tx1"/>
            </w14:solidFill>
          </w14:textFill>
        </w:rPr>
        <w:t>区划工作中所需资料，</w:t>
      </w:r>
      <w:r>
        <w:rPr>
          <w:rFonts w:hint="eastAsia"/>
          <w:color w:val="000000" w:themeColor="text1"/>
          <w:highlight w:val="none"/>
          <w:lang w:val="en-US" w:eastAsia="zh-CN"/>
          <w14:textFill>
            <w14:solidFill>
              <w14:schemeClr w14:val="tx1"/>
            </w14:solidFill>
          </w14:textFill>
        </w:rPr>
        <w:t>主要为</w:t>
      </w:r>
      <w:r>
        <w:rPr>
          <w:rFonts w:hint="eastAsia"/>
          <w:color w:val="000000" w:themeColor="text1"/>
          <w:highlight w:val="none"/>
          <w:lang w:eastAsia="zh-CN"/>
          <w14:textFill>
            <w14:solidFill>
              <w14:schemeClr w14:val="tx1"/>
            </w14:solidFill>
          </w14:textFill>
        </w:rPr>
        <w:t>绥滨县国土空间总体规划</w:t>
      </w:r>
      <w:r>
        <w:rPr>
          <w:rFonts w:hint="eastAsia"/>
          <w:color w:val="000000" w:themeColor="text1"/>
          <w:highlight w:val="none"/>
          <w14:textFill>
            <w14:solidFill>
              <w14:schemeClr w14:val="tx1"/>
            </w14:solidFill>
          </w14:textFill>
        </w:rPr>
        <w:t>等；</w:t>
      </w:r>
    </w:p>
    <w:p w14:paraId="325709AE">
      <w:pPr>
        <w:ind w:firstLine="471"/>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根据</w:t>
      </w:r>
      <w:r>
        <w:rPr>
          <w:rFonts w:hint="eastAsia"/>
          <w:color w:val="000000" w:themeColor="text1"/>
          <w:highlight w:val="none"/>
          <w:lang w:eastAsia="zh-CN"/>
          <w14:textFill>
            <w14:solidFill>
              <w14:schemeClr w14:val="tx1"/>
            </w14:solidFill>
          </w14:textFill>
        </w:rPr>
        <w:t>绥滨</w:t>
      </w:r>
      <w:r>
        <w:rPr>
          <w:rFonts w:hint="eastAsia"/>
          <w:color w:val="000000" w:themeColor="text1"/>
          <w:highlight w:val="none"/>
          <w:lang w:val="en-US" w:eastAsia="zh-CN"/>
          <w14:textFill>
            <w14:solidFill>
              <w14:schemeClr w14:val="tx1"/>
            </w14:solidFill>
          </w14:textFill>
        </w:rPr>
        <w:t>县中心城区土地利用现状、国土空间规划中的中心城区土地使用规划图</w:t>
      </w:r>
      <w:r>
        <w:rPr>
          <w:rFonts w:hint="eastAsia"/>
          <w:color w:val="000000" w:themeColor="text1"/>
          <w:highlight w:val="none"/>
          <w14:textFill>
            <w14:solidFill>
              <w14:schemeClr w14:val="tx1"/>
            </w14:solidFill>
          </w14:textFill>
        </w:rPr>
        <w:t>进行分析，初步确定各级声功能区划范围；</w:t>
      </w:r>
    </w:p>
    <w:p w14:paraId="0485AA33">
      <w:pPr>
        <w:ind w:firstLine="471"/>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（3）对</w:t>
      </w:r>
      <w:r>
        <w:rPr>
          <w:rFonts w:hint="eastAsia"/>
          <w:color w:val="000000" w:themeColor="text1"/>
          <w:highlight w:val="none"/>
          <w:lang w:eastAsia="zh-CN"/>
          <w14:textFill>
            <w14:solidFill>
              <w14:schemeClr w14:val="tx1"/>
            </w14:solidFill>
          </w14:textFill>
        </w:rPr>
        <w:t>绥滨县</w:t>
      </w:r>
      <w:r>
        <w:rPr>
          <w:rFonts w:hint="eastAsia"/>
          <w:color w:val="000000" w:themeColor="text1"/>
          <w:highlight w:val="none"/>
          <w:lang w:val="en-US" w:eastAsia="zh-CN"/>
          <w14:textFill>
            <w14:solidFill>
              <w14:schemeClr w14:val="tx1"/>
            </w14:solidFill>
          </w14:textFill>
        </w:rPr>
        <w:t>中心城区</w:t>
      </w:r>
      <w:r>
        <w:rPr>
          <w:rFonts w:hint="eastAsia"/>
          <w:color w:val="000000" w:themeColor="text1"/>
          <w:highlight w:val="none"/>
          <w14:textFill>
            <w14:solidFill>
              <w14:schemeClr w14:val="tx1"/>
            </w14:solidFill>
          </w14:textFill>
        </w:rPr>
        <w:t>内各用地类型及主要交通道路布设环境噪声监测点，分析环境噪声分布特征，并对初步确定的各级声功能区划范围进行调整；</w:t>
      </w:r>
    </w:p>
    <w:p w14:paraId="47D03A8C">
      <w:pPr>
        <w:ind w:firstLine="471"/>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征求相关部门意见，确定区划方案后编写区划报告，绘制声功能区划图</w:t>
      </w:r>
      <w:r>
        <w:rPr>
          <w:rFonts w:hint="eastAsia"/>
          <w:color w:val="000000" w:themeColor="text1"/>
          <w:highlight w:val="none"/>
          <w14:textFill>
            <w14:solidFill>
              <w14:schemeClr w14:val="tx1"/>
            </w14:solidFill>
          </w14:textFill>
        </w:rPr>
        <w:t>；</w:t>
      </w:r>
    </w:p>
    <w:p w14:paraId="145DF9A3">
      <w:pPr>
        <w:ind w:firstLine="471"/>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组织专家对区划方案进行评审，</w:t>
      </w:r>
      <w:r>
        <w:rPr>
          <w:rFonts w:hint="eastAsia"/>
          <w:color w:val="000000" w:themeColor="text1"/>
          <w:highlight w:val="none"/>
          <w14:textFill>
            <w14:solidFill>
              <w14:schemeClr w14:val="tx1"/>
            </w14:solidFill>
          </w14:textFill>
        </w:rPr>
        <w:t>并报政府部门审批、公示等</w:t>
      </w:r>
    </w:p>
    <w:p w14:paraId="53ACC279">
      <w:pPr>
        <w:ind w:firstLine="471"/>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具体工作流程如图</w:t>
      </w:r>
      <w:r>
        <w:rPr>
          <w:rFonts w:hint="eastAsia"/>
          <w:color w:val="000000" w:themeColor="text1"/>
          <w:highlight w:val="none"/>
          <w:lang w:val="en-US" w:eastAsia="zh-CN"/>
          <w14:textFill>
            <w14:solidFill>
              <w14:schemeClr w14:val="tx1"/>
            </w14:solidFill>
          </w14:textFill>
        </w:rPr>
        <w:t>1-1</w:t>
      </w:r>
      <w:r>
        <w:rPr>
          <w:rFonts w:hint="eastAsia"/>
          <w:color w:val="000000" w:themeColor="text1"/>
          <w:highlight w:val="none"/>
          <w14:textFill>
            <w14:solidFill>
              <w14:schemeClr w14:val="tx1"/>
            </w14:solidFill>
          </w14:textFill>
        </w:rPr>
        <w:t>所示。</w:t>
      </w:r>
    </w:p>
    <w:p w14:paraId="223E7A63">
      <w:pPr>
        <w:pStyle w:val="3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025" o:spt="75" type="#_x0000_t75" style="height:632.35pt;width:293.3pt;" o:ole="t" filled="f" o:preferrelative="t" stroked="f" coordsize="21600,21600">
            <v:path/>
            <v:fill on="f" focussize="0,0"/>
            <v:stroke on="f"/>
            <v:imagedata r:id="rId15" o:title=""/>
            <o:lock v:ext="edit" aspectratio="f"/>
            <w10:wrap type="none"/>
            <w10:anchorlock/>
          </v:shape>
          <o:OLEObject Type="Embed" ProgID="Visio.Drawing.15" ShapeID="_x0000_i1025" DrawAspect="Content" ObjectID="_1468075725" r:id="rId14">
            <o:LockedField>false</o:LockedField>
          </o:OLEObject>
        </w:object>
      </w:r>
    </w:p>
    <w:p w14:paraId="0BE67338">
      <w:pPr>
        <w:pStyle w:val="31"/>
        <w:rPr>
          <w:color w:val="000000" w:themeColor="text1"/>
          <w14:textFill>
            <w14:solidFill>
              <w14:schemeClr w14:val="tx1"/>
            </w14:solidFill>
          </w14:textFill>
        </w:rPr>
      </w:pPr>
      <w:r>
        <w:rPr>
          <w:color w:val="000000" w:themeColor="text1"/>
          <w14:textFill>
            <w14:solidFill>
              <w14:schemeClr w14:val="tx1"/>
            </w14:solidFill>
          </w14:textFill>
        </w:rPr>
        <w:t>图1-1</w:t>
      </w:r>
      <w:r>
        <w:rPr>
          <w:rFonts w:hint="eastAsia"/>
          <w:color w:val="000000" w:themeColor="text1"/>
          <w:lang w:val="en-US" w:eastAsia="zh-CN"/>
          <w14:textFill>
            <w14:solidFill>
              <w14:schemeClr w14:val="tx1"/>
            </w14:solidFill>
          </w14:textFill>
        </w:rPr>
        <w:t xml:space="preserve">  </w:t>
      </w:r>
      <w:r>
        <w:rPr>
          <w:color w:val="000000" w:themeColor="text1"/>
          <w14:textFill>
            <w14:solidFill>
              <w14:schemeClr w14:val="tx1"/>
            </w14:solidFill>
          </w14:textFill>
        </w:rPr>
        <w:t>声环境功能区划分工作流程图</w:t>
      </w:r>
    </w:p>
    <w:p w14:paraId="1B9711B8">
      <w:pPr>
        <w:pStyle w:val="3"/>
        <w:keepNext/>
        <w:keepLines/>
        <w:rPr>
          <w:color w:val="000000" w:themeColor="text1"/>
          <w:kern w:val="2"/>
          <w14:textFill>
            <w14:solidFill>
              <w14:schemeClr w14:val="tx1"/>
            </w14:solidFill>
          </w14:textFill>
        </w:rPr>
      </w:pPr>
      <w:bookmarkStart w:id="31" w:name="_Toc12994"/>
      <w:bookmarkStart w:id="32" w:name="_Toc18167"/>
      <w:bookmarkStart w:id="33" w:name="_Toc28587"/>
      <w:bookmarkStart w:id="34" w:name="_Toc19548"/>
      <w:r>
        <w:rPr>
          <w:color w:val="000000" w:themeColor="text1"/>
          <w:kern w:val="2"/>
          <w14:textFill>
            <w14:solidFill>
              <w14:schemeClr w14:val="tx1"/>
            </w14:solidFill>
          </w14:textFill>
        </w:rPr>
        <w:t>1.6</w:t>
      </w:r>
      <w:r>
        <w:rPr>
          <w:rFonts w:hint="eastAsia"/>
          <w:color w:val="000000" w:themeColor="text1"/>
          <w:kern w:val="2"/>
          <w:lang w:val="en-US" w:eastAsia="zh-CN"/>
          <w14:textFill>
            <w14:solidFill>
              <w14:schemeClr w14:val="tx1"/>
            </w14:solidFill>
          </w14:textFill>
        </w:rPr>
        <w:t xml:space="preserve"> </w:t>
      </w:r>
      <w:r>
        <w:rPr>
          <w:color w:val="000000" w:themeColor="text1"/>
          <w:kern w:val="2"/>
          <w14:textFill>
            <w14:solidFill>
              <w14:schemeClr w14:val="tx1"/>
            </w14:solidFill>
          </w14:textFill>
        </w:rPr>
        <w:t>区划范围</w:t>
      </w:r>
      <w:bookmarkEnd w:id="31"/>
      <w:bookmarkEnd w:id="32"/>
      <w:bookmarkEnd w:id="33"/>
      <w:bookmarkEnd w:id="34"/>
    </w:p>
    <w:p w14:paraId="329EA95E">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本次区划范围为</w:t>
      </w:r>
      <w:r>
        <w:rPr>
          <w:rFonts w:hint="eastAsia"/>
          <w:color w:val="000000" w:themeColor="text1"/>
          <w:lang w:eastAsia="zh-CN"/>
          <w14:textFill>
            <w14:solidFill>
              <w14:schemeClr w14:val="tx1"/>
            </w14:solidFill>
          </w14:textFill>
        </w:rPr>
        <w:t>绥滨县中心城区（绥滨</w:t>
      </w:r>
      <w:r>
        <w:rPr>
          <w:rFonts w:hint="eastAsia"/>
          <w:color w:val="000000" w:themeColor="text1"/>
          <w:lang w:val="en-US" w:eastAsia="zh-CN"/>
          <w14:textFill>
            <w14:solidFill>
              <w14:schemeClr w14:val="tx1"/>
            </w14:solidFill>
          </w14:textFill>
        </w:rPr>
        <w:t>县国土空间总体规划中城镇开发边界范围</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w:t>
      </w:r>
    </w:p>
    <w:p w14:paraId="46A2B945">
      <w:pPr>
        <w:pStyle w:val="3"/>
        <w:keepNext/>
        <w:keepLines/>
        <w:rPr>
          <w:rFonts w:hint="eastAsia"/>
          <w:color w:val="000000" w:themeColor="text1"/>
          <w:kern w:val="2"/>
          <w14:textFill>
            <w14:solidFill>
              <w14:schemeClr w14:val="tx1"/>
            </w14:solidFill>
          </w14:textFill>
        </w:rPr>
      </w:pPr>
      <w:bookmarkStart w:id="35" w:name="_Toc29246"/>
      <w:bookmarkStart w:id="36" w:name="_Toc6202"/>
      <w:r>
        <w:rPr>
          <w:rFonts w:hint="eastAsia"/>
          <w:color w:val="000000" w:themeColor="text1"/>
          <w:kern w:val="2"/>
          <w14:textFill>
            <w14:solidFill>
              <w14:schemeClr w14:val="tx1"/>
            </w14:solidFill>
          </w14:textFill>
        </w:rPr>
        <w:t>1.</w:t>
      </w:r>
      <w:r>
        <w:rPr>
          <w:rFonts w:hint="eastAsia"/>
          <w:color w:val="000000" w:themeColor="text1"/>
          <w:kern w:val="2"/>
          <w:lang w:val="en-US" w:eastAsia="zh-CN"/>
          <w14:textFill>
            <w14:solidFill>
              <w14:schemeClr w14:val="tx1"/>
            </w14:solidFill>
          </w14:textFill>
        </w:rPr>
        <w:t xml:space="preserve">7 </w:t>
      </w:r>
      <w:r>
        <w:rPr>
          <w:rFonts w:hint="eastAsia"/>
          <w:color w:val="000000" w:themeColor="text1"/>
          <w:kern w:val="2"/>
          <w14:textFill>
            <w14:solidFill>
              <w14:schemeClr w14:val="tx1"/>
            </w14:solidFill>
          </w14:textFill>
        </w:rPr>
        <w:t>区划时限</w:t>
      </w:r>
      <w:bookmarkEnd w:id="35"/>
      <w:bookmarkEnd w:id="36"/>
    </w:p>
    <w:p w14:paraId="75958E0D">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根据《声环境功能区划分技术规范》（GB/T</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15190-2014）中区划的基本原则中“5.5根据城市规模和用地变化情况，噪声区划可适时调整，原则上不超过5年调整一次。”本次</w:t>
      </w:r>
      <w:r>
        <w:rPr>
          <w:rFonts w:hint="eastAsia"/>
          <w:color w:val="000000" w:themeColor="text1"/>
          <w:lang w:val="en-US" w:eastAsia="zh-CN"/>
          <w14:textFill>
            <w14:solidFill>
              <w14:schemeClr w14:val="tx1"/>
            </w14:solidFill>
          </w14:textFill>
        </w:rPr>
        <w:t>区划</w:t>
      </w:r>
      <w:r>
        <w:rPr>
          <w:rFonts w:hint="eastAsia"/>
          <w:color w:val="000000" w:themeColor="text1"/>
          <w14:textFill>
            <w14:solidFill>
              <w14:schemeClr w14:val="tx1"/>
            </w14:solidFill>
          </w14:textFill>
        </w:rPr>
        <w:t>适用时限从本次区划实施之日起至下次修订前。</w:t>
      </w:r>
    </w:p>
    <w:p w14:paraId="6FBB4636">
      <w:pPr>
        <w:pStyle w:val="3"/>
        <w:keepNext/>
        <w:keepLines/>
        <w:rPr>
          <w:color w:val="000000" w:themeColor="text1"/>
          <w:kern w:val="2"/>
          <w14:textFill>
            <w14:solidFill>
              <w14:schemeClr w14:val="tx1"/>
            </w14:solidFill>
          </w14:textFill>
        </w:rPr>
      </w:pPr>
      <w:bookmarkStart w:id="37" w:name="_Toc18934"/>
      <w:bookmarkStart w:id="38" w:name="_Toc4999"/>
      <w:bookmarkStart w:id="39" w:name="_Toc14247"/>
      <w:bookmarkStart w:id="40" w:name="_Toc28890"/>
      <w:r>
        <w:rPr>
          <w:color w:val="000000" w:themeColor="text1"/>
          <w:kern w:val="2"/>
          <w14:textFill>
            <w14:solidFill>
              <w14:schemeClr w14:val="tx1"/>
            </w14:solidFill>
          </w14:textFill>
        </w:rPr>
        <w:t>1.</w:t>
      </w:r>
      <w:r>
        <w:rPr>
          <w:rFonts w:hint="eastAsia"/>
          <w:color w:val="000000" w:themeColor="text1"/>
          <w:kern w:val="2"/>
          <w:lang w:val="en-US" w:eastAsia="zh-CN"/>
          <w14:textFill>
            <w14:solidFill>
              <w14:schemeClr w14:val="tx1"/>
            </w14:solidFill>
          </w14:textFill>
        </w:rPr>
        <w:t xml:space="preserve">8 </w:t>
      </w:r>
      <w:r>
        <w:rPr>
          <w:rFonts w:hint="eastAsia"/>
          <w:color w:val="000000" w:themeColor="text1"/>
          <w:kern w:val="2"/>
          <w:lang w:eastAsia="zh-CN"/>
          <w14:textFill>
            <w14:solidFill>
              <w14:schemeClr w14:val="tx1"/>
            </w14:solidFill>
          </w14:textFill>
        </w:rPr>
        <w:t>区划</w:t>
      </w:r>
      <w:r>
        <w:rPr>
          <w:color w:val="000000" w:themeColor="text1"/>
          <w:kern w:val="2"/>
          <w14:textFill>
            <w14:solidFill>
              <w14:schemeClr w14:val="tx1"/>
            </w14:solidFill>
          </w14:textFill>
        </w:rPr>
        <w:t>内容</w:t>
      </w:r>
      <w:bookmarkEnd w:id="37"/>
      <w:bookmarkEnd w:id="38"/>
      <w:bookmarkEnd w:id="39"/>
      <w:bookmarkEnd w:id="40"/>
    </w:p>
    <w:p w14:paraId="2ED17815">
      <w:pPr>
        <w:pStyle w:val="4"/>
        <w:rPr>
          <w:rFonts w:hint="eastAsia"/>
          <w:color w:val="000000" w:themeColor="text1"/>
          <w14:textFill>
            <w14:solidFill>
              <w14:schemeClr w14:val="tx1"/>
            </w14:solidFill>
          </w14:textFill>
        </w:rPr>
      </w:pPr>
      <w:bookmarkStart w:id="41" w:name="_Toc30321"/>
      <w:r>
        <w:rPr>
          <w:rFonts w:hint="eastAsia"/>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8</w:t>
      </w:r>
      <w:r>
        <w:rPr>
          <w:rFonts w:hint="eastAsia"/>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声环境污染现状分析</w:t>
      </w:r>
      <w:bookmarkEnd w:id="41"/>
    </w:p>
    <w:p w14:paraId="48980415">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噪声监测：依据《环境噪声监测技术规范</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城市声环境常规监测》（HJ</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640-2012）附录A以及城市环境综合整治定量考核有关要求，设置区域环境噪声监测网络布局，依据国家有关技术规范开展监测工作。</w:t>
      </w:r>
    </w:p>
    <w:p w14:paraId="3FAF8122">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结果分析：确定区域环境噪声等效声级，并与国家城市区域环境噪声标准进行比照分析。按照五分贝一档的分类分析方法，探讨区域环境噪声监测点位的噪声主要分布范围。根据监测结果，分析研究区内噪声污染的分布特点。</w:t>
      </w:r>
    </w:p>
    <w:p w14:paraId="547A9A00">
      <w:pPr>
        <w:pStyle w:val="4"/>
        <w:rPr>
          <w:rFonts w:hint="eastAsia"/>
          <w:color w:val="000000" w:themeColor="text1"/>
          <w14:textFill>
            <w14:solidFill>
              <w14:schemeClr w14:val="tx1"/>
            </w14:solidFill>
          </w14:textFill>
        </w:rPr>
      </w:pPr>
      <w:bookmarkStart w:id="42" w:name="_Toc20793"/>
      <w:r>
        <w:rPr>
          <w:rFonts w:hint="eastAsia"/>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8</w:t>
      </w:r>
      <w:r>
        <w:rPr>
          <w:rFonts w:hint="eastAsia"/>
          <w:color w:val="000000" w:themeColor="text1"/>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规划用地功能分析</w:t>
      </w:r>
      <w:bookmarkEnd w:id="42"/>
    </w:p>
    <w:p w14:paraId="56559DF1">
      <w:pPr>
        <w:ind w:firstLine="471"/>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国土空间规划</w:t>
      </w:r>
      <w:r>
        <w:rPr>
          <w:rFonts w:hint="eastAsia"/>
          <w:color w:val="000000" w:themeColor="text1"/>
          <w14:textFill>
            <w14:solidFill>
              <w14:schemeClr w14:val="tx1"/>
            </w14:solidFill>
          </w14:textFill>
        </w:rPr>
        <w:t>、土地利用现状、道路现状以及社会经济发展规划等是制定环境功能区划的主要依据。根据规划确定各用地类型的主要噪声来源等。</w:t>
      </w:r>
    </w:p>
    <w:p w14:paraId="20CE8E44">
      <w:pPr>
        <w:pStyle w:val="4"/>
        <w:rPr>
          <w:rFonts w:hint="eastAsia"/>
          <w:color w:val="000000" w:themeColor="text1"/>
          <w14:textFill>
            <w14:solidFill>
              <w14:schemeClr w14:val="tx1"/>
            </w14:solidFill>
          </w14:textFill>
        </w:rPr>
      </w:pPr>
      <w:bookmarkStart w:id="43" w:name="_Toc28382"/>
      <w:r>
        <w:rPr>
          <w:rFonts w:hint="eastAsia"/>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8</w:t>
      </w:r>
      <w:r>
        <w:rPr>
          <w:rFonts w:hint="eastAsia"/>
          <w:color w:val="000000" w:themeColor="text1"/>
          <w14:textFill>
            <w14:solidFill>
              <w14:schemeClr w14:val="tx1"/>
            </w14:solidFill>
          </w14:textFill>
        </w:rPr>
        <w:t>.3</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声环境功能区划</w:t>
      </w:r>
      <w:bookmarkEnd w:id="43"/>
    </w:p>
    <w:p w14:paraId="51DABECF">
      <w:pPr>
        <w:pStyle w:val="5"/>
        <w:rPr>
          <w:rFonts w:hint="eastAsia" w:eastAsia="仿宋"/>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.3.1</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规划</w:t>
      </w:r>
      <w:r>
        <w:rPr>
          <w:rFonts w:hint="eastAsia"/>
          <w:color w:val="000000" w:themeColor="text1"/>
          <w:highlight w:val="none"/>
          <w:lang w:eastAsia="zh-CN"/>
          <w14:textFill>
            <w14:solidFill>
              <w14:schemeClr w14:val="tx1"/>
            </w14:solidFill>
          </w14:textFill>
        </w:rPr>
        <w:t>成果</w:t>
      </w:r>
    </w:p>
    <w:p w14:paraId="53D9AC93">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根据规划用地功能，按照《声环境功能区划分技术规范》（GB/T</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15190-2014）的有关规定，确定</w:t>
      </w:r>
      <w:r>
        <w:rPr>
          <w:rFonts w:hint="eastAsia"/>
          <w:color w:val="000000" w:themeColor="text1"/>
          <w:lang w:eastAsia="zh-CN"/>
          <w14:textFill>
            <w14:solidFill>
              <w14:schemeClr w14:val="tx1"/>
            </w14:solidFill>
          </w14:textFill>
        </w:rPr>
        <w:t>绥滨县</w:t>
      </w:r>
      <w:r>
        <w:rPr>
          <w:rFonts w:hint="eastAsia"/>
          <w:color w:val="000000" w:themeColor="text1"/>
          <w:highlight w:val="none"/>
          <w:lang w:eastAsia="zh-CN"/>
          <w14:textFill>
            <w14:solidFill>
              <w14:schemeClr w14:val="tx1"/>
            </w14:solidFill>
          </w14:textFill>
        </w:rPr>
        <w:t>中心城区</w:t>
      </w:r>
      <w:r>
        <w:rPr>
          <w:rFonts w:hint="eastAsia"/>
          <w:color w:val="000000" w:themeColor="text1"/>
          <w14:textFill>
            <w14:solidFill>
              <w14:schemeClr w14:val="tx1"/>
            </w14:solidFill>
          </w14:textFill>
        </w:rPr>
        <w:t>声环境功能区划，并绘制声环境功能区划图，分析其主要的分布特征。</w:t>
      </w:r>
    </w:p>
    <w:p w14:paraId="4AD958FA">
      <w:pPr>
        <w:pStyle w:val="5"/>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8</w:t>
      </w:r>
      <w:r>
        <w:rPr>
          <w:rFonts w:hint="eastAsia"/>
          <w:color w:val="000000" w:themeColor="text1"/>
          <w14:textFill>
            <w14:solidFill>
              <w14:schemeClr w14:val="tx1"/>
            </w14:solidFill>
          </w14:textFill>
        </w:rPr>
        <w:t>.3.2</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合理性分析</w:t>
      </w:r>
    </w:p>
    <w:p w14:paraId="04F14CCE">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（1）确定区划方案是否符合规划用地功能和土地利用现状；</w:t>
      </w:r>
    </w:p>
    <w:p w14:paraId="60B9A61B">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（2）声环境功能区的划分是否充分体现“区域与类型相结合”的重要原则，即声环境功能区划是否考虑了</w:t>
      </w:r>
      <w:r>
        <w:rPr>
          <w:rFonts w:hint="eastAsia"/>
          <w:color w:val="000000" w:themeColor="text1"/>
          <w:lang w:eastAsia="zh-CN"/>
          <w14:textFill>
            <w14:solidFill>
              <w14:schemeClr w14:val="tx1"/>
            </w14:solidFill>
          </w14:textFill>
        </w:rPr>
        <w:t>规划</w:t>
      </w:r>
      <w:r>
        <w:rPr>
          <w:rFonts w:hint="eastAsia"/>
          <w:color w:val="000000" w:themeColor="text1"/>
          <w14:textFill>
            <w14:solidFill>
              <w14:schemeClr w14:val="tx1"/>
            </w14:solidFill>
          </w14:textFill>
        </w:rPr>
        <w:t>区域社会经济活动的内在联系；</w:t>
      </w:r>
    </w:p>
    <w:p w14:paraId="7C0ABB9A">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（3）在用地现状类型与规划类型不同的情况下，在做标准适用区域变更时是否考虑全面；</w:t>
      </w:r>
    </w:p>
    <w:p w14:paraId="7D7813B2">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（4）对典型区域是否做清晰的说明。</w:t>
      </w:r>
    </w:p>
    <w:p w14:paraId="54F2D4ED">
      <w:pPr>
        <w:ind w:firstLine="471"/>
        <w:rPr>
          <w:rFonts w:hint="eastAsia"/>
          <w:color w:val="000000" w:themeColor="text1"/>
          <w14:textFill>
            <w14:solidFill>
              <w14:schemeClr w14:val="tx1"/>
            </w14:solidFill>
          </w14:textFill>
        </w:rPr>
        <w:sectPr>
          <w:footerReference r:id="rId11" w:type="default"/>
          <w:pgSz w:w="11906" w:h="16838"/>
          <w:pgMar w:top="1440" w:right="1803" w:bottom="1440" w:left="1803" w:header="794" w:footer="992" w:gutter="0"/>
          <w:pgBorders>
            <w:top w:val="none" w:sz="0" w:space="0"/>
            <w:left w:val="none" w:sz="0" w:space="0"/>
            <w:bottom w:val="none" w:sz="0" w:space="0"/>
            <w:right w:val="none" w:sz="0" w:space="0"/>
          </w:pgBorders>
          <w:pgNumType w:fmt="numberInDash" w:start="1"/>
          <w:cols w:space="720" w:num="1"/>
          <w:rtlGutter w:val="0"/>
          <w:docGrid w:type="linesAndChars" w:linePitch="347" w:charSpace="-874"/>
        </w:sectPr>
      </w:pPr>
    </w:p>
    <w:p w14:paraId="2C5480CF">
      <w:pPr>
        <w:pStyle w:val="2"/>
        <w:keepNext/>
        <w:keepLines/>
        <w:jc w:val="center"/>
        <w:rPr>
          <w:rFonts w:hint="eastAsia"/>
          <w:color w:val="000000" w:themeColor="text1"/>
          <w14:textFill>
            <w14:solidFill>
              <w14:schemeClr w14:val="tx1"/>
            </w14:solidFill>
          </w14:textFill>
        </w:rPr>
      </w:pPr>
      <w:bookmarkStart w:id="44" w:name="_Toc25882"/>
      <w:bookmarkStart w:id="45" w:name="_Toc1551"/>
      <w:bookmarkStart w:id="46" w:name="_Toc2434"/>
      <w:bookmarkStart w:id="47" w:name="_Toc3368"/>
      <w:r>
        <w:rPr>
          <w:rFonts w:hint="eastAsia"/>
          <w:color w:val="000000" w:themeColor="text1"/>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区域概况</w:t>
      </w:r>
      <w:bookmarkEnd w:id="44"/>
      <w:bookmarkEnd w:id="45"/>
      <w:bookmarkEnd w:id="46"/>
      <w:bookmarkEnd w:id="47"/>
    </w:p>
    <w:p w14:paraId="70D0F310">
      <w:pPr>
        <w:pStyle w:val="3"/>
        <w:keepNext/>
        <w:keepLines/>
        <w:rPr>
          <w:rFonts w:hint="default"/>
          <w:color w:val="000000" w:themeColor="text1"/>
          <w:kern w:val="2"/>
          <w14:textFill>
            <w14:solidFill>
              <w14:schemeClr w14:val="tx1"/>
            </w14:solidFill>
          </w14:textFill>
        </w:rPr>
      </w:pPr>
      <w:bookmarkStart w:id="48" w:name="_Toc10891"/>
      <w:bookmarkStart w:id="49" w:name="_Toc29645"/>
      <w:bookmarkStart w:id="50" w:name="_Toc31391"/>
      <w:bookmarkStart w:id="51" w:name="_Toc4968"/>
      <w:r>
        <w:rPr>
          <w:color w:val="000000" w:themeColor="text1"/>
          <w:kern w:val="2"/>
          <w14:textFill>
            <w14:solidFill>
              <w14:schemeClr w14:val="tx1"/>
            </w14:solidFill>
          </w14:textFill>
        </w:rPr>
        <w:t>2.1</w:t>
      </w:r>
      <w:r>
        <w:rPr>
          <w:rFonts w:hint="eastAsia"/>
          <w:color w:val="000000" w:themeColor="text1"/>
          <w:kern w:val="2"/>
          <w:lang w:val="en-US" w:eastAsia="zh-CN"/>
          <w14:textFill>
            <w14:solidFill>
              <w14:schemeClr w14:val="tx1"/>
            </w14:solidFill>
          </w14:textFill>
        </w:rPr>
        <w:t xml:space="preserve"> </w:t>
      </w:r>
      <w:r>
        <w:rPr>
          <w:color w:val="000000" w:themeColor="text1"/>
          <w:kern w:val="2"/>
          <w14:textFill>
            <w14:solidFill>
              <w14:schemeClr w14:val="tx1"/>
            </w14:solidFill>
          </w14:textFill>
        </w:rPr>
        <w:t>地理位置</w:t>
      </w:r>
      <w:bookmarkEnd w:id="48"/>
      <w:bookmarkEnd w:id="49"/>
      <w:bookmarkEnd w:id="50"/>
      <w:bookmarkEnd w:id="51"/>
    </w:p>
    <w:p w14:paraId="2682D652">
      <w:pPr>
        <w:ind w:firstLine="471"/>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绥滨县</w:t>
      </w:r>
      <w:r>
        <w:rPr>
          <w:rFonts w:hint="eastAsia"/>
          <w:color w:val="000000" w:themeColor="text1"/>
          <w:lang w:eastAsia="zh-CN"/>
          <w14:textFill>
            <w14:solidFill>
              <w14:schemeClr w14:val="tx1"/>
            </w14:solidFill>
          </w14:textFill>
        </w:rPr>
        <w:t>隶属黑龙江省鹤岗市，</w:t>
      </w:r>
      <w:r>
        <w:rPr>
          <w:rFonts w:hint="eastAsia" w:ascii="Times New Roman" w:hAnsi="Times New Roman" w:eastAsia="宋体" w:cs="Times New Roman"/>
          <w:color w:val="000000" w:themeColor="text1"/>
          <w:lang w:val="en-US" w:eastAsia="zh-CN"/>
          <w14:textFill>
            <w14:solidFill>
              <w14:schemeClr w14:val="tx1"/>
            </w14:solidFill>
          </w14:textFill>
        </w:rPr>
        <w:t>位于黑龙江东北部三江平原下游，黑龙江与松花江相交的“金三角”上，东经</w:t>
      </w:r>
      <w:r>
        <w:rPr>
          <w:rFonts w:hint="default" w:ascii="Times New Roman" w:hAnsi="Times New Roman" w:eastAsia="宋体" w:cs="Times New Roman"/>
          <w:color w:val="000000" w:themeColor="text1"/>
          <w:lang w:val="en-US" w:eastAsia="zh-CN"/>
          <w14:textFill>
            <w14:solidFill>
              <w14:schemeClr w14:val="tx1"/>
            </w14:solidFill>
          </w14:textFill>
        </w:rPr>
        <w:t>131°8'12"</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131°31'00"</w:t>
      </w:r>
      <w:r>
        <w:rPr>
          <w:rFonts w:hint="eastAsia" w:ascii="Times New Roman" w:hAnsi="Times New Roman" w:eastAsia="宋体" w:cs="Times New Roman"/>
          <w:color w:val="000000" w:themeColor="text1"/>
          <w:lang w:val="en-US" w:eastAsia="zh-CN"/>
          <w14:textFill>
            <w14:solidFill>
              <w14:schemeClr w14:val="tx1"/>
            </w14:solidFill>
          </w14:textFill>
        </w:rPr>
        <w:t>，北纬</w:t>
      </w:r>
      <w:r>
        <w:rPr>
          <w:rFonts w:hint="default" w:ascii="Times New Roman" w:hAnsi="Times New Roman" w:eastAsia="宋体" w:cs="Times New Roman"/>
          <w:color w:val="000000" w:themeColor="text1"/>
          <w:lang w:val="en-US" w:eastAsia="zh-CN"/>
          <w14:textFill>
            <w14:solidFill>
              <w14:schemeClr w14:val="tx1"/>
            </w14:solidFill>
          </w14:textFill>
        </w:rPr>
        <w:t>47°11'55"</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47°45'23"</w:t>
      </w:r>
      <w:r>
        <w:rPr>
          <w:rFonts w:hint="eastAsia" w:ascii="Times New Roman" w:hAnsi="Times New Roman" w:eastAsia="宋体" w:cs="Times New Roman"/>
          <w:color w:val="000000" w:themeColor="text1"/>
          <w:lang w:val="en-US" w:eastAsia="zh-CN"/>
          <w14:textFill>
            <w14:solidFill>
              <w14:schemeClr w14:val="tx1"/>
            </w14:solidFill>
          </w14:textFill>
        </w:rPr>
        <w:t>。东与同江市、南与富锦市、桦川县隔松花江相望，北与俄罗斯一水相隔，西与萝北县毗邻。县域三面环水，中间为绿洲，形状类似菱形，东西长</w:t>
      </w:r>
      <w:r>
        <w:rPr>
          <w:rFonts w:hint="default" w:ascii="Times New Roman" w:hAnsi="Times New Roman" w:eastAsia="宋体" w:cs="Times New Roman"/>
          <w:color w:val="000000" w:themeColor="text1"/>
          <w:lang w:val="en-US" w:eastAsia="zh-CN"/>
          <w14:textFill>
            <w14:solidFill>
              <w14:schemeClr w14:val="tx1"/>
            </w14:solidFill>
          </w14:textFill>
        </w:rPr>
        <w:t>117.4</w:t>
      </w:r>
      <w:r>
        <w:rPr>
          <w:rFonts w:hint="eastAsia" w:cs="Times New Roman"/>
          <w:color w:val="000000" w:themeColor="text1"/>
          <w:lang w:val="en-US" w:eastAsia="zh-CN"/>
          <w14:textFill>
            <w14:solidFill>
              <w14:schemeClr w14:val="tx1"/>
            </w14:solidFill>
          </w14:textFill>
        </w:rPr>
        <w:t>km</w:t>
      </w:r>
      <w:r>
        <w:rPr>
          <w:rFonts w:hint="eastAsia" w:ascii="Times New Roman" w:hAnsi="Times New Roman" w:eastAsia="宋体" w:cs="Times New Roman"/>
          <w:color w:val="000000" w:themeColor="text1"/>
          <w:lang w:val="en-US" w:eastAsia="zh-CN"/>
          <w14:textFill>
            <w14:solidFill>
              <w14:schemeClr w14:val="tx1"/>
            </w14:solidFill>
          </w14:textFill>
        </w:rPr>
        <w:t>，南北宽</w:t>
      </w:r>
      <w:r>
        <w:rPr>
          <w:rFonts w:hint="default" w:ascii="Times New Roman" w:hAnsi="Times New Roman" w:eastAsia="宋体" w:cs="Times New Roman"/>
          <w:color w:val="000000" w:themeColor="text1"/>
          <w:lang w:val="en-US" w:eastAsia="zh-CN"/>
          <w14:textFill>
            <w14:solidFill>
              <w14:schemeClr w14:val="tx1"/>
            </w14:solidFill>
          </w14:textFill>
        </w:rPr>
        <w:t>4</w:t>
      </w:r>
      <w:r>
        <w:rPr>
          <w:rFonts w:hint="eastAsia" w:ascii="Times New Roman" w:hAnsi="Times New Roman" w:eastAsia="宋体" w:cs="Times New Roman"/>
          <w:color w:val="000000" w:themeColor="text1"/>
          <w:lang w:val="en-US" w:eastAsia="zh-CN"/>
          <w14:textFill>
            <w14:solidFill>
              <w14:schemeClr w14:val="tx1"/>
            </w14:solidFill>
          </w14:textFill>
        </w:rPr>
        <w:t>6</w:t>
      </w:r>
      <w:r>
        <w:rPr>
          <w:rFonts w:hint="eastAsia" w:cs="Times New Roman"/>
          <w:color w:val="000000" w:themeColor="text1"/>
          <w:lang w:val="en-US" w:eastAsia="zh-CN"/>
          <w14:textFill>
            <w14:solidFill>
              <w14:schemeClr w14:val="tx1"/>
            </w14:solidFill>
          </w14:textFill>
        </w:rPr>
        <w:t>km</w:t>
      </w:r>
      <w:r>
        <w:rPr>
          <w:rFonts w:hint="eastAsia" w:ascii="Times New Roman" w:hAnsi="Times New Roman" w:eastAsia="宋体" w:cs="Times New Roman"/>
          <w:color w:val="000000" w:themeColor="text1"/>
          <w:lang w:val="en-US" w:eastAsia="zh-CN"/>
          <w14:textFill>
            <w14:solidFill>
              <w14:schemeClr w14:val="tx1"/>
            </w14:solidFill>
          </w14:textFill>
        </w:rPr>
        <w:t>，全县总面积3344</w:t>
      </w:r>
      <w:r>
        <w:rPr>
          <w:rFonts w:hint="eastAsia" w:cs="Times New Roman"/>
          <w:color w:val="000000" w:themeColor="text1"/>
          <w:lang w:val="en-US" w:eastAsia="zh-CN"/>
          <w14:textFill>
            <w14:solidFill>
              <w14:schemeClr w14:val="tx1"/>
            </w14:solidFill>
          </w14:textFill>
        </w:rPr>
        <w:t>km</w:t>
      </w:r>
      <w:r>
        <w:rPr>
          <w:rFonts w:hint="eastAsia" w:cs="Times New Roman"/>
          <w:color w:val="000000" w:themeColor="text1"/>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lang w:val="en-US" w:eastAsia="zh-CN"/>
          <w14:textFill>
            <w14:solidFill>
              <w14:schemeClr w14:val="tx1"/>
            </w14:solidFill>
          </w14:textFill>
        </w:rPr>
        <w:t>。</w:t>
      </w:r>
    </w:p>
    <w:p w14:paraId="4BE67407">
      <w:pPr>
        <w:ind w:left="0" w:leftChars="0" w:firstLine="0" w:firstLineChars="0"/>
        <w:jc w:val="center"/>
        <w:rPr>
          <w:rFonts w:hint="eastAsia"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drawing>
          <wp:inline distT="0" distB="0" distL="114300" distR="114300">
            <wp:extent cx="5263515" cy="7445375"/>
            <wp:effectExtent l="0" t="0" r="9525" b="6985"/>
            <wp:docPr id="2" name="图片 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
                    <pic:cNvPicPr>
                      <a:picLocks noChangeAspect="1"/>
                    </pic:cNvPicPr>
                  </pic:nvPicPr>
                  <pic:blipFill>
                    <a:blip r:embed="rId16"/>
                    <a:stretch>
                      <a:fillRect/>
                    </a:stretch>
                  </pic:blipFill>
                  <pic:spPr>
                    <a:xfrm>
                      <a:off x="0" y="0"/>
                      <a:ext cx="5263515" cy="7445375"/>
                    </a:xfrm>
                    <a:prstGeom prst="rect">
                      <a:avLst/>
                    </a:prstGeom>
                  </pic:spPr>
                </pic:pic>
              </a:graphicData>
            </a:graphic>
          </wp:inline>
        </w:drawing>
      </w:r>
    </w:p>
    <w:p w14:paraId="13391E69">
      <w:pPr>
        <w:pStyle w:val="31"/>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图2-1</w:t>
      </w:r>
      <w:r>
        <w:rPr>
          <w:rFonts w:hint="eastAsia"/>
          <w:color w:val="000000" w:themeColor="text1"/>
          <w:highlight w:val="none"/>
          <w:lang w:val="en-US" w:eastAsia="zh-CN"/>
          <w14:textFill>
            <w14:solidFill>
              <w14:schemeClr w14:val="tx1"/>
            </w14:solidFill>
          </w14:textFill>
        </w:rPr>
        <w:t xml:space="preserve">  绥滨</w:t>
      </w:r>
      <w:r>
        <w:rPr>
          <w:rFonts w:hint="eastAsia"/>
          <w:color w:val="000000" w:themeColor="text1"/>
          <w:highlight w:val="none"/>
          <w:lang w:eastAsia="zh-CN"/>
          <w14:textFill>
            <w14:solidFill>
              <w14:schemeClr w14:val="tx1"/>
            </w14:solidFill>
          </w14:textFill>
        </w:rPr>
        <w:t>县</w:t>
      </w:r>
      <w:r>
        <w:rPr>
          <w:rFonts w:hint="eastAsia"/>
          <w:color w:val="000000" w:themeColor="text1"/>
          <w:highlight w:val="none"/>
          <w14:textFill>
            <w14:solidFill>
              <w14:schemeClr w14:val="tx1"/>
            </w14:solidFill>
          </w14:textFill>
        </w:rPr>
        <w:t>地理位置图</w:t>
      </w:r>
    </w:p>
    <w:p w14:paraId="2BDDCCB3">
      <w:pPr>
        <w:pStyle w:val="3"/>
        <w:keepNext/>
        <w:keepLines/>
        <w:rPr>
          <w:rFonts w:hint="default"/>
          <w:color w:val="000000" w:themeColor="text1"/>
          <w:kern w:val="2"/>
          <w14:textFill>
            <w14:solidFill>
              <w14:schemeClr w14:val="tx1"/>
            </w14:solidFill>
          </w14:textFill>
        </w:rPr>
      </w:pPr>
      <w:bookmarkStart w:id="52" w:name="_Toc315"/>
      <w:bookmarkStart w:id="53" w:name="_Toc1063"/>
      <w:bookmarkStart w:id="54" w:name="_Toc3090"/>
      <w:bookmarkStart w:id="55" w:name="_Toc1244"/>
      <w:r>
        <w:rPr>
          <w:color w:val="000000" w:themeColor="text1"/>
          <w:kern w:val="2"/>
          <w14:textFill>
            <w14:solidFill>
              <w14:schemeClr w14:val="tx1"/>
            </w14:solidFill>
          </w14:textFill>
        </w:rPr>
        <w:t>2.2</w:t>
      </w:r>
      <w:r>
        <w:rPr>
          <w:rFonts w:hint="eastAsia"/>
          <w:color w:val="000000" w:themeColor="text1"/>
          <w:kern w:val="2"/>
          <w:lang w:val="en-US" w:eastAsia="zh-CN"/>
          <w14:textFill>
            <w14:solidFill>
              <w14:schemeClr w14:val="tx1"/>
            </w14:solidFill>
          </w14:textFill>
        </w:rPr>
        <w:t xml:space="preserve"> </w:t>
      </w:r>
      <w:r>
        <w:rPr>
          <w:color w:val="000000" w:themeColor="text1"/>
          <w:kern w:val="2"/>
          <w14:textFill>
            <w14:solidFill>
              <w14:schemeClr w14:val="tx1"/>
            </w14:solidFill>
          </w14:textFill>
        </w:rPr>
        <w:t>自然环境概况</w:t>
      </w:r>
      <w:bookmarkEnd w:id="52"/>
      <w:bookmarkEnd w:id="53"/>
      <w:bookmarkEnd w:id="54"/>
      <w:bookmarkEnd w:id="55"/>
    </w:p>
    <w:p w14:paraId="497929BC">
      <w:pPr>
        <w:pStyle w:val="4"/>
        <w:rPr>
          <w:color w:val="000000" w:themeColor="text1"/>
          <w14:textFill>
            <w14:solidFill>
              <w14:schemeClr w14:val="tx1"/>
            </w14:solidFill>
          </w14:textFill>
        </w:rPr>
      </w:pPr>
      <w:bookmarkStart w:id="56" w:name="_Toc11533"/>
      <w:r>
        <w:rPr>
          <w:rFonts w:hint="eastAsia"/>
          <w:color w:val="000000" w:themeColor="text1"/>
          <w14:textFill>
            <w14:solidFill>
              <w14:schemeClr w14:val="tx1"/>
            </w14:solidFill>
          </w14:textFill>
        </w:rPr>
        <w:t>2.2.</w:t>
      </w:r>
      <w:r>
        <w:rPr>
          <w:rFonts w:hint="eastAsia"/>
          <w:color w:val="000000" w:themeColor="text1"/>
          <w:lang w:val="en-US" w:eastAsia="zh-CN"/>
          <w14:textFill>
            <w14:solidFill>
              <w14:schemeClr w14:val="tx1"/>
            </w14:solidFill>
          </w14:textFill>
        </w:rPr>
        <w:t xml:space="preserve">1 </w:t>
      </w:r>
      <w:r>
        <w:rPr>
          <w:rFonts w:hint="eastAsia"/>
          <w:color w:val="000000" w:themeColor="text1"/>
          <w14:textFill>
            <w14:solidFill>
              <w14:schemeClr w14:val="tx1"/>
            </w14:solidFill>
          </w14:textFill>
        </w:rPr>
        <w:t>地形地貌</w:t>
      </w:r>
      <w:bookmarkEnd w:id="56"/>
    </w:p>
    <w:p w14:paraId="0E9F6BB3">
      <w:pPr>
        <w:rPr>
          <w:rFonts w:hint="eastAsia"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绥滨县地处三江平原的西北部，全县无山和丘陵，地势低平，属于平原县，地貌属于冲积平原，由阶地、高漫滩、低漫滩、岗地组成。地势走向西高东低，坡降为万分之一至八千分之一。海拔高程一般在</w:t>
      </w:r>
      <w:r>
        <w:rPr>
          <w:rFonts w:hint="default" w:ascii="Times New Roman" w:hAnsi="Times New Roman" w:eastAsia="宋体" w:cs="Times New Roman"/>
          <w:color w:val="000000" w:themeColor="text1"/>
          <w:sz w:val="24"/>
          <w:szCs w:val="24"/>
          <w14:textFill>
            <w14:solidFill>
              <w14:schemeClr w14:val="tx1"/>
            </w14:solidFill>
          </w14:textFill>
        </w:rPr>
        <w:t>52</w:t>
      </w:r>
      <w:r>
        <w:rPr>
          <w:rFonts w:hint="eastAsia"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63</w:t>
      </w:r>
      <w:r>
        <w:rPr>
          <w:rFonts w:hint="eastAsia" w:cs="Times New Roman"/>
          <w:color w:val="000000" w:themeColor="text1"/>
          <w:sz w:val="24"/>
          <w:szCs w:val="24"/>
          <w:lang w:val="en-US" w:eastAsia="zh-CN"/>
          <w14:textFill>
            <w14:solidFill>
              <w14:schemeClr w14:val="tx1"/>
            </w14:solidFill>
          </w14:textFill>
        </w:rPr>
        <w:t>m</w:t>
      </w:r>
      <w:r>
        <w:rPr>
          <w:rFonts w:hint="eastAsia" w:ascii="Times New Roman" w:hAnsi="Times New Roman" w:eastAsia="宋体" w:cs="Times New Roman"/>
          <w:color w:val="000000" w:themeColor="text1"/>
          <w:sz w:val="24"/>
          <w:szCs w:val="24"/>
          <w14:textFill>
            <w14:solidFill>
              <w14:schemeClr w14:val="tx1"/>
            </w14:solidFill>
          </w14:textFill>
        </w:rPr>
        <w:t>之间。县内微地形复杂，略有波状起伏、岗洼插花、沟河纵横、间有零星残丘漫岗。地貌景观大体可分为北部阶地区，中部低平原区，南部平原区、东部低洼区。</w:t>
      </w:r>
    </w:p>
    <w:p w14:paraId="5EEC2CBC">
      <w:pPr>
        <w:pStyle w:val="4"/>
        <w:rPr>
          <w:color w:val="000000" w:themeColor="text1"/>
          <w14:textFill>
            <w14:solidFill>
              <w14:schemeClr w14:val="tx1"/>
            </w14:solidFill>
          </w14:textFill>
        </w:rPr>
      </w:pPr>
      <w:bookmarkStart w:id="57" w:name="_Toc13521"/>
      <w:r>
        <w:rPr>
          <w:rFonts w:hint="eastAsia"/>
          <w:color w:val="000000" w:themeColor="text1"/>
          <w14:textFill>
            <w14:solidFill>
              <w14:schemeClr w14:val="tx1"/>
            </w14:solidFill>
          </w14:textFill>
        </w:rPr>
        <w:t>2.2.</w:t>
      </w:r>
      <w:r>
        <w:rPr>
          <w:rFonts w:hint="eastAsia"/>
          <w:color w:val="000000" w:themeColor="text1"/>
          <w:lang w:val="en-US" w:eastAsia="zh-CN"/>
          <w14:textFill>
            <w14:solidFill>
              <w14:schemeClr w14:val="tx1"/>
            </w14:solidFill>
          </w14:textFill>
        </w:rPr>
        <w:t xml:space="preserve">2 </w:t>
      </w:r>
      <w:r>
        <w:rPr>
          <w:rFonts w:hint="eastAsia"/>
          <w:color w:val="000000" w:themeColor="text1"/>
          <w14:textFill>
            <w14:solidFill>
              <w14:schemeClr w14:val="tx1"/>
            </w14:solidFill>
          </w14:textFill>
        </w:rPr>
        <w:t>地质特征</w:t>
      </w:r>
      <w:bookmarkEnd w:id="57"/>
    </w:p>
    <w:p w14:paraId="4B568193">
      <w:pPr>
        <w:rPr>
          <w:rFonts w:hint="eastAsia"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绥滨县地层构造属于天山——兴安岭三江平原区，位于合江边缘凹陷中的次一级单位——绥滨凹陷，是中生代形成，新生代继续沉降的大型凹陷区。沉降幅度由西向东增大。沉积了古生代泥盆系、中生代侏罗系、新生界第四系、上更新统和全新统冲击层。</w:t>
      </w:r>
    </w:p>
    <w:p w14:paraId="0D812489">
      <w:pPr>
        <w:pStyle w:val="4"/>
        <w:rPr>
          <w:color w:val="000000" w:themeColor="text1"/>
          <w14:textFill>
            <w14:solidFill>
              <w14:schemeClr w14:val="tx1"/>
            </w14:solidFill>
          </w14:textFill>
        </w:rPr>
      </w:pPr>
      <w:bookmarkStart w:id="58" w:name="_Toc7565"/>
      <w:r>
        <w:rPr>
          <w:rFonts w:hint="eastAsia"/>
          <w:color w:val="000000" w:themeColor="text1"/>
          <w14:textFill>
            <w14:solidFill>
              <w14:schemeClr w14:val="tx1"/>
            </w14:solidFill>
          </w14:textFill>
        </w:rPr>
        <w:t>2.2.3</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气候特征</w:t>
      </w:r>
      <w:bookmarkEnd w:id="58"/>
    </w:p>
    <w:p w14:paraId="2FDDE3D1">
      <w:pPr>
        <w:ind w:firstLine="471"/>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绥滨县属寒温带大陆性气候，四季特点明显：冬季气候寒冷干燥，持续时间较长，夏季温暖湿润，时间较短，春秋两季寒温交替，气候多变。全县多年平均气温3.4℃；多年平均大于等于10℃，活动积温在2630.2℃；多年平均无霜期为140</w:t>
      </w:r>
      <w:r>
        <w:rPr>
          <w:rFonts w:hint="eastAsia" w:cs="Times New Roman"/>
          <w:color w:val="000000" w:themeColor="text1"/>
          <w:lang w:val="en-US" w:eastAsia="zh-CN"/>
          <w14:textFill>
            <w14:solidFill>
              <w14:schemeClr w14:val="tx1"/>
            </w14:solidFill>
          </w14:textFill>
        </w:rPr>
        <w:t>d</w:t>
      </w:r>
      <w:r>
        <w:rPr>
          <w:rFonts w:hint="eastAsia" w:ascii="Times New Roman" w:hAnsi="Times New Roman" w:eastAsia="宋体" w:cs="Times New Roman"/>
          <w:color w:val="000000" w:themeColor="text1"/>
          <w14:textFill>
            <w14:solidFill>
              <w14:schemeClr w14:val="tx1"/>
            </w14:solidFill>
          </w14:textFill>
        </w:rPr>
        <w:t>；多年平均降水量512.4</w:t>
      </w:r>
      <w:r>
        <w:rPr>
          <w:rFonts w:hint="eastAsia" w:cs="Times New Roman"/>
          <w:color w:val="000000" w:themeColor="text1"/>
          <w:lang w:val="en-US" w:eastAsia="zh-CN"/>
          <w14:textFill>
            <w14:solidFill>
              <w14:schemeClr w14:val="tx1"/>
            </w14:solidFill>
          </w14:textFill>
        </w:rPr>
        <w:t>mm</w:t>
      </w:r>
      <w:r>
        <w:rPr>
          <w:rFonts w:hint="eastAsia" w:ascii="Times New Roman" w:hAnsi="Times New Roman" w:eastAsia="宋体" w:cs="Times New Roman"/>
          <w:color w:val="000000" w:themeColor="text1"/>
          <w14:textFill>
            <w14:solidFill>
              <w14:schemeClr w14:val="tx1"/>
            </w14:solidFill>
          </w14:textFill>
        </w:rPr>
        <w:t>；多年平均日照时数为2664.6</w:t>
      </w:r>
      <w:r>
        <w:rPr>
          <w:rFonts w:hint="eastAsia" w:cs="Times New Roman"/>
          <w:color w:val="000000" w:themeColor="text1"/>
          <w:lang w:val="en-US" w:eastAsia="zh-CN"/>
          <w14:textFill>
            <w14:solidFill>
              <w14:schemeClr w14:val="tx1"/>
            </w14:solidFill>
          </w14:textFill>
        </w:rPr>
        <w:t>h</w:t>
      </w:r>
      <w:r>
        <w:rPr>
          <w:rFonts w:hint="eastAsia" w:ascii="Times New Roman" w:hAnsi="Times New Roman" w:eastAsia="宋体" w:cs="Times New Roman"/>
          <w:color w:val="000000" w:themeColor="text1"/>
          <w14:textFill>
            <w14:solidFill>
              <w14:schemeClr w14:val="tx1"/>
            </w14:solidFill>
          </w14:textFill>
        </w:rPr>
        <w:t>；</w:t>
      </w:r>
      <w:r>
        <w:rPr>
          <w:rFonts w:hint="eastAsia"/>
          <w:color w:val="000000" w:themeColor="text1"/>
          <w14:textFill>
            <w14:solidFill>
              <w14:schemeClr w14:val="tx1"/>
            </w14:solidFill>
          </w14:textFill>
        </w:rPr>
        <w:t>常年盛行风向为西风，春夏多为东南风，秋冬多为西风和西北风</w:t>
      </w:r>
      <w:r>
        <w:rPr>
          <w:rFonts w:hint="eastAsia" w:ascii="Times New Roman" w:hAnsi="Times New Roman" w:eastAsia="宋体" w:cs="Times New Roman"/>
          <w:color w:val="000000" w:themeColor="text1"/>
          <w14:textFill>
            <w14:solidFill>
              <w14:schemeClr w14:val="tx1"/>
            </w14:solidFill>
          </w14:textFill>
        </w:rPr>
        <w:t>。</w:t>
      </w:r>
    </w:p>
    <w:p w14:paraId="21EEA6FA">
      <w:pPr>
        <w:pStyle w:val="4"/>
        <w:rPr>
          <w:color w:val="000000" w:themeColor="text1"/>
          <w14:textFill>
            <w14:solidFill>
              <w14:schemeClr w14:val="tx1"/>
            </w14:solidFill>
          </w14:textFill>
        </w:rPr>
      </w:pPr>
      <w:bookmarkStart w:id="59" w:name="_Toc18916"/>
      <w:r>
        <w:rPr>
          <w:rFonts w:hint="eastAsia"/>
          <w:color w:val="000000" w:themeColor="text1"/>
          <w14:textFill>
            <w14:solidFill>
              <w14:schemeClr w14:val="tx1"/>
            </w14:solidFill>
          </w14:textFill>
        </w:rPr>
        <w:t>2.2.4</w:t>
      </w:r>
      <w:r>
        <w:rPr>
          <w:rFonts w:hint="eastAsia"/>
          <w:color w:val="000000" w:themeColor="text1"/>
          <w:lang w:val="en-US" w:eastAsia="zh-CN"/>
          <w14:textFill>
            <w14:solidFill>
              <w14:schemeClr w14:val="tx1"/>
            </w14:solidFill>
          </w14:textFill>
        </w:rPr>
        <w:t xml:space="preserve"> </w:t>
      </w:r>
      <w:r>
        <w:rPr>
          <w:rFonts w:hint="eastAsia"/>
          <w:color w:val="000000" w:themeColor="text1"/>
          <w:lang w:eastAsia="zh-CN"/>
          <w14:textFill>
            <w14:solidFill>
              <w14:schemeClr w14:val="tx1"/>
            </w14:solidFill>
          </w14:textFill>
        </w:rPr>
        <w:t>水文</w:t>
      </w:r>
      <w:r>
        <w:rPr>
          <w:rFonts w:hint="eastAsia"/>
          <w:color w:val="000000" w:themeColor="text1"/>
          <w14:textFill>
            <w14:solidFill>
              <w14:schemeClr w14:val="tx1"/>
            </w14:solidFill>
          </w14:textFill>
        </w:rPr>
        <w:t>特征</w:t>
      </w:r>
      <w:bookmarkEnd w:id="59"/>
    </w:p>
    <w:p w14:paraId="1B5DC932">
      <w:pPr>
        <w:ind w:firstLine="471"/>
        <w:rPr>
          <w:rFonts w:hint="eastAsia"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绥滨县境内黑龙江、松花江两大水系，共有28条支流。属于黑龙江水系的支流7条，属于松花江水系的支流21条。两水系的水域面积265390亩。占县总面积的5.3%，占县水域306026亩的86.7%。县境内有泡塘102处，总面积31612亩。</w:t>
      </w:r>
    </w:p>
    <w:p w14:paraId="59FA2DFC">
      <w:pPr>
        <w:ind w:firstLine="471"/>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绥滨县境内主要河流为黑龙江、松花江等。黑龙江流经绥滨83.6</w:t>
      </w:r>
      <w:r>
        <w:rPr>
          <w:rFonts w:hint="eastAsia" w:cs="Times New Roman"/>
          <w:color w:val="000000" w:themeColor="text1"/>
          <w:lang w:val="en-US" w:eastAsia="zh-CN"/>
          <w14:textFill>
            <w14:solidFill>
              <w14:schemeClr w14:val="tx1"/>
            </w14:solidFill>
          </w14:textFill>
        </w:rPr>
        <w:t>km</w:t>
      </w:r>
      <w:r>
        <w:rPr>
          <w:rFonts w:hint="default" w:ascii="Times New Roman" w:hAnsi="Times New Roman" w:eastAsia="宋体" w:cs="Times New Roman"/>
          <w:color w:val="000000" w:themeColor="text1"/>
          <w:lang w:val="en-US" w:eastAsia="zh-CN"/>
          <w14:textFill>
            <w14:solidFill>
              <w14:schemeClr w14:val="tx1"/>
            </w14:solidFill>
          </w14:textFill>
        </w:rPr>
        <w:t>，有7条主要支流：七里信子河、高丽河、三道沟、北蜿蜒河、圈河等。总水面为107207亩，干流亩均水量2538</w:t>
      </w:r>
      <w:r>
        <w:rPr>
          <w:rFonts w:hint="eastAsia" w:cs="Times New Roman"/>
          <w:color w:val="000000" w:themeColor="text1"/>
          <w:lang w:val="en-US" w:eastAsia="zh-CN"/>
          <w14:textFill>
            <w14:solidFill>
              <w14:schemeClr w14:val="tx1"/>
            </w14:solidFill>
          </w14:textFill>
        </w:rPr>
        <w:t>m</w:t>
      </w:r>
      <w:r>
        <w:rPr>
          <w:rFonts w:hint="eastAsia" w:cs="Times New Roman"/>
          <w:color w:val="000000" w:themeColor="text1"/>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lang w:val="en-US" w:eastAsia="zh-CN"/>
          <w14:textFill>
            <w14:solidFill>
              <w14:schemeClr w14:val="tx1"/>
            </w14:solidFill>
          </w14:textFill>
        </w:rPr>
        <w:t>。松花江流经绥滨148千米，主要有敖来河、蒲鸭河、小黄河、车轱辘河、向日沟、凤鸣沟等大小河沟共21条，总水面158183亩，干流亩均水量为593</w:t>
      </w:r>
      <w:r>
        <w:rPr>
          <w:rFonts w:hint="eastAsia" w:cs="Times New Roman"/>
          <w:color w:val="000000" w:themeColor="text1"/>
          <w:lang w:val="en-US" w:eastAsia="zh-CN"/>
          <w14:textFill>
            <w14:solidFill>
              <w14:schemeClr w14:val="tx1"/>
            </w14:solidFill>
          </w14:textFill>
        </w:rPr>
        <w:t>m</w:t>
      </w:r>
      <w:r>
        <w:rPr>
          <w:rFonts w:hint="eastAsia" w:cs="Times New Roman"/>
          <w:color w:val="000000" w:themeColor="text1"/>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lang w:val="en-US" w:eastAsia="zh-CN"/>
          <w14:textFill>
            <w14:solidFill>
              <w14:schemeClr w14:val="tx1"/>
            </w14:solidFill>
          </w14:textFill>
        </w:rPr>
        <w:t>。两江与支流均为地下水补给来源。</w:t>
      </w:r>
    </w:p>
    <w:p w14:paraId="75D2DDBC">
      <w:pPr>
        <w:pStyle w:val="4"/>
        <w:rPr>
          <w:rFonts w:hint="eastAsia"/>
          <w:color w:val="000000" w:themeColor="text1"/>
          <w14:textFill>
            <w14:solidFill>
              <w14:schemeClr w14:val="tx1"/>
            </w14:solidFill>
          </w14:textFill>
        </w:rPr>
      </w:pPr>
      <w:bookmarkStart w:id="60" w:name="_Toc28430"/>
      <w:r>
        <w:rPr>
          <w:rFonts w:hint="eastAsia"/>
          <w:color w:val="000000" w:themeColor="text1"/>
          <w14:textFill>
            <w14:solidFill>
              <w14:schemeClr w14:val="tx1"/>
            </w14:solidFill>
          </w14:textFill>
        </w:rPr>
        <w:t>2.2.5</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动植物资源</w:t>
      </w:r>
      <w:bookmarkEnd w:id="60"/>
    </w:p>
    <w:p w14:paraId="55FFBA97">
      <w:pPr>
        <w:ind w:firstLine="471"/>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绥滨县野生动物有野猪、狍子、狐狸、狼、水獭、黄鼬、松鼠等；禽类有野鸡、鸭鸡、鹰类等，有国家一级保护动物3种，为东方白鹳、丹顶鹤、金雕，有国家二级保护动物苍鹰、灰鹤、大天鹅、鸳鸯等30种；鱼类有鲶鱼、黑鱼、狗鱼、柳条鱼、鳊花、鲤鱼、鲫鱼、草根、胖头、泥鳅、白漂子等。</w:t>
      </w:r>
    </w:p>
    <w:p w14:paraId="2167E08A">
      <w:pPr>
        <w:ind w:firstLine="471"/>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绥滨县共有植物610种。其中苔藓植物3种6科，占全县植物的0.9%，蕨类植物12科6种，占全县植物0.82%，被子植物90科601种，占全县植物的98.2%。县内分布广的优势植物有：菊科、蔷薇科、毛茛科、禾木科和莎草科等。除蔷薇科、杨柳科、虎耳草科、豆科含有木本植物外，其余均为草本植物。</w:t>
      </w:r>
    </w:p>
    <w:p w14:paraId="3C5A8B4D">
      <w:pPr>
        <w:pStyle w:val="3"/>
        <w:keepNext/>
        <w:keepLines/>
        <w:rPr>
          <w:rFonts w:hint="default"/>
          <w:color w:val="000000" w:themeColor="text1"/>
          <w:kern w:val="2"/>
          <w14:textFill>
            <w14:solidFill>
              <w14:schemeClr w14:val="tx1"/>
            </w14:solidFill>
          </w14:textFill>
        </w:rPr>
      </w:pPr>
      <w:bookmarkStart w:id="61" w:name="_Toc2455"/>
      <w:bookmarkStart w:id="62" w:name="_Toc2904"/>
      <w:bookmarkStart w:id="63" w:name="_Toc21998"/>
      <w:bookmarkStart w:id="64" w:name="_Toc10051"/>
      <w:r>
        <w:rPr>
          <w:color w:val="000000" w:themeColor="text1"/>
          <w:kern w:val="2"/>
          <w14:textFill>
            <w14:solidFill>
              <w14:schemeClr w14:val="tx1"/>
            </w14:solidFill>
          </w14:textFill>
        </w:rPr>
        <w:t>2.3</w:t>
      </w:r>
      <w:r>
        <w:rPr>
          <w:rFonts w:hint="eastAsia"/>
          <w:color w:val="000000" w:themeColor="text1"/>
          <w:kern w:val="2"/>
          <w:lang w:val="en-US" w:eastAsia="zh-CN"/>
          <w14:textFill>
            <w14:solidFill>
              <w14:schemeClr w14:val="tx1"/>
            </w14:solidFill>
          </w14:textFill>
        </w:rPr>
        <w:t xml:space="preserve"> </w:t>
      </w:r>
      <w:r>
        <w:rPr>
          <w:color w:val="000000" w:themeColor="text1"/>
          <w:kern w:val="2"/>
          <w14:textFill>
            <w14:solidFill>
              <w14:schemeClr w14:val="tx1"/>
            </w14:solidFill>
          </w14:textFill>
        </w:rPr>
        <w:t>社会经济状况</w:t>
      </w:r>
      <w:bookmarkEnd w:id="61"/>
      <w:bookmarkEnd w:id="62"/>
      <w:bookmarkEnd w:id="63"/>
      <w:bookmarkEnd w:id="64"/>
    </w:p>
    <w:p w14:paraId="23950FFD">
      <w:pPr>
        <w:ind w:firstLine="471"/>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w:t>
      </w:r>
      <w:r>
        <w:rPr>
          <w:rFonts w:hint="eastAsia" w:ascii="Times New Roman" w:hAnsi="Times New Roman" w:eastAsia="宋体" w:cs="Arial"/>
          <w:color w:val="000000" w:themeColor="text1"/>
          <w:lang w:val="en-US" w:eastAsia="zh-CN"/>
          <w14:textFill>
            <w14:solidFill>
              <w14:schemeClr w14:val="tx1"/>
            </w14:solidFill>
          </w14:textFill>
        </w:rPr>
        <w:t>202</w:t>
      </w:r>
      <w:r>
        <w:rPr>
          <w:rFonts w:hint="eastAsia" w:cs="Arial"/>
          <w:color w:val="000000" w:themeColor="text1"/>
          <w:lang w:val="en-US" w:eastAsia="zh-CN"/>
          <w14:textFill>
            <w14:solidFill>
              <w14:schemeClr w14:val="tx1"/>
            </w14:solidFill>
          </w14:textFill>
        </w:rPr>
        <w:t>4</w:t>
      </w:r>
      <w:r>
        <w:rPr>
          <w:rFonts w:hint="eastAsia" w:ascii="Times New Roman" w:hAnsi="Times New Roman" w:eastAsia="宋体" w:cs="Arial"/>
          <w:color w:val="000000" w:themeColor="text1"/>
          <w14:textFill>
            <w14:solidFill>
              <w14:schemeClr w14:val="tx1"/>
            </w14:solidFill>
          </w14:textFill>
        </w:rPr>
        <w:t>年</w:t>
      </w:r>
      <w:r>
        <w:rPr>
          <w:rFonts w:hint="eastAsia" w:ascii="Times New Roman" w:hAnsi="Times New Roman" w:eastAsia="宋体" w:cs="Arial"/>
          <w:color w:val="000000" w:themeColor="text1"/>
          <w:lang w:eastAsia="zh-CN"/>
          <w14:textFill>
            <w14:solidFill>
              <w14:schemeClr w14:val="tx1"/>
            </w14:solidFill>
          </w14:textFill>
        </w:rPr>
        <w:t>绥滨</w:t>
      </w:r>
      <w:r>
        <w:rPr>
          <w:rFonts w:hint="eastAsia" w:ascii="Times New Roman" w:hAnsi="Times New Roman" w:eastAsia="宋体" w:cs="Arial"/>
          <w:color w:val="000000" w:themeColor="text1"/>
          <w14:textFill>
            <w14:solidFill>
              <w14:schemeClr w14:val="tx1"/>
            </w14:solidFill>
          </w14:textFill>
        </w:rPr>
        <w:t>县国民经济和社会发展统计公</w:t>
      </w:r>
      <w:r>
        <w:rPr>
          <w:rFonts w:hint="eastAsia" w:ascii="Times New Roman" w:hAnsi="Times New Roman" w:eastAsia="宋体" w:cs="Times New Roman"/>
          <w:color w:val="000000" w:themeColor="text1"/>
          <w:lang w:val="en-US" w:eastAsia="zh-CN"/>
          <w14:textFill>
            <w14:solidFill>
              <w14:schemeClr w14:val="tx1"/>
            </w14:solidFill>
          </w14:textFill>
        </w:rPr>
        <w:t>报》，2023年全县实现地区生产总值（GDP）6</w:t>
      </w:r>
      <w:r>
        <w:rPr>
          <w:rFonts w:hint="eastAsia" w:cs="Times New Roman"/>
          <w:color w:val="000000" w:themeColor="text1"/>
          <w:lang w:val="en-US" w:eastAsia="zh-CN"/>
          <w14:textFill>
            <w14:solidFill>
              <w14:schemeClr w14:val="tx1"/>
            </w14:solidFill>
          </w14:textFill>
        </w:rPr>
        <w:t>46739</w:t>
      </w:r>
      <w:r>
        <w:rPr>
          <w:rFonts w:hint="eastAsia" w:ascii="Times New Roman" w:hAnsi="Times New Roman" w:eastAsia="宋体" w:cs="Times New Roman"/>
          <w:color w:val="000000" w:themeColor="text1"/>
          <w:lang w:val="en-US" w:eastAsia="zh-CN"/>
          <w14:textFill>
            <w14:solidFill>
              <w14:schemeClr w14:val="tx1"/>
            </w14:solidFill>
          </w14:textFill>
        </w:rPr>
        <w:t>万元，按不变价格计算，比上年增长</w:t>
      </w:r>
      <w:r>
        <w:rPr>
          <w:rFonts w:hint="eastAsia" w:cs="Times New Roman"/>
          <w:color w:val="000000" w:themeColor="text1"/>
          <w:lang w:val="en-US" w:eastAsia="zh-CN"/>
          <w14:textFill>
            <w14:solidFill>
              <w14:schemeClr w14:val="tx1"/>
            </w14:solidFill>
          </w14:textFill>
        </w:rPr>
        <w:t>2.5</w:t>
      </w:r>
      <w:r>
        <w:rPr>
          <w:rFonts w:hint="eastAsia" w:ascii="Times New Roman" w:hAnsi="Times New Roman" w:eastAsia="宋体" w:cs="Times New Roman"/>
          <w:color w:val="000000" w:themeColor="text1"/>
          <w:lang w:val="en-US" w:eastAsia="zh-CN"/>
          <w14:textFill>
            <w14:solidFill>
              <w14:schemeClr w14:val="tx1"/>
            </w14:solidFill>
          </w14:textFill>
        </w:rPr>
        <w:t>%。从三次产业看，第一产业增加值</w:t>
      </w:r>
      <w:r>
        <w:rPr>
          <w:rFonts w:hint="eastAsia" w:cs="Times New Roman"/>
          <w:color w:val="000000" w:themeColor="text1"/>
          <w:lang w:val="en-US" w:eastAsia="zh-CN"/>
          <w14:textFill>
            <w14:solidFill>
              <w14:schemeClr w14:val="tx1"/>
            </w14:solidFill>
          </w14:textFill>
        </w:rPr>
        <w:t>325965</w:t>
      </w:r>
      <w:r>
        <w:rPr>
          <w:rFonts w:hint="eastAsia" w:ascii="Times New Roman" w:hAnsi="Times New Roman" w:eastAsia="宋体" w:cs="Times New Roman"/>
          <w:color w:val="000000" w:themeColor="text1"/>
          <w:lang w:val="en-US" w:eastAsia="zh-CN"/>
          <w14:textFill>
            <w14:solidFill>
              <w14:schemeClr w14:val="tx1"/>
            </w14:solidFill>
          </w14:textFill>
        </w:rPr>
        <w:t>万元，增长</w:t>
      </w:r>
      <w:r>
        <w:rPr>
          <w:rFonts w:hint="eastAsia" w:cs="Times New Roman"/>
          <w:color w:val="000000" w:themeColor="text1"/>
          <w:lang w:val="en-US" w:eastAsia="zh-CN"/>
          <w14:textFill>
            <w14:solidFill>
              <w14:schemeClr w14:val="tx1"/>
            </w14:solidFill>
          </w14:textFill>
        </w:rPr>
        <w:t>3.4</w:t>
      </w:r>
      <w:r>
        <w:rPr>
          <w:rFonts w:hint="eastAsia" w:ascii="Times New Roman" w:hAnsi="Times New Roman" w:eastAsia="宋体" w:cs="Times New Roman"/>
          <w:color w:val="000000" w:themeColor="text1"/>
          <w:lang w:val="en-US" w:eastAsia="zh-CN"/>
          <w14:textFill>
            <w14:solidFill>
              <w14:schemeClr w14:val="tx1"/>
            </w14:solidFill>
          </w14:textFill>
        </w:rPr>
        <w:t>%；第二产业增加值</w:t>
      </w:r>
      <w:r>
        <w:rPr>
          <w:rFonts w:hint="eastAsia" w:cs="Times New Roman"/>
          <w:color w:val="000000" w:themeColor="text1"/>
          <w:lang w:val="en-US" w:eastAsia="zh-CN"/>
          <w14:textFill>
            <w14:solidFill>
              <w14:schemeClr w14:val="tx1"/>
            </w14:solidFill>
          </w14:textFill>
        </w:rPr>
        <w:t>47423</w:t>
      </w:r>
      <w:r>
        <w:rPr>
          <w:rFonts w:hint="eastAsia" w:ascii="Times New Roman" w:hAnsi="Times New Roman" w:eastAsia="宋体" w:cs="Times New Roman"/>
          <w:color w:val="000000" w:themeColor="text1"/>
          <w:lang w:val="en-US" w:eastAsia="zh-CN"/>
          <w14:textFill>
            <w14:solidFill>
              <w14:schemeClr w14:val="tx1"/>
            </w14:solidFill>
          </w14:textFill>
        </w:rPr>
        <w:t>万元，下降</w:t>
      </w:r>
      <w:r>
        <w:rPr>
          <w:rFonts w:hint="eastAsia" w:cs="Times New Roman"/>
          <w:color w:val="000000" w:themeColor="text1"/>
          <w:lang w:val="en-US" w:eastAsia="zh-CN"/>
          <w14:textFill>
            <w14:solidFill>
              <w14:schemeClr w14:val="tx1"/>
            </w14:solidFill>
          </w14:textFill>
        </w:rPr>
        <w:t>1.0</w:t>
      </w:r>
      <w:r>
        <w:rPr>
          <w:rFonts w:hint="eastAsia" w:ascii="Times New Roman" w:hAnsi="Times New Roman" w:eastAsia="宋体" w:cs="Times New Roman"/>
          <w:color w:val="000000" w:themeColor="text1"/>
          <w:lang w:val="en-US" w:eastAsia="zh-CN"/>
          <w14:textFill>
            <w14:solidFill>
              <w14:schemeClr w14:val="tx1"/>
            </w14:solidFill>
          </w14:textFill>
        </w:rPr>
        <w:t>%；第三产业增加值2</w:t>
      </w:r>
      <w:r>
        <w:rPr>
          <w:rFonts w:hint="eastAsia" w:cs="Times New Roman"/>
          <w:color w:val="000000" w:themeColor="text1"/>
          <w:lang w:val="en-US" w:eastAsia="zh-CN"/>
          <w14:textFill>
            <w14:solidFill>
              <w14:schemeClr w14:val="tx1"/>
            </w14:solidFill>
          </w14:textFill>
        </w:rPr>
        <w:t>73351</w:t>
      </w:r>
      <w:r>
        <w:rPr>
          <w:rFonts w:hint="eastAsia" w:ascii="Times New Roman" w:hAnsi="Times New Roman" w:eastAsia="宋体" w:cs="Times New Roman"/>
          <w:color w:val="000000" w:themeColor="text1"/>
          <w:lang w:val="en-US" w:eastAsia="zh-CN"/>
          <w14:textFill>
            <w14:solidFill>
              <w14:schemeClr w14:val="tx1"/>
            </w14:solidFill>
          </w14:textFill>
        </w:rPr>
        <w:t>万元，增长</w:t>
      </w:r>
      <w:r>
        <w:rPr>
          <w:rFonts w:hint="eastAsia" w:cs="Times New Roman"/>
          <w:color w:val="000000" w:themeColor="text1"/>
          <w:lang w:val="en-US" w:eastAsia="zh-CN"/>
          <w14:textFill>
            <w14:solidFill>
              <w14:schemeClr w14:val="tx1"/>
            </w14:solidFill>
          </w14:textFill>
        </w:rPr>
        <w:t>1.2</w:t>
      </w:r>
      <w:r>
        <w:rPr>
          <w:rFonts w:hint="eastAsia" w:ascii="Times New Roman" w:hAnsi="Times New Roman" w:eastAsia="宋体" w:cs="Times New Roman"/>
          <w:color w:val="000000" w:themeColor="text1"/>
          <w:lang w:val="en-US" w:eastAsia="zh-CN"/>
          <w14:textFill>
            <w14:solidFill>
              <w14:schemeClr w14:val="tx1"/>
            </w14:solidFill>
          </w14:textFill>
        </w:rPr>
        <w:t>%。三次产业结构为</w:t>
      </w:r>
      <w:r>
        <w:rPr>
          <w:rFonts w:hint="eastAsia" w:cs="Times New Roman"/>
          <w:color w:val="000000" w:themeColor="text1"/>
          <w:lang w:val="en-US" w:eastAsia="zh-CN"/>
          <w14:textFill>
            <w14:solidFill>
              <w14:schemeClr w14:val="tx1"/>
            </w14:solidFill>
          </w14:textFill>
        </w:rPr>
        <w:t>50.4:7</w:t>
      </w:r>
      <w:r>
        <w:rPr>
          <w:rFonts w:hint="eastAsia" w:ascii="Times New Roman" w:hAnsi="Times New Roman" w:eastAsia="宋体" w:cs="Times New Roman"/>
          <w:color w:val="000000" w:themeColor="text1"/>
          <w:lang w:val="en-US" w:eastAsia="zh-CN"/>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:42.3</w:t>
      </w:r>
      <w:r>
        <w:rPr>
          <w:rFonts w:hint="eastAsia" w:ascii="Times New Roman" w:hAnsi="Times New Roman" w:eastAsia="宋体" w:cs="Times New Roman"/>
          <w:color w:val="000000" w:themeColor="text1"/>
          <w:lang w:val="en-US" w:eastAsia="zh-CN"/>
          <w14:textFill>
            <w14:solidFill>
              <w14:schemeClr w14:val="tx1"/>
            </w14:solidFill>
          </w14:textFill>
        </w:rPr>
        <w:t>。人均地区生产总值4</w:t>
      </w:r>
      <w:r>
        <w:rPr>
          <w:rFonts w:hint="eastAsia" w:cs="Times New Roman"/>
          <w:color w:val="000000" w:themeColor="text1"/>
          <w:lang w:val="en-US" w:eastAsia="zh-CN"/>
          <w14:textFill>
            <w14:solidFill>
              <w14:schemeClr w14:val="tx1"/>
            </w14:solidFill>
          </w14:textFill>
        </w:rPr>
        <w:t>8520</w:t>
      </w:r>
      <w:r>
        <w:rPr>
          <w:rFonts w:hint="eastAsia" w:ascii="Times New Roman" w:hAnsi="Times New Roman" w:eastAsia="宋体" w:cs="Times New Roman"/>
          <w:color w:val="000000" w:themeColor="text1"/>
          <w:lang w:val="en-US" w:eastAsia="zh-CN"/>
          <w14:textFill>
            <w14:solidFill>
              <w14:schemeClr w14:val="tx1"/>
            </w14:solidFill>
          </w14:textFill>
        </w:rPr>
        <w:t>元，比上年增长</w:t>
      </w:r>
      <w:r>
        <w:rPr>
          <w:rFonts w:hint="eastAsia" w:cs="Times New Roman"/>
          <w:color w:val="000000" w:themeColor="text1"/>
          <w:lang w:val="en-US" w:eastAsia="zh-CN"/>
          <w14:textFill>
            <w14:solidFill>
              <w14:schemeClr w14:val="tx1"/>
            </w14:solidFill>
          </w14:textFill>
        </w:rPr>
        <w:t>7.3</w:t>
      </w:r>
      <w:r>
        <w:rPr>
          <w:rFonts w:hint="eastAsia" w:ascii="Times New Roman" w:hAnsi="Times New Roman" w:eastAsia="宋体" w:cs="Times New Roman"/>
          <w:color w:val="000000" w:themeColor="text1"/>
          <w:lang w:val="en-US" w:eastAsia="zh-CN"/>
          <w14:textFill>
            <w14:solidFill>
              <w14:schemeClr w14:val="tx1"/>
            </w14:solidFill>
          </w14:textFill>
        </w:rPr>
        <w:t>%。</w:t>
      </w:r>
    </w:p>
    <w:p w14:paraId="757149DC">
      <w:pPr>
        <w:pStyle w:val="3"/>
        <w:keepNext/>
        <w:keepLines/>
        <w:rPr>
          <w:color w:val="000000" w:themeColor="text1"/>
          <w:kern w:val="2"/>
          <w:highlight w:val="none"/>
          <w14:textFill>
            <w14:solidFill>
              <w14:schemeClr w14:val="tx1"/>
            </w14:solidFill>
          </w14:textFill>
        </w:rPr>
      </w:pPr>
      <w:bookmarkStart w:id="65" w:name="_Toc28944"/>
      <w:bookmarkStart w:id="66" w:name="_Toc10556"/>
      <w:bookmarkStart w:id="67" w:name="_Toc24418"/>
      <w:bookmarkStart w:id="68" w:name="_Toc20549"/>
      <w:r>
        <w:rPr>
          <w:color w:val="000000" w:themeColor="text1"/>
          <w:kern w:val="2"/>
          <w:highlight w:val="none"/>
          <w14:textFill>
            <w14:solidFill>
              <w14:schemeClr w14:val="tx1"/>
            </w14:solidFill>
          </w14:textFill>
        </w:rPr>
        <w:t>2.4</w:t>
      </w:r>
      <w:r>
        <w:rPr>
          <w:rFonts w:hint="eastAsia"/>
          <w:color w:val="000000" w:themeColor="text1"/>
          <w:kern w:val="2"/>
          <w:highlight w:val="none"/>
          <w:lang w:val="en-US" w:eastAsia="zh-CN"/>
          <w14:textFill>
            <w14:solidFill>
              <w14:schemeClr w14:val="tx1"/>
            </w14:solidFill>
          </w14:textFill>
        </w:rPr>
        <w:t xml:space="preserve"> </w:t>
      </w:r>
      <w:r>
        <w:rPr>
          <w:rFonts w:hint="eastAsia"/>
          <w:color w:val="000000" w:themeColor="text1"/>
          <w:kern w:val="2"/>
          <w:highlight w:val="none"/>
          <w:lang w:eastAsia="zh-CN"/>
          <w14:textFill>
            <w14:solidFill>
              <w14:schemeClr w14:val="tx1"/>
            </w14:solidFill>
          </w14:textFill>
        </w:rPr>
        <w:t>国土空间</w:t>
      </w:r>
      <w:r>
        <w:rPr>
          <w:color w:val="000000" w:themeColor="text1"/>
          <w:kern w:val="2"/>
          <w:highlight w:val="none"/>
          <w14:textFill>
            <w14:solidFill>
              <w14:schemeClr w14:val="tx1"/>
            </w14:solidFill>
          </w14:textFill>
        </w:rPr>
        <w:t>总体规划情况</w:t>
      </w:r>
      <w:bookmarkEnd w:id="65"/>
      <w:bookmarkEnd w:id="66"/>
      <w:bookmarkEnd w:id="67"/>
      <w:bookmarkEnd w:id="68"/>
    </w:p>
    <w:p w14:paraId="0D489EF7">
      <w:pPr>
        <w:pStyle w:val="8"/>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color w:val="000000" w:themeColor="text1"/>
          <w14:textFill>
            <w14:solidFill>
              <w14:schemeClr w14:val="tx1"/>
            </w14:solidFill>
          </w14:textFill>
        </w:rPr>
        <w:t>20</w:t>
      </w:r>
      <w:r>
        <w:rPr>
          <w:rFonts w:hint="eastAsia"/>
          <w:color w:val="000000" w:themeColor="text1"/>
          <w:lang w:val="en-US" w:eastAsia="zh-CN"/>
          <w14:textFill>
            <w14:solidFill>
              <w14:schemeClr w14:val="tx1"/>
            </w14:solidFill>
          </w14:textFill>
        </w:rPr>
        <w:t>20</w:t>
      </w:r>
      <w:r>
        <w:rPr>
          <w:rFonts w:hint="eastAsia"/>
          <w:color w:val="000000" w:themeColor="text1"/>
          <w14:textFill>
            <w14:solidFill>
              <w14:schemeClr w14:val="tx1"/>
            </w14:solidFill>
          </w14:textFill>
        </w:rPr>
        <w:t>年</w:t>
      </w:r>
      <w:r>
        <w:rPr>
          <w:rFonts w:hint="eastAsia"/>
          <w:color w:val="000000" w:themeColor="text1"/>
          <w:lang w:eastAsia="zh-CN"/>
          <w14:textFill>
            <w14:solidFill>
              <w14:schemeClr w14:val="tx1"/>
            </w14:solidFill>
          </w14:textFill>
        </w:rPr>
        <w:t>绥滨县</w:t>
      </w:r>
      <w:r>
        <w:rPr>
          <w:rFonts w:hint="eastAsia"/>
          <w:color w:val="000000" w:themeColor="text1"/>
          <w14:textFill>
            <w14:solidFill>
              <w14:schemeClr w14:val="tx1"/>
            </w14:solidFill>
          </w14:textFill>
        </w:rPr>
        <w:t>编制了《</w:t>
      </w:r>
      <w:r>
        <w:rPr>
          <w:rFonts w:hint="eastAsia"/>
          <w:color w:val="000000" w:themeColor="text1"/>
          <w:lang w:eastAsia="zh-CN"/>
          <w14:textFill>
            <w14:solidFill>
              <w14:schemeClr w14:val="tx1"/>
            </w14:solidFill>
          </w14:textFill>
        </w:rPr>
        <w:t>绥滨</w:t>
      </w:r>
      <w:r>
        <w:rPr>
          <w:rFonts w:hint="eastAsia"/>
          <w:color w:val="000000" w:themeColor="text1"/>
          <w:lang w:val="en-US" w:eastAsia="zh-CN"/>
          <w14:textFill>
            <w14:solidFill>
              <w14:schemeClr w14:val="tx1"/>
            </w14:solidFill>
          </w14:textFill>
        </w:rPr>
        <w:t>县国土空间总体规划</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2021—2035</w:t>
      </w:r>
      <w:r>
        <w:rPr>
          <w:rFonts w:hint="eastAsia"/>
          <w:color w:val="000000" w:themeColor="text1"/>
          <w14:textFill>
            <w14:solidFill>
              <w14:schemeClr w14:val="tx1"/>
            </w14:solidFill>
          </w14:textFill>
        </w:rPr>
        <w:t>年）》，</w:t>
      </w:r>
      <w:r>
        <w:rPr>
          <w:rFonts w:hint="eastAsia"/>
          <w:color w:val="000000" w:themeColor="text1"/>
          <w:lang w:eastAsia="zh-CN"/>
          <w14:textFill>
            <w14:solidFill>
              <w14:schemeClr w14:val="tx1"/>
            </w14:solidFill>
          </w14:textFill>
        </w:rPr>
        <w:t>规划</w:t>
      </w:r>
      <w:r>
        <w:rPr>
          <w:rFonts w:hint="eastAsia"/>
          <w:color w:val="000000" w:themeColor="text1"/>
          <w14:textFill>
            <w14:solidFill>
              <w14:schemeClr w14:val="tx1"/>
            </w14:solidFill>
          </w14:textFill>
        </w:rPr>
        <w:t>基期为2020年</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规划期限为2021</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2035年，近期</w:t>
      </w:r>
      <w:r>
        <w:rPr>
          <w:rFonts w:hint="eastAsia"/>
          <w:color w:val="000000" w:themeColor="text1"/>
          <w:lang w:eastAsia="zh-CN"/>
          <w14:textFill>
            <w14:solidFill>
              <w14:schemeClr w14:val="tx1"/>
            </w14:solidFill>
          </w14:textFill>
        </w:rPr>
        <w:t>到</w:t>
      </w:r>
      <w:r>
        <w:rPr>
          <w:rFonts w:hint="eastAsia"/>
          <w:color w:val="000000" w:themeColor="text1"/>
          <w14:textFill>
            <w14:solidFill>
              <w14:schemeClr w14:val="tx1"/>
            </w14:solidFill>
          </w14:textFill>
        </w:rPr>
        <w:t>2025年，远景</w:t>
      </w:r>
      <w:r>
        <w:rPr>
          <w:rFonts w:hint="eastAsia"/>
          <w:color w:val="000000" w:themeColor="text1"/>
          <w:lang w:eastAsia="zh-CN"/>
          <w14:textFill>
            <w14:solidFill>
              <w14:schemeClr w14:val="tx1"/>
            </w14:solidFill>
          </w14:textFill>
        </w:rPr>
        <w:t>展望到</w:t>
      </w:r>
      <w:r>
        <w:rPr>
          <w:rFonts w:hint="eastAsia"/>
          <w:color w:val="000000" w:themeColor="text1"/>
          <w14:textFill>
            <w14:solidFill>
              <w14:schemeClr w14:val="tx1"/>
            </w14:solidFill>
          </w14:textFill>
        </w:rPr>
        <w:t>2050年。</w:t>
      </w:r>
      <w:r>
        <w:rPr>
          <w:rFonts w:hint="eastAsia"/>
          <w:color w:val="000000" w:themeColor="text1"/>
          <w:lang w:val="en-US" w:eastAsia="zh-CN"/>
          <w14:textFill>
            <w14:solidFill>
              <w14:schemeClr w14:val="tx1"/>
            </w14:solidFill>
          </w14:textFill>
        </w:rPr>
        <w:t>该规划范围包括县域和中心城镇两个层次。县域规划范围为绥滨县行政辖区内的陆域空间；</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中心城镇规划范围为绥滨县主城区以及敖来村、庆发村、凤仪村、振荣村四个村的行政区域范围。</w:t>
      </w:r>
      <w:r>
        <w:rPr>
          <w:rFonts w:hint="eastAsia"/>
          <w:color w:val="000000" w:themeColor="text1"/>
          <w:lang w:val="en-US" w:eastAsia="zh-CN"/>
          <w14:textFill>
            <w14:solidFill>
              <w14:schemeClr w14:val="tx1"/>
            </w14:solidFill>
          </w14:textFill>
        </w:rPr>
        <w:t>全域总面积为33.44</w:t>
      </w:r>
      <w:r>
        <w:rPr>
          <w:rFonts w:hint="eastAsia" w:cs="Arial"/>
          <w:color w:val="000000" w:themeColor="text1"/>
          <w:lang w:val="en-US" w:eastAsia="zh-CN"/>
          <w14:textFill>
            <w14:solidFill>
              <w14:schemeClr w14:val="tx1"/>
            </w14:solidFill>
          </w14:textFill>
        </w:rPr>
        <w:t>km</w:t>
      </w:r>
      <w:r>
        <w:rPr>
          <w:rFonts w:hint="eastAsia" w:cs="Arial"/>
          <w:color w:val="000000" w:themeColor="text1"/>
          <w:vertAlign w:val="superscript"/>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。中心城区为城市开发建设的集中区域，总面积为9.54k</w:t>
      </w:r>
      <w:r>
        <w:rPr>
          <w:rFonts w:hint="eastAsia" w:cs="Arial"/>
          <w:color w:val="000000" w:themeColor="text1"/>
          <w:lang w:val="en-US" w:eastAsia="zh-CN"/>
          <w14:textFill>
            <w14:solidFill>
              <w14:schemeClr w14:val="tx1"/>
            </w14:solidFill>
          </w14:textFill>
        </w:rPr>
        <w:t>m</w:t>
      </w:r>
      <w:r>
        <w:rPr>
          <w:rFonts w:hint="eastAsia" w:cs="Arial"/>
          <w:color w:val="000000" w:themeColor="text1"/>
          <w:vertAlign w:val="superscript"/>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w:t>
      </w:r>
    </w:p>
    <w:p w14:paraId="300B1F78">
      <w:pPr>
        <w:pStyle w:val="4"/>
        <w:rPr>
          <w:rFonts w:hint="default" w:eastAsia="黑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2.4.1</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eastAsia="zh-CN"/>
          <w14:textFill>
            <w14:solidFill>
              <w14:schemeClr w14:val="tx1"/>
            </w14:solidFill>
          </w14:textFill>
        </w:rPr>
        <w:t>中心城区</w:t>
      </w:r>
      <w:r>
        <w:rPr>
          <w:rFonts w:hint="eastAsia"/>
          <w:color w:val="000000" w:themeColor="text1"/>
          <w:highlight w:val="none"/>
          <w:lang w:val="en-US" w:eastAsia="zh-CN"/>
          <w14:textFill>
            <w14:solidFill>
              <w14:schemeClr w14:val="tx1"/>
            </w14:solidFill>
          </w14:textFill>
        </w:rPr>
        <w:t>空间结构</w:t>
      </w:r>
    </w:p>
    <w:p w14:paraId="12190D7F">
      <w:pPr>
        <w:ind w:firstLine="471"/>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依据现状布局特点、地形地貌和城市发展目标，优化配置各类资源要素，规划形成“一带三轴，两心两区”的空间结构。</w:t>
      </w:r>
    </w:p>
    <w:p w14:paraId="0C23742E">
      <w:pPr>
        <w:ind w:firstLine="471"/>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（1）一带三轴</w:t>
      </w:r>
    </w:p>
    <w:p w14:paraId="042C10BC">
      <w:pPr>
        <w:ind w:firstLine="471"/>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生态景观带：依托松花江沿岸打造松花江生态景观带，形成滨水生态绿地。</w:t>
      </w:r>
    </w:p>
    <w:p w14:paraId="0AB53A5A">
      <w:pPr>
        <w:ind w:firstLine="471"/>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城市发展轴：松滨大街两侧公共服务设施形成城市发展轴，该轴是连接老城与新城的重要横向服务发展轴。</w:t>
      </w:r>
    </w:p>
    <w:p w14:paraId="489FC28D">
      <w:pPr>
        <w:ind w:firstLine="471"/>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城市交通发展轴：依托通达路—通江路形成城市交通轴，该轴与城市对外交通相连，构成城市对外展示的形象窗口。</w:t>
      </w:r>
    </w:p>
    <w:p w14:paraId="3672C957">
      <w:pPr>
        <w:ind w:firstLine="471"/>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纵向服务发展轴：依托奋斗路两侧的公共空间及服务设施，形成中心城区纵向服务发展轴。</w:t>
      </w:r>
    </w:p>
    <w:p w14:paraId="15BCFAB1">
      <w:pPr>
        <w:ind w:firstLine="471"/>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（2）两心两区</w:t>
      </w:r>
    </w:p>
    <w:p w14:paraId="620F0FBF">
      <w:pPr>
        <w:ind w:firstLine="471"/>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商业服务中心：车流和人流的高度集中区域，也是老城区商业活动集中区，结合已有的商业服务设施形成县级商业服务中心。</w:t>
      </w:r>
    </w:p>
    <w:p w14:paraId="675B8C2E">
      <w:pPr>
        <w:ind w:firstLine="471"/>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文化科研中心：位于通江路与松滨大街交叉口，以一中为核心，依托老啤酒厂改造，结合公园绿地，规划文体娱乐设施及科研用地，积极发展休闲旅游服务，强化公共服务能力，增强城市经济活力。</w:t>
      </w:r>
    </w:p>
    <w:p w14:paraId="2972E25C">
      <w:pPr>
        <w:ind w:firstLine="471"/>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生活区：位于通达路—通江路以西区域。规划依托老城区更新改造建设，重点打造以商业金融、商务办公、休闲娱乐、文化教育、生态居住为一体的现代生活区。</w:t>
      </w:r>
    </w:p>
    <w:p w14:paraId="76BD1549">
      <w:pPr>
        <w:ind w:firstLine="471"/>
        <w:rPr>
          <w:color w:val="000000" w:themeColor="text1"/>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生产区：位于通达路—通江路以东区域。该片区现状发展条件较好，尤其是工业园区的建设，为其产业发展提供了有利的机遇。该区以工业企业、仓储物流功能为主，是集生活居住、公共服务等多功能于一体的现代化产业新区。</w:t>
      </w:r>
    </w:p>
    <w:p w14:paraId="45671785">
      <w:pPr>
        <w:pStyle w:val="4"/>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2.4.2</w:t>
      </w:r>
      <w:r>
        <w:rPr>
          <w:rFonts w:hint="eastAsia"/>
          <w:color w:val="000000" w:themeColor="text1"/>
          <w:lang w:val="en-US" w:eastAsia="zh-CN"/>
          <w14:textFill>
            <w14:solidFill>
              <w14:schemeClr w14:val="tx1"/>
            </w14:solidFill>
          </w14:textFill>
        </w:rPr>
        <w:t xml:space="preserve"> </w:t>
      </w:r>
      <w:r>
        <w:rPr>
          <w:rFonts w:hint="eastAsia"/>
          <w:color w:val="000000" w:themeColor="text1"/>
          <w:lang w:eastAsia="zh-CN"/>
          <w14:textFill>
            <w14:solidFill>
              <w14:schemeClr w14:val="tx1"/>
            </w14:solidFill>
          </w14:textFill>
        </w:rPr>
        <w:t>中心城区</w:t>
      </w:r>
      <w:r>
        <w:rPr>
          <w:rFonts w:hint="eastAsia"/>
          <w:color w:val="000000" w:themeColor="text1"/>
          <w14:textFill>
            <w14:solidFill>
              <w14:schemeClr w14:val="tx1"/>
            </w14:solidFill>
          </w14:textFill>
        </w:rPr>
        <w:t>用地布局规划</w:t>
      </w:r>
    </w:p>
    <w:p w14:paraId="62249B0A">
      <w:pPr>
        <w:ind w:firstLine="471"/>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规划至2035年，中心城区城乡建设用地总面积974.02</w:t>
      </w:r>
      <w:r>
        <w:rPr>
          <w:rFonts w:hint="eastAsia" w:cs="Arial"/>
          <w:color w:val="000000" w:themeColor="text1"/>
          <w:lang w:val="en-US" w:eastAsia="zh-CN"/>
          <w14:textFill>
            <w14:solidFill>
              <w14:schemeClr w14:val="tx1"/>
            </w14:solidFill>
          </w14:textFill>
        </w:rPr>
        <w:t>hm</w:t>
      </w:r>
      <w:r>
        <w:rPr>
          <w:rFonts w:hint="eastAsia" w:cs="Arial"/>
          <w:color w:val="000000" w:themeColor="text1"/>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lang w:val="en-US" w:eastAsia="zh-CN"/>
          <w14:textFill>
            <w14:solidFill>
              <w14:schemeClr w14:val="tx1"/>
            </w14:solidFill>
          </w14:textFill>
        </w:rPr>
        <w:t>，其中城镇建设用地面积为859.50</w:t>
      </w:r>
      <w:r>
        <w:rPr>
          <w:rFonts w:hint="eastAsia" w:cs="Arial"/>
          <w:color w:val="000000" w:themeColor="text1"/>
          <w:lang w:val="en-US" w:eastAsia="zh-CN"/>
          <w14:textFill>
            <w14:solidFill>
              <w14:schemeClr w14:val="tx1"/>
            </w14:solidFill>
          </w14:textFill>
        </w:rPr>
        <w:t>hm</w:t>
      </w:r>
      <w:r>
        <w:rPr>
          <w:rFonts w:hint="eastAsia" w:cs="Arial"/>
          <w:color w:val="000000" w:themeColor="text1"/>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lang w:val="en-US" w:eastAsia="zh-CN"/>
          <w14:textFill>
            <w14:solidFill>
              <w14:schemeClr w14:val="tx1"/>
            </w14:solidFill>
          </w14:textFill>
        </w:rPr>
        <w:t>，占中心城区建设用地比例为90.54%；村庄建设用地面积为114.52</w:t>
      </w:r>
      <w:r>
        <w:rPr>
          <w:rFonts w:hint="eastAsia" w:cs="Arial"/>
          <w:color w:val="000000" w:themeColor="text1"/>
          <w:lang w:val="en-US" w:eastAsia="zh-CN"/>
          <w14:textFill>
            <w14:solidFill>
              <w14:schemeClr w14:val="tx1"/>
            </w14:solidFill>
          </w14:textFill>
        </w:rPr>
        <w:t>hm</w:t>
      </w:r>
      <w:r>
        <w:rPr>
          <w:rFonts w:hint="eastAsia" w:cs="Arial"/>
          <w:color w:val="000000" w:themeColor="text1"/>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lang w:val="en-US" w:eastAsia="zh-CN"/>
          <w14:textFill>
            <w14:solidFill>
              <w14:schemeClr w14:val="tx1"/>
            </w14:solidFill>
          </w14:textFill>
        </w:rPr>
        <w:t>，占中心城区建设用地比例为9.46%。</w:t>
      </w:r>
    </w:p>
    <w:p w14:paraId="4E19A81E">
      <w:pPr>
        <w:ind w:firstLine="471"/>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绥滨</w:t>
      </w:r>
      <w:r>
        <w:rPr>
          <w:rFonts w:hint="eastAsia" w:ascii="Times New Roman" w:hAnsi="Times New Roman" w:eastAsia="宋体" w:cs="Times New Roman"/>
          <w:color w:val="000000" w:themeColor="text1"/>
          <w:lang w:val="en-US" w:eastAsia="zh-CN"/>
          <w14:textFill>
            <w14:solidFill>
              <w14:schemeClr w14:val="tx1"/>
            </w14:solidFill>
          </w14:textFill>
        </w:rPr>
        <w:t>县中心城区城镇建设用地结构规划表见表2-1。</w:t>
      </w:r>
    </w:p>
    <w:p w14:paraId="47DCA602">
      <w:pPr>
        <w:ind w:firstLine="471"/>
        <w:rPr>
          <w:rFonts w:hint="eastAsia" w:ascii="Times New Roman" w:hAnsi="Times New Roman" w:eastAsia="宋体" w:cs="Times New Roman"/>
          <w:color w:val="000000" w:themeColor="text1"/>
          <w:lang w:val="en-US" w:eastAsia="zh-CN"/>
          <w14:textFill>
            <w14:solidFill>
              <w14:schemeClr w14:val="tx1"/>
            </w14:solidFill>
          </w14:textFill>
        </w:rPr>
      </w:pPr>
    </w:p>
    <w:p w14:paraId="114E71C1">
      <w:pPr>
        <w:ind w:firstLine="471"/>
        <w:rPr>
          <w:rFonts w:hint="eastAsia" w:ascii="Times New Roman" w:hAnsi="Times New Roman" w:eastAsia="宋体" w:cs="Times New Roman"/>
          <w:color w:val="000000" w:themeColor="text1"/>
          <w:lang w:val="en-US" w:eastAsia="zh-CN"/>
          <w14:textFill>
            <w14:solidFill>
              <w14:schemeClr w14:val="tx1"/>
            </w14:solidFill>
          </w14:textFill>
        </w:rPr>
        <w:sectPr>
          <w:footerReference r:id="rId12" w:type="default"/>
          <w:pgSz w:w="11906" w:h="16838"/>
          <w:pgMar w:top="1440" w:right="1803" w:bottom="1440" w:left="1803" w:header="794" w:footer="992" w:gutter="0"/>
          <w:pgBorders>
            <w:top w:val="none" w:sz="0" w:space="0"/>
            <w:left w:val="none" w:sz="0" w:space="0"/>
            <w:bottom w:val="none" w:sz="0" w:space="0"/>
            <w:right w:val="none" w:sz="0" w:space="0"/>
          </w:pgBorders>
          <w:pgNumType w:fmt="numberInDash"/>
          <w:cols w:space="720" w:num="1"/>
          <w:rtlGutter w:val="0"/>
          <w:docGrid w:type="linesAndChars" w:linePitch="347" w:charSpace="-874"/>
        </w:sectPr>
      </w:pPr>
    </w:p>
    <w:p w14:paraId="06514AC1">
      <w:pPr>
        <w:pStyle w:val="31"/>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表2-1</w:t>
      </w:r>
      <w:r>
        <w:rPr>
          <w:rFonts w:hint="eastAsia"/>
          <w:color w:val="000000" w:themeColor="text1"/>
          <w:highlight w:val="none"/>
          <w:lang w:val="en-US" w:eastAsia="zh-CN"/>
          <w14:textFill>
            <w14:solidFill>
              <w14:schemeClr w14:val="tx1"/>
            </w14:solidFill>
          </w14:textFill>
        </w:rPr>
        <w:t xml:space="preserve">  绥滨</w:t>
      </w:r>
      <w:r>
        <w:rPr>
          <w:rFonts w:hint="eastAsia"/>
          <w:color w:val="000000" w:themeColor="text1"/>
          <w:highlight w:val="none"/>
          <w:lang w:eastAsia="zh-CN"/>
          <w14:textFill>
            <w14:solidFill>
              <w14:schemeClr w14:val="tx1"/>
            </w14:solidFill>
          </w14:textFill>
        </w:rPr>
        <w:t>县中心城区</w:t>
      </w:r>
      <w:r>
        <w:rPr>
          <w:rFonts w:hint="eastAsia"/>
          <w:color w:val="000000" w:themeColor="text1"/>
          <w:highlight w:val="none"/>
          <w:lang w:val="en-US" w:eastAsia="zh-CN"/>
          <w14:textFill>
            <w14:solidFill>
              <w14:schemeClr w14:val="tx1"/>
            </w14:solidFill>
          </w14:textFill>
        </w:rPr>
        <w:t>城镇建设用地结构规划</w:t>
      </w:r>
      <w:r>
        <w:rPr>
          <w:rFonts w:hint="eastAsia"/>
          <w:color w:val="000000" w:themeColor="text1"/>
          <w:highlight w:val="none"/>
          <w14:textFill>
            <w14:solidFill>
              <w14:schemeClr w14:val="tx1"/>
            </w14:solidFill>
          </w14:textFill>
        </w:rPr>
        <w:t>表</w:t>
      </w:r>
    </w:p>
    <w:tbl>
      <w:tblPr>
        <w:tblStyle w:val="19"/>
        <w:tblpPr w:leftFromText="180" w:rightFromText="180" w:vertAnchor="text" w:tblpXSpec="center" w:tblpY="1"/>
        <w:tblOverlap w:val="never"/>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87"/>
        <w:gridCol w:w="2248"/>
        <w:gridCol w:w="2721"/>
        <w:gridCol w:w="2131"/>
        <w:gridCol w:w="2378"/>
      </w:tblGrid>
      <w:tr w14:paraId="5613B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54" w:type="pct"/>
            <w:vMerge w:val="restart"/>
            <w:tcBorders>
              <w:top w:val="single" w:color="000000" w:sz="4" w:space="0"/>
              <w:left w:val="single" w:color="000000" w:sz="4" w:space="0"/>
              <w:bottom w:val="single" w:color="000000" w:sz="4" w:space="0"/>
              <w:right w:val="single" w:color="000000" w:sz="4" w:space="0"/>
            </w:tcBorders>
            <w:noWrap/>
            <w:vAlign w:val="center"/>
          </w:tcPr>
          <w:p w14:paraId="1E1A902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用地类型</w:t>
            </w:r>
          </w:p>
        </w:tc>
        <w:tc>
          <w:tcPr>
            <w:tcW w:w="1753" w:type="pct"/>
            <w:gridSpan w:val="2"/>
            <w:tcBorders>
              <w:top w:val="single" w:color="000000" w:sz="4" w:space="0"/>
              <w:left w:val="single" w:color="000000" w:sz="4" w:space="0"/>
              <w:bottom w:val="single" w:color="000000" w:sz="4" w:space="0"/>
              <w:right w:val="single" w:color="000000" w:sz="4" w:space="0"/>
            </w:tcBorders>
            <w:noWrap/>
            <w:vAlign w:val="center"/>
          </w:tcPr>
          <w:p w14:paraId="5E9E81E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规划基期年</w:t>
            </w:r>
          </w:p>
        </w:tc>
        <w:tc>
          <w:tcPr>
            <w:tcW w:w="1591" w:type="pct"/>
            <w:gridSpan w:val="2"/>
            <w:tcBorders>
              <w:top w:val="single" w:color="000000" w:sz="4" w:space="0"/>
              <w:left w:val="single" w:color="000000" w:sz="4" w:space="0"/>
              <w:bottom w:val="single" w:color="000000" w:sz="4" w:space="0"/>
              <w:right w:val="single" w:color="000000" w:sz="4" w:space="0"/>
            </w:tcBorders>
            <w:noWrap/>
            <w:vAlign w:val="center"/>
          </w:tcPr>
          <w:p w14:paraId="73EB49CA">
            <w:pPr>
              <w:keepNext w:val="0"/>
              <w:keepLines w:val="0"/>
              <w:pageBreakBefore w:val="0"/>
              <w:widowControl/>
              <w:kinsoku/>
              <w:wordWrap/>
              <w:overflowPunct/>
              <w:topLinePunct w:val="0"/>
              <w:autoSpaceDE/>
              <w:autoSpaceDN/>
              <w:bidi w:val="0"/>
              <w:adjustRightInd/>
              <w:snapToGrid/>
              <w:ind w:firstLine="0" w:firstLineChars="0"/>
              <w:jc w:val="center"/>
              <w:rPr>
                <w:rFonts w:hint="default" w:ascii="Times New Roman" w:hAnsi="Times New Roman" w:eastAsia="宋体" w:cs="Times New Roman"/>
                <w:b w:val="0"/>
                <w:bCs w:val="0"/>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规划目标年</w:t>
            </w:r>
          </w:p>
        </w:tc>
      </w:tr>
      <w:tr w14:paraId="0DA6A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54" w:type="pct"/>
            <w:vMerge w:val="continue"/>
            <w:tcBorders>
              <w:top w:val="single" w:color="000000" w:sz="4" w:space="0"/>
              <w:left w:val="single" w:color="000000" w:sz="4" w:space="0"/>
              <w:bottom w:val="single" w:color="000000" w:sz="4" w:space="0"/>
              <w:right w:val="single" w:color="000000" w:sz="4" w:space="0"/>
            </w:tcBorders>
            <w:noWrap/>
            <w:vAlign w:val="center"/>
          </w:tcPr>
          <w:p w14:paraId="4F6CAF26">
            <w:pPr>
              <w:keepNext w:val="0"/>
              <w:keepLines w:val="0"/>
              <w:pageBreakBefore w:val="0"/>
              <w:widowControl/>
              <w:kinsoku/>
              <w:wordWrap/>
              <w:overflowPunct/>
              <w:topLinePunct w:val="0"/>
              <w:autoSpaceDE/>
              <w:autoSpaceDN/>
              <w:bidi w:val="0"/>
              <w:adjustRightInd/>
              <w:snapToGrid/>
              <w:ind w:firstLine="0" w:firstLineChars="0"/>
              <w:jc w:val="center"/>
              <w:rPr>
                <w:rFonts w:hint="default" w:ascii="Times New Roman" w:hAnsi="Times New Roman" w:eastAsia="宋体" w:cs="Times New Roman"/>
                <w:b w:val="0"/>
                <w:bCs w:val="0"/>
                <w:i w:val="0"/>
                <w:iCs w:val="0"/>
                <w:color w:val="000000" w:themeColor="text1"/>
                <w:sz w:val="21"/>
                <w:szCs w:val="21"/>
                <w:u w:val="none"/>
                <w14:textFill>
                  <w14:solidFill>
                    <w14:schemeClr w14:val="tx1"/>
                  </w14:solidFill>
                </w14:textFill>
              </w:rPr>
            </w:pPr>
          </w:p>
        </w:tc>
        <w:tc>
          <w:tcPr>
            <w:tcW w:w="793" w:type="pct"/>
            <w:tcBorders>
              <w:top w:val="single" w:color="000000" w:sz="4" w:space="0"/>
              <w:left w:val="single" w:color="000000" w:sz="4" w:space="0"/>
              <w:bottom w:val="single" w:color="000000" w:sz="4" w:space="0"/>
              <w:right w:val="single" w:color="000000" w:sz="4" w:space="0"/>
            </w:tcBorders>
            <w:noWrap/>
            <w:vAlign w:val="center"/>
          </w:tcPr>
          <w:p w14:paraId="5FF9AB9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sz w:val="21"/>
                <w:szCs w:val="21"/>
                <w:u w:val="none"/>
                <w:lang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面积</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eastAsia" w:cs="Arial"/>
                <w:color w:val="000000" w:themeColor="text1"/>
                <w:sz w:val="21"/>
                <w:szCs w:val="21"/>
                <w:lang w:val="en-US" w:eastAsia="zh-CN"/>
                <w14:textFill>
                  <w14:solidFill>
                    <w14:schemeClr w14:val="tx1"/>
                  </w14:solidFill>
                </w14:textFill>
              </w:rPr>
              <w:t>hm</w:t>
            </w:r>
            <w:r>
              <w:rPr>
                <w:rFonts w:hint="eastAsia" w:cs="Arial"/>
                <w:color w:val="000000" w:themeColor="text1"/>
                <w:sz w:val="21"/>
                <w:szCs w:val="21"/>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p>
        </w:tc>
        <w:tc>
          <w:tcPr>
            <w:tcW w:w="960" w:type="pct"/>
            <w:tcBorders>
              <w:top w:val="single" w:color="000000" w:sz="4" w:space="0"/>
              <w:left w:val="single" w:color="000000" w:sz="4" w:space="0"/>
              <w:bottom w:val="single" w:color="000000" w:sz="4" w:space="0"/>
              <w:right w:val="single" w:color="000000" w:sz="4" w:space="0"/>
            </w:tcBorders>
            <w:noWrap/>
            <w:vAlign w:val="center"/>
          </w:tcPr>
          <w:p w14:paraId="0F008BD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用地比例（%）</w:t>
            </w:r>
          </w:p>
        </w:tc>
        <w:tc>
          <w:tcPr>
            <w:tcW w:w="752" w:type="pct"/>
            <w:tcBorders>
              <w:top w:val="single" w:color="000000" w:sz="4" w:space="0"/>
              <w:left w:val="single" w:color="000000" w:sz="4" w:space="0"/>
              <w:bottom w:val="single" w:color="000000" w:sz="4" w:space="0"/>
              <w:right w:val="single" w:color="000000" w:sz="4" w:space="0"/>
            </w:tcBorders>
            <w:noWrap/>
            <w:vAlign w:val="center"/>
          </w:tcPr>
          <w:p w14:paraId="2122752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面积</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eastAsia" w:cs="Arial"/>
                <w:color w:val="000000" w:themeColor="text1"/>
                <w:sz w:val="21"/>
                <w:szCs w:val="21"/>
                <w:lang w:val="en-US" w:eastAsia="zh-CN"/>
                <w14:textFill>
                  <w14:solidFill>
                    <w14:schemeClr w14:val="tx1"/>
                  </w14:solidFill>
                </w14:textFill>
              </w:rPr>
              <w:t>hm</w:t>
            </w:r>
            <w:r>
              <w:rPr>
                <w:rFonts w:hint="eastAsia" w:cs="Arial"/>
                <w:color w:val="000000" w:themeColor="text1"/>
                <w:sz w:val="21"/>
                <w:szCs w:val="21"/>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p>
        </w:tc>
        <w:tc>
          <w:tcPr>
            <w:tcW w:w="839" w:type="pct"/>
            <w:tcBorders>
              <w:top w:val="single" w:color="000000" w:sz="4" w:space="0"/>
              <w:left w:val="single" w:color="000000" w:sz="4" w:space="0"/>
              <w:bottom w:val="single" w:color="000000" w:sz="4" w:space="0"/>
              <w:right w:val="single" w:color="000000" w:sz="4" w:space="0"/>
            </w:tcBorders>
            <w:noWrap/>
            <w:vAlign w:val="center"/>
          </w:tcPr>
          <w:p w14:paraId="68B8FC2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用地比例（%）</w:t>
            </w:r>
          </w:p>
        </w:tc>
      </w:tr>
      <w:tr w14:paraId="7BA46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87" w:type="dxa"/>
            <w:tcBorders>
              <w:top w:val="single" w:color="000000" w:sz="4" w:space="0"/>
              <w:left w:val="single" w:color="000000" w:sz="4" w:space="0"/>
              <w:bottom w:val="single" w:color="000000" w:sz="4" w:space="0"/>
              <w:right w:val="single" w:color="000000" w:sz="4" w:space="0"/>
            </w:tcBorders>
            <w:noWrap/>
            <w:vAlign w:val="top"/>
          </w:tcPr>
          <w:p w14:paraId="3247204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居住用地</w:t>
            </w:r>
          </w:p>
        </w:tc>
        <w:tc>
          <w:tcPr>
            <w:tcW w:w="2248" w:type="dxa"/>
            <w:tcBorders>
              <w:top w:val="single" w:color="000000" w:sz="4" w:space="0"/>
              <w:left w:val="single" w:color="000000" w:sz="4" w:space="0"/>
              <w:bottom w:val="single" w:color="000000" w:sz="4" w:space="0"/>
              <w:right w:val="single" w:color="000000" w:sz="4" w:space="0"/>
            </w:tcBorders>
            <w:noWrap/>
            <w:vAlign w:val="top"/>
          </w:tcPr>
          <w:p w14:paraId="45687AA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276.26</w:t>
            </w:r>
          </w:p>
        </w:tc>
        <w:tc>
          <w:tcPr>
            <w:tcW w:w="2721" w:type="dxa"/>
            <w:tcBorders>
              <w:top w:val="single" w:color="000000" w:sz="4" w:space="0"/>
              <w:left w:val="single" w:color="000000" w:sz="4" w:space="0"/>
              <w:bottom w:val="single" w:color="000000" w:sz="4" w:space="0"/>
              <w:right w:val="single" w:color="000000" w:sz="4" w:space="0"/>
            </w:tcBorders>
            <w:noWrap/>
            <w:vAlign w:val="top"/>
          </w:tcPr>
          <w:p w14:paraId="1066DDF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46.70</w:t>
            </w:r>
          </w:p>
        </w:tc>
        <w:tc>
          <w:tcPr>
            <w:tcW w:w="2131" w:type="dxa"/>
            <w:tcBorders>
              <w:top w:val="single" w:color="000000" w:sz="4" w:space="0"/>
              <w:left w:val="single" w:color="000000" w:sz="4" w:space="0"/>
              <w:bottom w:val="single" w:color="000000" w:sz="4" w:space="0"/>
              <w:right w:val="single" w:color="000000" w:sz="4" w:space="0"/>
            </w:tcBorders>
            <w:noWrap/>
            <w:vAlign w:val="top"/>
          </w:tcPr>
          <w:p w14:paraId="17B3920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308.79</w:t>
            </w:r>
          </w:p>
        </w:tc>
        <w:tc>
          <w:tcPr>
            <w:tcW w:w="2378" w:type="dxa"/>
            <w:tcBorders>
              <w:top w:val="single" w:color="000000" w:sz="4" w:space="0"/>
              <w:left w:val="single" w:color="000000" w:sz="4" w:space="0"/>
              <w:bottom w:val="single" w:color="000000" w:sz="4" w:space="0"/>
              <w:right w:val="single" w:color="000000" w:sz="4" w:space="0"/>
            </w:tcBorders>
            <w:noWrap/>
            <w:vAlign w:val="top"/>
          </w:tcPr>
          <w:p w14:paraId="5076656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32.37</w:t>
            </w:r>
          </w:p>
        </w:tc>
      </w:tr>
      <w:tr w14:paraId="03893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87" w:type="dxa"/>
            <w:tcBorders>
              <w:top w:val="single" w:color="000000" w:sz="4" w:space="0"/>
              <w:left w:val="single" w:color="000000" w:sz="4" w:space="0"/>
              <w:bottom w:val="single" w:color="000000" w:sz="4" w:space="0"/>
              <w:right w:val="single" w:color="000000" w:sz="4" w:space="0"/>
            </w:tcBorders>
            <w:noWrap/>
            <w:vAlign w:val="top"/>
          </w:tcPr>
          <w:p w14:paraId="04C3A48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公共管理与公共服务用地</w:t>
            </w:r>
          </w:p>
        </w:tc>
        <w:tc>
          <w:tcPr>
            <w:tcW w:w="2248" w:type="dxa"/>
            <w:tcBorders>
              <w:top w:val="single" w:color="000000" w:sz="4" w:space="0"/>
              <w:left w:val="single" w:color="000000" w:sz="4" w:space="0"/>
              <w:bottom w:val="single" w:color="000000" w:sz="4" w:space="0"/>
              <w:right w:val="single" w:color="000000" w:sz="4" w:space="0"/>
            </w:tcBorders>
            <w:noWrap/>
            <w:vAlign w:val="top"/>
          </w:tcPr>
          <w:p w14:paraId="132297B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61.10</w:t>
            </w:r>
          </w:p>
        </w:tc>
        <w:tc>
          <w:tcPr>
            <w:tcW w:w="2721" w:type="dxa"/>
            <w:tcBorders>
              <w:top w:val="single" w:color="000000" w:sz="4" w:space="0"/>
              <w:left w:val="single" w:color="000000" w:sz="4" w:space="0"/>
              <w:bottom w:val="single" w:color="000000" w:sz="4" w:space="0"/>
              <w:right w:val="single" w:color="000000" w:sz="4" w:space="0"/>
            </w:tcBorders>
            <w:noWrap/>
            <w:vAlign w:val="top"/>
          </w:tcPr>
          <w:p w14:paraId="032C725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10.33</w:t>
            </w:r>
          </w:p>
        </w:tc>
        <w:tc>
          <w:tcPr>
            <w:tcW w:w="2131" w:type="dxa"/>
            <w:tcBorders>
              <w:top w:val="single" w:color="000000" w:sz="4" w:space="0"/>
              <w:left w:val="single" w:color="000000" w:sz="4" w:space="0"/>
              <w:bottom w:val="single" w:color="000000" w:sz="4" w:space="0"/>
              <w:right w:val="single" w:color="000000" w:sz="4" w:space="0"/>
            </w:tcBorders>
            <w:noWrap/>
            <w:vAlign w:val="top"/>
          </w:tcPr>
          <w:p w14:paraId="6E0BF66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84.73</w:t>
            </w:r>
          </w:p>
        </w:tc>
        <w:tc>
          <w:tcPr>
            <w:tcW w:w="2378" w:type="dxa"/>
            <w:tcBorders>
              <w:top w:val="single" w:color="000000" w:sz="4" w:space="0"/>
              <w:left w:val="single" w:color="000000" w:sz="4" w:space="0"/>
              <w:bottom w:val="single" w:color="000000" w:sz="4" w:space="0"/>
              <w:right w:val="single" w:color="000000" w:sz="4" w:space="0"/>
            </w:tcBorders>
            <w:noWrap/>
            <w:vAlign w:val="top"/>
          </w:tcPr>
          <w:p w14:paraId="6C3BB07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8.88</w:t>
            </w:r>
          </w:p>
        </w:tc>
      </w:tr>
      <w:tr w14:paraId="5E66D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87" w:type="dxa"/>
            <w:tcBorders>
              <w:top w:val="single" w:color="000000" w:sz="4" w:space="0"/>
              <w:left w:val="single" w:color="000000" w:sz="4" w:space="0"/>
              <w:bottom w:val="single" w:color="000000" w:sz="4" w:space="0"/>
              <w:right w:val="single" w:color="000000" w:sz="4" w:space="0"/>
            </w:tcBorders>
            <w:noWrap/>
            <w:vAlign w:val="top"/>
          </w:tcPr>
          <w:p w14:paraId="02FE587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商业服务业用地</w:t>
            </w:r>
          </w:p>
        </w:tc>
        <w:tc>
          <w:tcPr>
            <w:tcW w:w="2248" w:type="dxa"/>
            <w:tcBorders>
              <w:top w:val="single" w:color="000000" w:sz="4" w:space="0"/>
              <w:left w:val="single" w:color="000000" w:sz="4" w:space="0"/>
              <w:bottom w:val="single" w:color="000000" w:sz="4" w:space="0"/>
              <w:right w:val="single" w:color="000000" w:sz="4" w:space="0"/>
            </w:tcBorders>
            <w:noWrap/>
            <w:vAlign w:val="top"/>
          </w:tcPr>
          <w:p w14:paraId="46A601A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72.13</w:t>
            </w:r>
          </w:p>
        </w:tc>
        <w:tc>
          <w:tcPr>
            <w:tcW w:w="2721" w:type="dxa"/>
            <w:tcBorders>
              <w:top w:val="single" w:color="000000" w:sz="4" w:space="0"/>
              <w:left w:val="single" w:color="000000" w:sz="4" w:space="0"/>
              <w:bottom w:val="single" w:color="000000" w:sz="4" w:space="0"/>
              <w:right w:val="single" w:color="000000" w:sz="4" w:space="0"/>
            </w:tcBorders>
            <w:noWrap/>
            <w:vAlign w:val="top"/>
          </w:tcPr>
          <w:p w14:paraId="74FD9C5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12.19</w:t>
            </w:r>
          </w:p>
        </w:tc>
        <w:tc>
          <w:tcPr>
            <w:tcW w:w="2131" w:type="dxa"/>
            <w:tcBorders>
              <w:top w:val="single" w:color="000000" w:sz="4" w:space="0"/>
              <w:left w:val="single" w:color="000000" w:sz="4" w:space="0"/>
              <w:bottom w:val="single" w:color="000000" w:sz="4" w:space="0"/>
              <w:right w:val="single" w:color="000000" w:sz="4" w:space="0"/>
            </w:tcBorders>
            <w:noWrap/>
            <w:vAlign w:val="top"/>
          </w:tcPr>
          <w:p w14:paraId="62AD14A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51.59</w:t>
            </w:r>
          </w:p>
        </w:tc>
        <w:tc>
          <w:tcPr>
            <w:tcW w:w="2378" w:type="dxa"/>
            <w:tcBorders>
              <w:top w:val="single" w:color="000000" w:sz="4" w:space="0"/>
              <w:left w:val="single" w:color="000000" w:sz="4" w:space="0"/>
              <w:bottom w:val="single" w:color="000000" w:sz="4" w:space="0"/>
              <w:right w:val="single" w:color="000000" w:sz="4" w:space="0"/>
            </w:tcBorders>
            <w:noWrap/>
            <w:vAlign w:val="top"/>
          </w:tcPr>
          <w:p w14:paraId="1AF1437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5.41</w:t>
            </w:r>
          </w:p>
        </w:tc>
      </w:tr>
      <w:tr w14:paraId="5CE43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87" w:type="dxa"/>
            <w:tcBorders>
              <w:top w:val="single" w:color="000000" w:sz="4" w:space="0"/>
              <w:left w:val="single" w:color="000000" w:sz="4" w:space="0"/>
              <w:bottom w:val="single" w:color="000000" w:sz="4" w:space="0"/>
              <w:right w:val="single" w:color="000000" w:sz="4" w:space="0"/>
            </w:tcBorders>
            <w:noWrap/>
            <w:vAlign w:val="top"/>
          </w:tcPr>
          <w:p w14:paraId="10A970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工矿用地</w:t>
            </w:r>
          </w:p>
        </w:tc>
        <w:tc>
          <w:tcPr>
            <w:tcW w:w="2248" w:type="dxa"/>
            <w:tcBorders>
              <w:top w:val="single" w:color="000000" w:sz="4" w:space="0"/>
              <w:left w:val="single" w:color="000000" w:sz="4" w:space="0"/>
              <w:bottom w:val="single" w:color="000000" w:sz="4" w:space="0"/>
              <w:right w:val="single" w:color="000000" w:sz="4" w:space="0"/>
            </w:tcBorders>
            <w:noWrap/>
            <w:vAlign w:val="top"/>
          </w:tcPr>
          <w:p w14:paraId="30694A4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96.06</w:t>
            </w:r>
          </w:p>
        </w:tc>
        <w:tc>
          <w:tcPr>
            <w:tcW w:w="2721" w:type="dxa"/>
            <w:tcBorders>
              <w:top w:val="single" w:color="000000" w:sz="4" w:space="0"/>
              <w:left w:val="single" w:color="000000" w:sz="4" w:space="0"/>
              <w:bottom w:val="single" w:color="000000" w:sz="4" w:space="0"/>
              <w:right w:val="single" w:color="000000" w:sz="4" w:space="0"/>
            </w:tcBorders>
            <w:noWrap/>
            <w:vAlign w:val="top"/>
          </w:tcPr>
          <w:p w14:paraId="1C91437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16.24</w:t>
            </w:r>
          </w:p>
        </w:tc>
        <w:tc>
          <w:tcPr>
            <w:tcW w:w="2131" w:type="dxa"/>
            <w:tcBorders>
              <w:top w:val="single" w:color="000000" w:sz="4" w:space="0"/>
              <w:left w:val="single" w:color="000000" w:sz="4" w:space="0"/>
              <w:bottom w:val="single" w:color="000000" w:sz="4" w:space="0"/>
              <w:right w:val="single" w:color="000000" w:sz="4" w:space="0"/>
            </w:tcBorders>
            <w:noWrap/>
            <w:vAlign w:val="top"/>
          </w:tcPr>
          <w:p w14:paraId="7BE1527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193.13</w:t>
            </w:r>
          </w:p>
        </w:tc>
        <w:tc>
          <w:tcPr>
            <w:tcW w:w="2378" w:type="dxa"/>
            <w:tcBorders>
              <w:top w:val="single" w:color="000000" w:sz="4" w:space="0"/>
              <w:left w:val="single" w:color="000000" w:sz="4" w:space="0"/>
              <w:bottom w:val="single" w:color="000000" w:sz="4" w:space="0"/>
              <w:right w:val="single" w:color="000000" w:sz="4" w:space="0"/>
            </w:tcBorders>
            <w:noWrap/>
            <w:vAlign w:val="top"/>
          </w:tcPr>
          <w:p w14:paraId="5CE70E4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20.24</w:t>
            </w:r>
          </w:p>
        </w:tc>
      </w:tr>
      <w:tr w14:paraId="3C17A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87" w:type="dxa"/>
            <w:tcBorders>
              <w:top w:val="single" w:color="000000" w:sz="4" w:space="0"/>
              <w:left w:val="single" w:color="000000" w:sz="4" w:space="0"/>
              <w:bottom w:val="single" w:color="000000" w:sz="4" w:space="0"/>
              <w:right w:val="single" w:color="000000" w:sz="4" w:space="0"/>
            </w:tcBorders>
            <w:noWrap/>
            <w:vAlign w:val="top"/>
          </w:tcPr>
          <w:p w14:paraId="426A5DA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仓储用地</w:t>
            </w:r>
          </w:p>
        </w:tc>
        <w:tc>
          <w:tcPr>
            <w:tcW w:w="2248" w:type="dxa"/>
            <w:tcBorders>
              <w:top w:val="single" w:color="000000" w:sz="4" w:space="0"/>
              <w:left w:val="single" w:color="000000" w:sz="4" w:space="0"/>
              <w:bottom w:val="single" w:color="000000" w:sz="4" w:space="0"/>
              <w:right w:val="single" w:color="000000" w:sz="4" w:space="0"/>
            </w:tcBorders>
            <w:noWrap/>
            <w:vAlign w:val="top"/>
          </w:tcPr>
          <w:p w14:paraId="7A836F2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32.92</w:t>
            </w:r>
          </w:p>
        </w:tc>
        <w:tc>
          <w:tcPr>
            <w:tcW w:w="2721" w:type="dxa"/>
            <w:tcBorders>
              <w:top w:val="single" w:color="000000" w:sz="4" w:space="0"/>
              <w:left w:val="single" w:color="000000" w:sz="4" w:space="0"/>
              <w:bottom w:val="single" w:color="000000" w:sz="4" w:space="0"/>
              <w:right w:val="single" w:color="000000" w:sz="4" w:space="0"/>
            </w:tcBorders>
            <w:noWrap/>
            <w:vAlign w:val="top"/>
          </w:tcPr>
          <w:p w14:paraId="64F601D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5.57</w:t>
            </w:r>
          </w:p>
        </w:tc>
        <w:tc>
          <w:tcPr>
            <w:tcW w:w="2131" w:type="dxa"/>
            <w:tcBorders>
              <w:top w:val="single" w:color="000000" w:sz="4" w:space="0"/>
              <w:left w:val="single" w:color="000000" w:sz="4" w:space="0"/>
              <w:bottom w:val="single" w:color="000000" w:sz="4" w:space="0"/>
              <w:right w:val="single" w:color="000000" w:sz="4" w:space="0"/>
            </w:tcBorders>
            <w:noWrap/>
            <w:vAlign w:val="top"/>
          </w:tcPr>
          <w:p w14:paraId="52A998B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22.64</w:t>
            </w:r>
          </w:p>
        </w:tc>
        <w:tc>
          <w:tcPr>
            <w:tcW w:w="2378" w:type="dxa"/>
            <w:tcBorders>
              <w:top w:val="single" w:color="000000" w:sz="4" w:space="0"/>
              <w:left w:val="single" w:color="000000" w:sz="4" w:space="0"/>
              <w:bottom w:val="single" w:color="000000" w:sz="4" w:space="0"/>
              <w:right w:val="single" w:color="000000" w:sz="4" w:space="0"/>
            </w:tcBorders>
            <w:noWrap/>
            <w:vAlign w:val="top"/>
          </w:tcPr>
          <w:p w14:paraId="17EA8D9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2.37</w:t>
            </w:r>
          </w:p>
        </w:tc>
      </w:tr>
      <w:tr w14:paraId="4DA04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87" w:type="dxa"/>
            <w:tcBorders>
              <w:top w:val="single" w:color="000000" w:sz="4" w:space="0"/>
              <w:left w:val="single" w:color="000000" w:sz="4" w:space="0"/>
              <w:bottom w:val="single" w:color="000000" w:sz="4" w:space="0"/>
              <w:right w:val="single" w:color="000000" w:sz="4" w:space="0"/>
            </w:tcBorders>
            <w:noWrap/>
            <w:vAlign w:val="top"/>
          </w:tcPr>
          <w:p w14:paraId="7D3AC9F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交通运输用地</w:t>
            </w:r>
          </w:p>
        </w:tc>
        <w:tc>
          <w:tcPr>
            <w:tcW w:w="2248" w:type="dxa"/>
            <w:tcBorders>
              <w:top w:val="single" w:color="000000" w:sz="4" w:space="0"/>
              <w:left w:val="single" w:color="000000" w:sz="4" w:space="0"/>
              <w:bottom w:val="single" w:color="000000" w:sz="4" w:space="0"/>
              <w:right w:val="single" w:color="000000" w:sz="4" w:space="0"/>
            </w:tcBorders>
            <w:noWrap/>
            <w:vAlign w:val="top"/>
          </w:tcPr>
          <w:p w14:paraId="5FD022F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35.65</w:t>
            </w:r>
          </w:p>
        </w:tc>
        <w:tc>
          <w:tcPr>
            <w:tcW w:w="2721" w:type="dxa"/>
            <w:tcBorders>
              <w:top w:val="single" w:color="000000" w:sz="4" w:space="0"/>
              <w:left w:val="single" w:color="000000" w:sz="4" w:space="0"/>
              <w:bottom w:val="single" w:color="000000" w:sz="4" w:space="0"/>
              <w:right w:val="single" w:color="000000" w:sz="4" w:space="0"/>
            </w:tcBorders>
            <w:noWrap/>
            <w:vAlign w:val="top"/>
          </w:tcPr>
          <w:p w14:paraId="530C391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6.03</w:t>
            </w:r>
          </w:p>
        </w:tc>
        <w:tc>
          <w:tcPr>
            <w:tcW w:w="2131" w:type="dxa"/>
            <w:tcBorders>
              <w:top w:val="single" w:color="000000" w:sz="4" w:space="0"/>
              <w:left w:val="single" w:color="000000" w:sz="4" w:space="0"/>
              <w:bottom w:val="single" w:color="000000" w:sz="4" w:space="0"/>
              <w:right w:val="single" w:color="000000" w:sz="4" w:space="0"/>
            </w:tcBorders>
            <w:noWrap/>
            <w:vAlign w:val="top"/>
          </w:tcPr>
          <w:p w14:paraId="4BF3206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180.54</w:t>
            </w:r>
          </w:p>
        </w:tc>
        <w:tc>
          <w:tcPr>
            <w:tcW w:w="2378" w:type="dxa"/>
            <w:tcBorders>
              <w:top w:val="single" w:color="000000" w:sz="4" w:space="0"/>
              <w:left w:val="single" w:color="000000" w:sz="4" w:space="0"/>
              <w:bottom w:val="single" w:color="000000" w:sz="4" w:space="0"/>
              <w:right w:val="single" w:color="000000" w:sz="4" w:space="0"/>
            </w:tcBorders>
            <w:noWrap/>
            <w:vAlign w:val="top"/>
          </w:tcPr>
          <w:p w14:paraId="335D37F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18.92</w:t>
            </w:r>
          </w:p>
        </w:tc>
      </w:tr>
      <w:tr w14:paraId="0FD7D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87" w:type="dxa"/>
            <w:tcBorders>
              <w:top w:val="single" w:color="000000" w:sz="4" w:space="0"/>
              <w:left w:val="single" w:color="000000" w:sz="4" w:space="0"/>
              <w:bottom w:val="single" w:color="000000" w:sz="4" w:space="0"/>
              <w:right w:val="single" w:color="000000" w:sz="4" w:space="0"/>
            </w:tcBorders>
            <w:noWrap/>
            <w:vAlign w:val="top"/>
          </w:tcPr>
          <w:p w14:paraId="1B134B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公用设施用地</w:t>
            </w:r>
          </w:p>
        </w:tc>
        <w:tc>
          <w:tcPr>
            <w:tcW w:w="2248" w:type="dxa"/>
            <w:tcBorders>
              <w:top w:val="single" w:color="000000" w:sz="4" w:space="0"/>
              <w:left w:val="single" w:color="000000" w:sz="4" w:space="0"/>
              <w:bottom w:val="single" w:color="000000" w:sz="4" w:space="0"/>
              <w:right w:val="single" w:color="000000" w:sz="4" w:space="0"/>
            </w:tcBorders>
            <w:noWrap/>
            <w:vAlign w:val="top"/>
          </w:tcPr>
          <w:p w14:paraId="2011E04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9.73</w:t>
            </w:r>
          </w:p>
        </w:tc>
        <w:tc>
          <w:tcPr>
            <w:tcW w:w="2721" w:type="dxa"/>
            <w:tcBorders>
              <w:top w:val="single" w:color="000000" w:sz="4" w:space="0"/>
              <w:left w:val="single" w:color="000000" w:sz="4" w:space="0"/>
              <w:bottom w:val="single" w:color="000000" w:sz="4" w:space="0"/>
              <w:right w:val="single" w:color="000000" w:sz="4" w:space="0"/>
            </w:tcBorders>
            <w:noWrap/>
            <w:vAlign w:val="top"/>
          </w:tcPr>
          <w:p w14:paraId="40C59EA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1.64</w:t>
            </w:r>
          </w:p>
        </w:tc>
        <w:tc>
          <w:tcPr>
            <w:tcW w:w="2131" w:type="dxa"/>
            <w:tcBorders>
              <w:top w:val="single" w:color="000000" w:sz="4" w:space="0"/>
              <w:left w:val="single" w:color="000000" w:sz="4" w:space="0"/>
              <w:bottom w:val="single" w:color="000000" w:sz="4" w:space="0"/>
              <w:right w:val="single" w:color="000000" w:sz="4" w:space="0"/>
            </w:tcBorders>
            <w:noWrap/>
            <w:vAlign w:val="top"/>
          </w:tcPr>
          <w:p w14:paraId="397DDA0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21.56</w:t>
            </w:r>
          </w:p>
        </w:tc>
        <w:tc>
          <w:tcPr>
            <w:tcW w:w="2378" w:type="dxa"/>
            <w:tcBorders>
              <w:top w:val="single" w:color="000000" w:sz="4" w:space="0"/>
              <w:left w:val="single" w:color="000000" w:sz="4" w:space="0"/>
              <w:bottom w:val="single" w:color="000000" w:sz="4" w:space="0"/>
              <w:right w:val="single" w:color="000000" w:sz="4" w:space="0"/>
            </w:tcBorders>
            <w:noWrap/>
            <w:vAlign w:val="top"/>
          </w:tcPr>
          <w:p w14:paraId="3133DE1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2.26</w:t>
            </w:r>
          </w:p>
        </w:tc>
      </w:tr>
      <w:tr w14:paraId="0C820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87" w:type="dxa"/>
            <w:tcBorders>
              <w:top w:val="single" w:color="000000" w:sz="4" w:space="0"/>
              <w:left w:val="single" w:color="000000" w:sz="4" w:space="0"/>
              <w:bottom w:val="single" w:color="000000" w:sz="4" w:space="0"/>
              <w:right w:val="single" w:color="000000" w:sz="4" w:space="0"/>
            </w:tcBorders>
            <w:noWrap/>
            <w:vAlign w:val="top"/>
          </w:tcPr>
          <w:p w14:paraId="0E983FE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绿地与开敞空间用地</w:t>
            </w:r>
          </w:p>
        </w:tc>
        <w:tc>
          <w:tcPr>
            <w:tcW w:w="2248" w:type="dxa"/>
            <w:tcBorders>
              <w:top w:val="single" w:color="000000" w:sz="4" w:space="0"/>
              <w:left w:val="single" w:color="000000" w:sz="4" w:space="0"/>
              <w:bottom w:val="single" w:color="000000" w:sz="4" w:space="0"/>
              <w:right w:val="single" w:color="000000" w:sz="4" w:space="0"/>
            </w:tcBorders>
            <w:noWrap/>
            <w:vAlign w:val="top"/>
          </w:tcPr>
          <w:p w14:paraId="26CFB6D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7.69</w:t>
            </w:r>
          </w:p>
        </w:tc>
        <w:tc>
          <w:tcPr>
            <w:tcW w:w="2721" w:type="dxa"/>
            <w:tcBorders>
              <w:top w:val="single" w:color="000000" w:sz="4" w:space="0"/>
              <w:left w:val="single" w:color="000000" w:sz="4" w:space="0"/>
              <w:bottom w:val="single" w:color="000000" w:sz="4" w:space="0"/>
              <w:right w:val="single" w:color="000000" w:sz="4" w:space="0"/>
            </w:tcBorders>
            <w:noWrap/>
            <w:vAlign w:val="top"/>
          </w:tcPr>
          <w:p w14:paraId="42DC0DB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1.30</w:t>
            </w:r>
          </w:p>
        </w:tc>
        <w:tc>
          <w:tcPr>
            <w:tcW w:w="2131" w:type="dxa"/>
            <w:tcBorders>
              <w:top w:val="single" w:color="000000" w:sz="4" w:space="0"/>
              <w:left w:val="single" w:color="000000" w:sz="4" w:space="0"/>
              <w:bottom w:val="single" w:color="000000" w:sz="4" w:space="0"/>
              <w:right w:val="single" w:color="000000" w:sz="4" w:space="0"/>
            </w:tcBorders>
            <w:noWrap/>
            <w:vAlign w:val="top"/>
          </w:tcPr>
          <w:p w14:paraId="16C26C0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83.08</w:t>
            </w:r>
          </w:p>
        </w:tc>
        <w:tc>
          <w:tcPr>
            <w:tcW w:w="2378" w:type="dxa"/>
            <w:tcBorders>
              <w:top w:val="single" w:color="000000" w:sz="4" w:space="0"/>
              <w:left w:val="single" w:color="000000" w:sz="4" w:space="0"/>
              <w:bottom w:val="single" w:color="000000" w:sz="4" w:space="0"/>
              <w:right w:val="single" w:color="000000" w:sz="4" w:space="0"/>
            </w:tcBorders>
            <w:noWrap/>
            <w:vAlign w:val="top"/>
          </w:tcPr>
          <w:p w14:paraId="56D8735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8.71</w:t>
            </w:r>
          </w:p>
        </w:tc>
      </w:tr>
      <w:tr w14:paraId="477E7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87" w:type="dxa"/>
            <w:tcBorders>
              <w:top w:val="single" w:color="000000" w:sz="4" w:space="0"/>
              <w:left w:val="single" w:color="000000" w:sz="4" w:space="0"/>
              <w:bottom w:val="single" w:color="000000" w:sz="4" w:space="0"/>
              <w:right w:val="single" w:color="000000" w:sz="4" w:space="0"/>
            </w:tcBorders>
            <w:noWrap/>
            <w:vAlign w:val="top"/>
          </w:tcPr>
          <w:p w14:paraId="483F284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特殊用地</w:t>
            </w:r>
          </w:p>
        </w:tc>
        <w:tc>
          <w:tcPr>
            <w:tcW w:w="2248" w:type="dxa"/>
            <w:tcBorders>
              <w:top w:val="single" w:color="000000" w:sz="4" w:space="0"/>
              <w:left w:val="single" w:color="000000" w:sz="4" w:space="0"/>
              <w:bottom w:val="single" w:color="000000" w:sz="4" w:space="0"/>
              <w:right w:val="single" w:color="000000" w:sz="4" w:space="0"/>
            </w:tcBorders>
            <w:noWrap/>
            <w:vAlign w:val="top"/>
          </w:tcPr>
          <w:p w14:paraId="0F1EE0E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0.00</w:t>
            </w:r>
          </w:p>
        </w:tc>
        <w:tc>
          <w:tcPr>
            <w:tcW w:w="2721" w:type="dxa"/>
            <w:tcBorders>
              <w:top w:val="single" w:color="000000" w:sz="4" w:space="0"/>
              <w:left w:val="single" w:color="000000" w:sz="4" w:space="0"/>
              <w:bottom w:val="single" w:color="000000" w:sz="4" w:space="0"/>
              <w:right w:val="single" w:color="000000" w:sz="4" w:space="0"/>
            </w:tcBorders>
            <w:noWrap/>
            <w:vAlign w:val="top"/>
          </w:tcPr>
          <w:p w14:paraId="2C2C83F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0.00</w:t>
            </w:r>
          </w:p>
        </w:tc>
        <w:tc>
          <w:tcPr>
            <w:tcW w:w="2131" w:type="dxa"/>
            <w:tcBorders>
              <w:top w:val="single" w:color="000000" w:sz="4" w:space="0"/>
              <w:left w:val="single" w:color="000000" w:sz="4" w:space="0"/>
              <w:bottom w:val="single" w:color="000000" w:sz="4" w:space="0"/>
              <w:right w:val="single" w:color="000000" w:sz="4" w:space="0"/>
            </w:tcBorders>
            <w:noWrap/>
            <w:vAlign w:val="top"/>
          </w:tcPr>
          <w:p w14:paraId="06EAE5A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0.37</w:t>
            </w:r>
          </w:p>
        </w:tc>
        <w:tc>
          <w:tcPr>
            <w:tcW w:w="2378" w:type="dxa"/>
            <w:tcBorders>
              <w:top w:val="single" w:color="000000" w:sz="4" w:space="0"/>
              <w:left w:val="single" w:color="000000" w:sz="4" w:space="0"/>
              <w:bottom w:val="single" w:color="000000" w:sz="4" w:space="0"/>
              <w:right w:val="single" w:color="000000" w:sz="4" w:space="0"/>
            </w:tcBorders>
            <w:noWrap/>
            <w:vAlign w:val="top"/>
          </w:tcPr>
          <w:p w14:paraId="0D50A99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0.04</w:t>
            </w:r>
          </w:p>
        </w:tc>
      </w:tr>
      <w:tr w14:paraId="66446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87" w:type="dxa"/>
            <w:tcBorders>
              <w:top w:val="single" w:color="000000" w:sz="4" w:space="0"/>
              <w:left w:val="single" w:color="000000" w:sz="4" w:space="0"/>
              <w:bottom w:val="single" w:color="000000" w:sz="4" w:space="0"/>
              <w:right w:val="single" w:color="000000" w:sz="4" w:space="0"/>
            </w:tcBorders>
            <w:noWrap/>
            <w:vAlign w:val="top"/>
          </w:tcPr>
          <w:p w14:paraId="6A502E1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留白用地</w:t>
            </w:r>
          </w:p>
        </w:tc>
        <w:tc>
          <w:tcPr>
            <w:tcW w:w="2248" w:type="dxa"/>
            <w:tcBorders>
              <w:top w:val="single" w:color="000000" w:sz="4" w:space="0"/>
              <w:left w:val="single" w:color="000000" w:sz="4" w:space="0"/>
              <w:bottom w:val="single" w:color="000000" w:sz="4" w:space="0"/>
              <w:right w:val="single" w:color="000000" w:sz="4" w:space="0"/>
            </w:tcBorders>
            <w:noWrap/>
            <w:vAlign w:val="top"/>
          </w:tcPr>
          <w:p w14:paraId="74B17F4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0.00</w:t>
            </w:r>
          </w:p>
        </w:tc>
        <w:tc>
          <w:tcPr>
            <w:tcW w:w="2721" w:type="dxa"/>
            <w:tcBorders>
              <w:top w:val="single" w:color="000000" w:sz="4" w:space="0"/>
              <w:left w:val="single" w:color="000000" w:sz="4" w:space="0"/>
              <w:bottom w:val="single" w:color="000000" w:sz="4" w:space="0"/>
              <w:right w:val="single" w:color="000000" w:sz="4" w:space="0"/>
            </w:tcBorders>
            <w:noWrap/>
            <w:vAlign w:val="top"/>
          </w:tcPr>
          <w:p w14:paraId="4F38E73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0.00</w:t>
            </w:r>
          </w:p>
        </w:tc>
        <w:tc>
          <w:tcPr>
            <w:tcW w:w="2131" w:type="dxa"/>
            <w:tcBorders>
              <w:top w:val="single" w:color="000000" w:sz="4" w:space="0"/>
              <w:left w:val="single" w:color="000000" w:sz="4" w:space="0"/>
              <w:bottom w:val="single" w:color="000000" w:sz="4" w:space="0"/>
              <w:right w:val="single" w:color="000000" w:sz="4" w:space="0"/>
            </w:tcBorders>
            <w:noWrap/>
            <w:vAlign w:val="top"/>
          </w:tcPr>
          <w:p w14:paraId="692F0AA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7.55</w:t>
            </w:r>
          </w:p>
        </w:tc>
        <w:tc>
          <w:tcPr>
            <w:tcW w:w="2378" w:type="dxa"/>
            <w:tcBorders>
              <w:top w:val="single" w:color="000000" w:sz="4" w:space="0"/>
              <w:left w:val="single" w:color="000000" w:sz="4" w:space="0"/>
              <w:bottom w:val="single" w:color="000000" w:sz="4" w:space="0"/>
              <w:right w:val="single" w:color="000000" w:sz="4" w:space="0"/>
            </w:tcBorders>
            <w:noWrap/>
            <w:vAlign w:val="top"/>
          </w:tcPr>
          <w:p w14:paraId="35FE09C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0.79</w:t>
            </w:r>
          </w:p>
        </w:tc>
      </w:tr>
      <w:tr w14:paraId="2921D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87" w:type="dxa"/>
            <w:tcBorders>
              <w:top w:val="single" w:color="000000" w:sz="4" w:space="0"/>
              <w:left w:val="single" w:color="000000" w:sz="4" w:space="0"/>
              <w:bottom w:val="single" w:color="000000" w:sz="4" w:space="0"/>
              <w:right w:val="single" w:color="000000" w:sz="4" w:space="0"/>
            </w:tcBorders>
            <w:noWrap/>
            <w:vAlign w:val="top"/>
          </w:tcPr>
          <w:p w14:paraId="047531C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合计</w:t>
            </w:r>
          </w:p>
        </w:tc>
        <w:tc>
          <w:tcPr>
            <w:tcW w:w="2248" w:type="dxa"/>
            <w:tcBorders>
              <w:top w:val="single" w:color="000000" w:sz="4" w:space="0"/>
              <w:left w:val="single" w:color="000000" w:sz="4" w:space="0"/>
              <w:bottom w:val="single" w:color="000000" w:sz="4" w:space="0"/>
              <w:right w:val="single" w:color="000000" w:sz="4" w:space="0"/>
            </w:tcBorders>
            <w:noWrap/>
            <w:vAlign w:val="top"/>
          </w:tcPr>
          <w:p w14:paraId="0AE2BE4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591.54</w:t>
            </w:r>
          </w:p>
        </w:tc>
        <w:tc>
          <w:tcPr>
            <w:tcW w:w="2721" w:type="dxa"/>
            <w:tcBorders>
              <w:top w:val="single" w:color="000000" w:sz="4" w:space="0"/>
              <w:left w:val="single" w:color="000000" w:sz="4" w:space="0"/>
              <w:bottom w:val="single" w:color="000000" w:sz="4" w:space="0"/>
              <w:right w:val="single" w:color="000000" w:sz="4" w:space="0"/>
            </w:tcBorders>
            <w:noWrap/>
            <w:vAlign w:val="top"/>
          </w:tcPr>
          <w:p w14:paraId="343EE09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100.00</w:t>
            </w:r>
          </w:p>
        </w:tc>
        <w:tc>
          <w:tcPr>
            <w:tcW w:w="2131" w:type="dxa"/>
            <w:tcBorders>
              <w:top w:val="single" w:color="000000" w:sz="4" w:space="0"/>
              <w:left w:val="single" w:color="000000" w:sz="4" w:space="0"/>
              <w:bottom w:val="single" w:color="000000" w:sz="4" w:space="0"/>
              <w:right w:val="single" w:color="000000" w:sz="4" w:space="0"/>
            </w:tcBorders>
            <w:noWrap/>
            <w:vAlign w:val="top"/>
          </w:tcPr>
          <w:p w14:paraId="01F9872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953.98</w:t>
            </w:r>
          </w:p>
        </w:tc>
        <w:tc>
          <w:tcPr>
            <w:tcW w:w="2378" w:type="dxa"/>
            <w:tcBorders>
              <w:top w:val="single" w:color="000000" w:sz="4" w:space="0"/>
              <w:left w:val="single" w:color="000000" w:sz="4" w:space="0"/>
              <w:bottom w:val="single" w:color="000000" w:sz="4" w:space="0"/>
              <w:right w:val="single" w:color="000000" w:sz="4" w:space="0"/>
            </w:tcBorders>
            <w:noWrap/>
            <w:vAlign w:val="top"/>
          </w:tcPr>
          <w:p w14:paraId="51AA044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100.00</w:t>
            </w:r>
          </w:p>
        </w:tc>
      </w:tr>
    </w:tbl>
    <w:p w14:paraId="5F031F30">
      <w:pPr>
        <w:pStyle w:val="18"/>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eastAsia" w:eastAsia="宋体"/>
          <w:color w:val="000000" w:themeColor="text1"/>
          <w:lang w:eastAsia="zh-CN"/>
          <w14:textFill>
            <w14:solidFill>
              <w14:schemeClr w14:val="tx1"/>
            </w14:solidFill>
          </w14:textFill>
        </w:rPr>
      </w:pPr>
    </w:p>
    <w:p w14:paraId="6B8CE661">
      <w:pPr>
        <w:pStyle w:val="18"/>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eastAsia"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drawing>
          <wp:inline distT="0" distB="0" distL="114300" distR="114300">
            <wp:extent cx="8301355" cy="4787900"/>
            <wp:effectExtent l="0" t="0" r="4445" b="12700"/>
            <wp:docPr id="18" name="图片 18" descr="3.230422绥滨县规划图集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3.230422绥滨县规划图集_28"/>
                    <pic:cNvPicPr>
                      <a:picLocks noChangeAspect="1"/>
                    </pic:cNvPicPr>
                  </pic:nvPicPr>
                  <pic:blipFill>
                    <a:blip r:embed="rId17"/>
                    <a:srcRect t="10467" b="7959"/>
                    <a:stretch>
                      <a:fillRect/>
                    </a:stretch>
                  </pic:blipFill>
                  <pic:spPr>
                    <a:xfrm>
                      <a:off x="0" y="0"/>
                      <a:ext cx="8301355" cy="4787900"/>
                    </a:xfrm>
                    <a:prstGeom prst="rect">
                      <a:avLst/>
                    </a:prstGeom>
                  </pic:spPr>
                </pic:pic>
              </a:graphicData>
            </a:graphic>
          </wp:inline>
        </w:drawing>
      </w:r>
    </w:p>
    <w:p w14:paraId="71240E57">
      <w:pPr>
        <w:pStyle w:val="31"/>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图2-2</w:t>
      </w:r>
      <w:r>
        <w:rPr>
          <w:rFonts w:hint="eastAsia" w:ascii="Times New Roman" w:hAnsi="Times New Roman" w:cs="Times New Roman"/>
          <w:color w:val="000000" w:themeColor="text1"/>
          <w:lang w:val="en-US" w:eastAsia="zh-CN"/>
          <w14:textFill>
            <w14:solidFill>
              <w14:schemeClr w14:val="tx1"/>
            </w14:solidFill>
          </w14:textFill>
        </w:rPr>
        <w:t xml:space="preserve">  </w:t>
      </w:r>
      <w:r>
        <w:rPr>
          <w:rFonts w:hint="eastAsia" w:ascii="Times New Roman" w:hAnsi="Times New Roman" w:cs="Times New Roman"/>
          <w:color w:val="000000" w:themeColor="text1"/>
          <w:lang w:eastAsia="zh-CN"/>
          <w14:textFill>
            <w14:solidFill>
              <w14:schemeClr w14:val="tx1"/>
            </w14:solidFill>
          </w14:textFill>
        </w:rPr>
        <w:t>绥滨县</w:t>
      </w:r>
      <w:r>
        <w:rPr>
          <w:rFonts w:hint="eastAsia" w:ascii="Times New Roman" w:hAnsi="Times New Roman" w:cs="Times New Roman"/>
          <w:color w:val="000000" w:themeColor="text1"/>
          <w14:textFill>
            <w14:solidFill>
              <w14:schemeClr w14:val="tx1"/>
            </w14:solidFill>
          </w14:textFill>
        </w:rPr>
        <w:t>中心城区土地利用</w:t>
      </w:r>
      <w:r>
        <w:rPr>
          <w:rFonts w:hint="eastAsia" w:ascii="Times New Roman" w:hAnsi="Times New Roman" w:cs="Times New Roman"/>
          <w:color w:val="000000" w:themeColor="text1"/>
          <w:lang w:val="en-US" w:eastAsia="zh-CN"/>
          <w14:textFill>
            <w14:solidFill>
              <w14:schemeClr w14:val="tx1"/>
            </w14:solidFill>
          </w14:textFill>
        </w:rPr>
        <w:t>规划</w:t>
      </w:r>
      <w:r>
        <w:rPr>
          <w:rFonts w:hint="eastAsia" w:ascii="Times New Roman" w:hAnsi="Times New Roman" w:cs="Times New Roman"/>
          <w:color w:val="000000" w:themeColor="text1"/>
          <w14:textFill>
            <w14:solidFill>
              <w14:schemeClr w14:val="tx1"/>
            </w14:solidFill>
          </w14:textFill>
        </w:rPr>
        <w:t>图</w:t>
      </w:r>
    </w:p>
    <w:p w14:paraId="0A243B53">
      <w:pPr>
        <w:pStyle w:val="31"/>
        <w:rPr>
          <w:rFonts w:hint="eastAsia"/>
          <w:color w:val="000000" w:themeColor="text1"/>
          <w:highlight w:val="none"/>
          <w14:textFill>
            <w14:solidFill>
              <w14:schemeClr w14:val="tx1"/>
            </w14:solidFill>
          </w14:textFill>
        </w:rPr>
        <w:sectPr>
          <w:pgSz w:w="16838" w:h="11906" w:orient="landscape"/>
          <w:pgMar w:top="1803" w:right="1440" w:bottom="1803" w:left="1440" w:header="794" w:footer="992" w:gutter="0"/>
          <w:pgBorders>
            <w:top w:val="none" w:sz="0" w:space="0"/>
            <w:left w:val="none" w:sz="0" w:space="0"/>
            <w:bottom w:val="none" w:sz="0" w:space="0"/>
            <w:right w:val="none" w:sz="0" w:space="0"/>
          </w:pgBorders>
          <w:pgNumType w:fmt="numberInDash"/>
          <w:cols w:space="720" w:num="1"/>
          <w:rtlGutter w:val="0"/>
          <w:docGrid w:type="linesAndChars" w:linePitch="360" w:charSpace="-874"/>
        </w:sectPr>
      </w:pPr>
    </w:p>
    <w:p w14:paraId="7CD8F8F2">
      <w:pPr>
        <w:pStyle w:val="4"/>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2.4.3</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中心城区道路系统规划</w:t>
      </w:r>
    </w:p>
    <w:p w14:paraId="2C0145EE">
      <w:pPr>
        <w:keepNext w:val="0"/>
        <w:keepLines w:val="0"/>
        <w:widowControl/>
        <w:suppressLineNumbers w:val="0"/>
        <w:jc w:val="left"/>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规划形成“环形+方格网状”道路网结构。</w:t>
      </w:r>
    </w:p>
    <w:p w14:paraId="1EF8249F">
      <w:pPr>
        <w:keepNext w:val="0"/>
        <w:keepLines w:val="0"/>
        <w:widowControl/>
        <w:suppressLineNumbers w:val="0"/>
        <w:jc w:val="left"/>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主干路红线宽30—40</w:t>
      </w:r>
      <w:r>
        <w:rPr>
          <w:rFonts w:hint="eastAsia" w:cs="Times New Roman"/>
          <w:color w:val="000000" w:themeColor="text1"/>
          <w:lang w:val="en-US" w:eastAsia="zh-CN"/>
          <w14:textFill>
            <w14:solidFill>
              <w14:schemeClr w14:val="tx1"/>
            </w14:solidFill>
          </w14:textFill>
        </w:rPr>
        <w:t>m</w:t>
      </w:r>
      <w:r>
        <w:rPr>
          <w:rFonts w:hint="eastAsia" w:ascii="Times New Roman" w:hAnsi="Times New Roman" w:eastAsia="宋体" w:cs="Times New Roman"/>
          <w:color w:val="000000" w:themeColor="text1"/>
          <w14:textFill>
            <w14:solidFill>
              <w14:schemeClr w14:val="tx1"/>
            </w14:solidFill>
          </w14:textFill>
        </w:rPr>
        <w:t>，是以满足交通运输和生活性客运要求为主要功能的道路，承担城市内部与边缘地区之间以及各功能片区之间的交通流量。规划主干路主要包括：松滨大街（东环路以西段）、振荣街、东环路（松滨大街以北红星大街以南段）、通达路、滨北路、西环路。</w:t>
      </w:r>
    </w:p>
    <w:p w14:paraId="6E1CB183">
      <w:pPr>
        <w:keepNext w:val="0"/>
        <w:keepLines w:val="0"/>
        <w:widowControl/>
        <w:suppressLineNumbers w:val="0"/>
        <w:jc w:val="left"/>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次干路红线宽25—40</w:t>
      </w:r>
      <w:r>
        <w:rPr>
          <w:rFonts w:hint="eastAsia" w:cs="Times New Roman"/>
          <w:color w:val="000000" w:themeColor="text1"/>
          <w:lang w:val="en-US" w:eastAsia="zh-CN"/>
          <w14:textFill>
            <w14:solidFill>
              <w14:schemeClr w14:val="tx1"/>
            </w14:solidFill>
          </w14:textFill>
        </w:rPr>
        <w:t>m</w:t>
      </w:r>
      <w:r>
        <w:rPr>
          <w:rFonts w:hint="eastAsia" w:ascii="Times New Roman" w:hAnsi="Times New Roman" w:eastAsia="宋体" w:cs="Times New Roman"/>
          <w:color w:val="000000" w:themeColor="text1"/>
          <w14:textFill>
            <w14:solidFill>
              <w14:schemeClr w14:val="tx1"/>
            </w14:solidFill>
          </w14:textFill>
        </w:rPr>
        <w:t>，是以满足交通疏散</w:t>
      </w:r>
      <w:r>
        <w:rPr>
          <w:rFonts w:hint="eastAsia" w:cs="Times New Roman"/>
          <w:color w:val="000000" w:themeColor="text1"/>
          <w:lang w:eastAsia="zh-CN"/>
          <w14:textFill>
            <w14:solidFill>
              <w14:schemeClr w14:val="tx1"/>
            </w14:solidFill>
          </w14:textFill>
        </w:rPr>
        <w:t>兼顾</w:t>
      </w:r>
      <w:r>
        <w:rPr>
          <w:rFonts w:hint="eastAsia" w:ascii="Times New Roman" w:hAnsi="Times New Roman" w:eastAsia="宋体" w:cs="Times New Roman"/>
          <w:color w:val="000000" w:themeColor="text1"/>
          <w14:textFill>
            <w14:solidFill>
              <w14:schemeClr w14:val="tx1"/>
            </w14:solidFill>
          </w14:textFill>
        </w:rPr>
        <w:t>服务功能为主要的道路。规划次干路包括渡口路</w:t>
      </w:r>
      <w:r>
        <w:rPr>
          <w:rFonts w:hint="eastAsia" w:ascii="Times New Roman" w:hAnsi="Times New Roman" w:eastAsia="宋体" w:cs="Times New Roman"/>
          <w:color w:val="000000" w:themeColor="text1"/>
          <w:highlight w:val="none"/>
          <w14:textFill>
            <w14:solidFill>
              <w14:schemeClr w14:val="tx1"/>
            </w14:solidFill>
          </w14:textFill>
        </w:rPr>
        <w:t>、盛工路、振兴大街、光伏路、东郊路、物流路、物流西路、兴工街、</w:t>
      </w:r>
      <w:r>
        <w:rPr>
          <w:rFonts w:hint="eastAsia" w:ascii="Times New Roman" w:hAnsi="Times New Roman" w:eastAsia="宋体" w:cs="Times New Roman"/>
          <w:color w:val="000000" w:themeColor="text1"/>
          <w14:textFill>
            <w14:solidFill>
              <w14:schemeClr w14:val="tx1"/>
            </w14:solidFill>
          </w14:textFill>
        </w:rPr>
        <w:t>奋斗路、</w:t>
      </w:r>
      <w:r>
        <w:rPr>
          <w:rFonts w:hint="eastAsia" w:ascii="Times New Roman" w:hAnsi="Times New Roman" w:eastAsia="宋体" w:cs="Times New Roman"/>
          <w:color w:val="000000" w:themeColor="text1"/>
          <w:highlight w:val="none"/>
          <w14:textFill>
            <w14:solidFill>
              <w14:schemeClr w14:val="tx1"/>
            </w14:solidFill>
          </w14:textFill>
        </w:rPr>
        <w:t>通江路、近河路、东辉路、田丰街</w:t>
      </w:r>
      <w:r>
        <w:rPr>
          <w:rFonts w:hint="eastAsia" w:ascii="Times New Roman" w:hAnsi="Times New Roman" w:eastAsia="宋体" w:cs="Times New Roman"/>
          <w:color w:val="000000" w:themeColor="text1"/>
          <w14:textFill>
            <w14:solidFill>
              <w14:schemeClr w14:val="tx1"/>
            </w14:solidFill>
          </w14:textFill>
        </w:rPr>
        <w:t>、松滨大街（东环路以东段）、向阳路、松滨东路。</w:t>
      </w:r>
    </w:p>
    <w:p w14:paraId="3311E47F">
      <w:pPr>
        <w:keepNext w:val="0"/>
        <w:keepLines w:val="0"/>
        <w:widowControl/>
        <w:suppressLineNumbers w:val="0"/>
        <w:jc w:val="left"/>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支路红线宽为10—30</w:t>
      </w:r>
      <w:r>
        <w:rPr>
          <w:rFonts w:hint="eastAsia" w:cs="Times New Roman"/>
          <w:color w:val="000000" w:themeColor="text1"/>
          <w:lang w:val="en-US" w:eastAsia="zh-CN"/>
          <w14:textFill>
            <w14:solidFill>
              <w14:schemeClr w14:val="tx1"/>
            </w14:solidFill>
          </w14:textFill>
        </w:rPr>
        <w:t>m</w:t>
      </w:r>
      <w:r>
        <w:rPr>
          <w:rFonts w:hint="eastAsia" w:ascii="Times New Roman" w:hAnsi="Times New Roman" w:eastAsia="宋体" w:cs="Times New Roman"/>
          <w:color w:val="000000" w:themeColor="text1"/>
          <w14:textFill>
            <w14:solidFill>
              <w14:schemeClr w14:val="tx1"/>
            </w14:solidFill>
          </w14:textFill>
        </w:rPr>
        <w:t>，作为到达性道路，是进出街坊、居住区和承担短距离交通的主要道路，是城市道路系统的重要组成部分。规划支路主要包括：奋斗路（红星大街以北段）、振兴大街（西环路以西段）、傲来路、东环路（红星大街以北段）、繁荣街、富强路、光明路、河西路、建设路、江滨街、粮库街、粮食路、林茂街、林盛路、顺达路、顺通街、松花路、泰康路、望江路、文化街、学子街、运通街、长青街、振兴东街、中医街、奋斗西路、泰康二路、规划西路。</w:t>
      </w:r>
    </w:p>
    <w:p w14:paraId="08ABF80E">
      <w:pPr>
        <w:pStyle w:val="31"/>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cs="Times New Roman"/>
          <w:color w:val="000000" w:themeColor="text1"/>
          <w14:textFill>
            <w14:solidFill>
              <w14:schemeClr w14:val="tx1"/>
            </w14:solidFill>
          </w14:textFill>
        </w:rPr>
        <w:sectPr>
          <w:pgSz w:w="11906" w:h="16838"/>
          <w:pgMar w:top="1440" w:right="1803" w:bottom="1440" w:left="1803" w:header="794" w:footer="992" w:gutter="0"/>
          <w:pgBorders>
            <w:top w:val="none" w:sz="0" w:space="0"/>
            <w:left w:val="none" w:sz="0" w:space="0"/>
            <w:bottom w:val="none" w:sz="0" w:space="0"/>
            <w:right w:val="none" w:sz="0" w:space="0"/>
          </w:pgBorders>
          <w:pgNumType w:fmt="numberInDash"/>
          <w:cols w:space="720" w:num="1"/>
          <w:rtlGutter w:val="0"/>
          <w:docGrid w:type="linesAndChars" w:linePitch="347" w:charSpace="-874"/>
        </w:sectPr>
      </w:pPr>
    </w:p>
    <w:p w14:paraId="00F7EDD6">
      <w:pPr>
        <w:pStyle w:val="31"/>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黑体" w:cs="Times New Roman"/>
          <w:color w:val="000000" w:themeColor="text1"/>
          <w:lang w:eastAsia="zh-CN"/>
          <w14:textFill>
            <w14:solidFill>
              <w14:schemeClr w14:val="tx1"/>
            </w14:solidFill>
          </w14:textFill>
        </w:rPr>
      </w:pPr>
      <w:r>
        <w:rPr>
          <w:rFonts w:hint="eastAsia" w:ascii="Times New Roman" w:hAnsi="Times New Roman" w:eastAsia="黑体" w:cs="Times New Roman"/>
          <w:color w:val="000000" w:themeColor="text1"/>
          <w:lang w:eastAsia="zh-CN"/>
          <w14:textFill>
            <w14:solidFill>
              <w14:schemeClr w14:val="tx1"/>
            </w14:solidFill>
          </w14:textFill>
        </w:rPr>
        <w:drawing>
          <wp:inline distT="0" distB="0" distL="114300" distR="114300">
            <wp:extent cx="8339455" cy="4787900"/>
            <wp:effectExtent l="0" t="0" r="12065" b="12700"/>
            <wp:docPr id="19" name="图片 19" descr="3.230422绥滨县规划图集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3.230422绥滨县规划图集_42"/>
                    <pic:cNvPicPr>
                      <a:picLocks noChangeAspect="1"/>
                    </pic:cNvPicPr>
                  </pic:nvPicPr>
                  <pic:blipFill>
                    <a:blip r:embed="rId18"/>
                    <a:srcRect t="10877" b="7922"/>
                    <a:stretch>
                      <a:fillRect/>
                    </a:stretch>
                  </pic:blipFill>
                  <pic:spPr>
                    <a:xfrm>
                      <a:off x="0" y="0"/>
                      <a:ext cx="8339455" cy="4787900"/>
                    </a:xfrm>
                    <a:prstGeom prst="rect">
                      <a:avLst/>
                    </a:prstGeom>
                  </pic:spPr>
                </pic:pic>
              </a:graphicData>
            </a:graphic>
          </wp:inline>
        </w:drawing>
      </w:r>
    </w:p>
    <w:p w14:paraId="1C2594F2">
      <w:pPr>
        <w:pStyle w:val="31"/>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图2-</w:t>
      </w:r>
      <w:r>
        <w:rPr>
          <w:rFonts w:hint="eastAsia" w:cs="Times New Roman"/>
          <w:color w:val="000000" w:themeColor="text1"/>
          <w:lang w:val="en-US" w:eastAsia="zh-CN"/>
          <w14:textFill>
            <w14:solidFill>
              <w14:schemeClr w14:val="tx1"/>
            </w14:solidFill>
          </w14:textFill>
        </w:rPr>
        <w:t>3</w:t>
      </w:r>
      <w:r>
        <w:rPr>
          <w:rFonts w:hint="eastAsia" w:ascii="Times New Roman" w:hAnsi="Times New Roman" w:cs="Times New Roman"/>
          <w:color w:val="000000" w:themeColor="text1"/>
          <w:lang w:val="en-US" w:eastAsia="zh-CN"/>
          <w14:textFill>
            <w14:solidFill>
              <w14:schemeClr w14:val="tx1"/>
            </w14:solidFill>
          </w14:textFill>
        </w:rPr>
        <w:t xml:space="preserve">  </w:t>
      </w:r>
      <w:r>
        <w:rPr>
          <w:rFonts w:hint="eastAsia" w:ascii="Times New Roman" w:hAnsi="Times New Roman" w:cs="Times New Roman"/>
          <w:color w:val="000000" w:themeColor="text1"/>
          <w:lang w:eastAsia="zh-CN"/>
          <w14:textFill>
            <w14:solidFill>
              <w14:schemeClr w14:val="tx1"/>
            </w14:solidFill>
          </w14:textFill>
        </w:rPr>
        <w:t>绥滨县</w:t>
      </w:r>
      <w:r>
        <w:rPr>
          <w:rFonts w:hint="eastAsia" w:ascii="Times New Roman" w:hAnsi="Times New Roman" w:cs="Times New Roman"/>
          <w:color w:val="000000" w:themeColor="text1"/>
          <w14:textFill>
            <w14:solidFill>
              <w14:schemeClr w14:val="tx1"/>
            </w14:solidFill>
          </w14:textFill>
        </w:rPr>
        <w:t>中心城区</w:t>
      </w:r>
      <w:r>
        <w:rPr>
          <w:rFonts w:hint="eastAsia" w:cs="Times New Roman"/>
          <w:color w:val="000000" w:themeColor="text1"/>
          <w:lang w:eastAsia="zh-CN"/>
          <w14:textFill>
            <w14:solidFill>
              <w14:schemeClr w14:val="tx1"/>
            </w14:solidFill>
          </w14:textFill>
        </w:rPr>
        <w:t>道路交通</w:t>
      </w:r>
      <w:r>
        <w:rPr>
          <w:rFonts w:hint="eastAsia" w:ascii="Times New Roman" w:hAnsi="Times New Roman" w:cs="Times New Roman"/>
          <w:color w:val="000000" w:themeColor="text1"/>
          <w:lang w:val="en-US" w:eastAsia="zh-CN"/>
          <w14:textFill>
            <w14:solidFill>
              <w14:schemeClr w14:val="tx1"/>
            </w14:solidFill>
          </w14:textFill>
        </w:rPr>
        <w:t>规划</w:t>
      </w:r>
      <w:r>
        <w:rPr>
          <w:rFonts w:hint="eastAsia" w:ascii="Times New Roman" w:hAnsi="Times New Roman" w:cs="Times New Roman"/>
          <w:color w:val="000000" w:themeColor="text1"/>
          <w14:textFill>
            <w14:solidFill>
              <w14:schemeClr w14:val="tx1"/>
            </w14:solidFill>
          </w14:textFill>
        </w:rPr>
        <w:t>图</w:t>
      </w:r>
    </w:p>
    <w:p w14:paraId="04B50143">
      <w:pPr>
        <w:keepNext w:val="0"/>
        <w:keepLines w:val="0"/>
        <w:widowControl/>
        <w:suppressLineNumbers w:val="0"/>
        <w:jc w:val="left"/>
        <w:rPr>
          <w:rFonts w:hint="eastAsia" w:ascii="Times New Roman" w:hAnsi="Times New Roman" w:eastAsia="宋体" w:cs="Times New Roman"/>
          <w:color w:val="000000" w:themeColor="text1"/>
          <w14:textFill>
            <w14:solidFill>
              <w14:schemeClr w14:val="tx1"/>
            </w14:solidFill>
          </w14:textFill>
        </w:rPr>
        <w:sectPr>
          <w:pgSz w:w="16838" w:h="11906" w:orient="landscape"/>
          <w:pgMar w:top="1803" w:right="1440" w:bottom="1803" w:left="1440" w:header="794" w:footer="992" w:gutter="0"/>
          <w:pgBorders>
            <w:top w:val="none" w:sz="0" w:space="0"/>
            <w:left w:val="none" w:sz="0" w:space="0"/>
            <w:bottom w:val="none" w:sz="0" w:space="0"/>
            <w:right w:val="none" w:sz="0" w:space="0"/>
          </w:pgBorders>
          <w:pgNumType w:fmt="numberInDash"/>
          <w:cols w:space="0" w:num="1"/>
          <w:rtlGutter w:val="0"/>
          <w:docGrid w:type="linesAndChars" w:linePitch="360" w:charSpace="-874"/>
        </w:sectPr>
      </w:pPr>
    </w:p>
    <w:p w14:paraId="5758AEBE">
      <w:pPr>
        <w:pStyle w:val="2"/>
        <w:keepNext/>
        <w:keepLines/>
        <w:jc w:val="center"/>
        <w:rPr>
          <w:rFonts w:hint="eastAsia"/>
          <w:color w:val="000000" w:themeColor="text1"/>
          <w14:textFill>
            <w14:solidFill>
              <w14:schemeClr w14:val="tx1"/>
            </w14:solidFill>
          </w14:textFill>
        </w:rPr>
      </w:pPr>
      <w:bookmarkStart w:id="69" w:name="_Toc27117"/>
      <w:bookmarkStart w:id="70" w:name="_Toc29"/>
      <w:bookmarkStart w:id="71" w:name="_Toc1339"/>
      <w:bookmarkStart w:id="72" w:name="_Toc30548"/>
      <w:r>
        <w:rPr>
          <w:rFonts w:hint="eastAsia"/>
          <w:color w:val="000000" w:themeColor="text1"/>
          <w14:textFill>
            <w14:solidFill>
              <w14:schemeClr w14:val="tx1"/>
            </w14:solidFill>
          </w14:textFill>
        </w:rPr>
        <w:t>3</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声环境质量现状调查</w:t>
      </w:r>
      <w:bookmarkEnd w:id="69"/>
      <w:bookmarkEnd w:id="70"/>
      <w:bookmarkEnd w:id="71"/>
      <w:bookmarkEnd w:id="72"/>
    </w:p>
    <w:p w14:paraId="13E41000">
      <w:pPr>
        <w:pStyle w:val="3"/>
        <w:keepNext/>
        <w:keepLines/>
        <w:rPr>
          <w:color w:val="000000" w:themeColor="text1"/>
          <w:kern w:val="2"/>
          <w:highlight w:val="none"/>
          <w14:textFill>
            <w14:solidFill>
              <w14:schemeClr w14:val="tx1"/>
            </w14:solidFill>
          </w14:textFill>
        </w:rPr>
      </w:pPr>
      <w:bookmarkStart w:id="73" w:name="_Toc4510"/>
      <w:r>
        <w:rPr>
          <w:rFonts w:hint="eastAsia"/>
          <w:color w:val="000000" w:themeColor="text1"/>
          <w:kern w:val="2"/>
          <w:highlight w:val="none"/>
          <w:lang w:val="en-US" w:eastAsia="zh-CN"/>
          <w14:textFill>
            <w14:solidFill>
              <w14:schemeClr w14:val="tx1"/>
            </w14:solidFill>
          </w14:textFill>
        </w:rPr>
        <w:t xml:space="preserve">3.1 </w:t>
      </w:r>
      <w:r>
        <w:rPr>
          <w:rFonts w:hint="eastAsia"/>
          <w:color w:val="000000" w:themeColor="text1"/>
          <w:kern w:val="2"/>
          <w:highlight w:val="none"/>
          <w:lang w:eastAsia="zh-CN"/>
          <w14:textFill>
            <w14:solidFill>
              <w14:schemeClr w14:val="tx1"/>
            </w14:solidFill>
          </w14:textFill>
        </w:rPr>
        <w:t>历史监测资料收集</w:t>
      </w:r>
      <w:bookmarkEnd w:id="73"/>
    </w:p>
    <w:p w14:paraId="49E3EFAE">
      <w:pPr>
        <w:ind w:firstLine="471"/>
        <w:rPr>
          <w:rFonts w:hint="eastAsia" w:eastAsia="宋体"/>
          <w:color w:val="000000" w:themeColor="text1"/>
          <w:highlight w:val="yellow"/>
          <w:lang w:eastAsia="zh-CN"/>
          <w14:textFill>
            <w14:solidFill>
              <w14:schemeClr w14:val="tx1"/>
            </w14:solidFill>
          </w14:textFill>
        </w:rPr>
      </w:pPr>
      <w:r>
        <w:rPr>
          <w:rFonts w:hint="default"/>
          <w:color w:val="000000" w:themeColor="text1"/>
          <w14:textFill>
            <w14:solidFill>
              <w14:schemeClr w14:val="tx1"/>
            </w14:solidFill>
          </w14:textFill>
        </w:rPr>
        <w:t>根据</w:t>
      </w:r>
      <w:r>
        <w:rPr>
          <w:rFonts w:hint="eastAsia"/>
          <w:color w:val="000000" w:themeColor="text1"/>
          <w:lang w:eastAsia="zh-CN"/>
          <w14:textFill>
            <w14:solidFill>
              <w14:schemeClr w14:val="tx1"/>
            </w14:solidFill>
          </w14:textFill>
        </w:rPr>
        <w:t>绥滨县</w:t>
      </w:r>
      <w:r>
        <w:rPr>
          <w:rFonts w:hint="eastAsia"/>
          <w:color w:val="000000" w:themeColor="text1"/>
          <w:highlight w:val="none"/>
          <w:lang w:eastAsia="zh-CN"/>
          <w14:textFill>
            <w14:solidFill>
              <w14:schemeClr w14:val="tx1"/>
            </w14:solidFill>
          </w14:textFill>
        </w:rPr>
        <w:t>环境监测站提供的</w:t>
      </w:r>
      <w:r>
        <w:rPr>
          <w:rFonts w:hint="eastAsia"/>
          <w:color w:val="000000" w:themeColor="text1"/>
          <w:highlight w:val="none"/>
          <w:lang w:val="en-US" w:eastAsia="zh-CN"/>
          <w14:textFill>
            <w14:solidFill>
              <w14:schemeClr w14:val="tx1"/>
            </w14:solidFill>
          </w14:textFill>
        </w:rPr>
        <w:t>2023年、2024年和2025年</w:t>
      </w:r>
      <w:r>
        <w:rPr>
          <w:rFonts w:hint="eastAsia"/>
          <w:color w:val="000000" w:themeColor="text1"/>
          <w:highlight w:val="none"/>
          <w:lang w:eastAsia="zh-CN"/>
          <w14:textFill>
            <w14:solidFill>
              <w14:schemeClr w14:val="tx1"/>
            </w14:solidFill>
          </w14:textFill>
        </w:rPr>
        <w:t>绥滨</w:t>
      </w:r>
      <w:r>
        <w:rPr>
          <w:rFonts w:hint="eastAsia"/>
          <w:color w:val="000000" w:themeColor="text1"/>
          <w:highlight w:val="none"/>
          <w14:textFill>
            <w14:solidFill>
              <w14:schemeClr w14:val="tx1"/>
            </w14:solidFill>
          </w14:textFill>
        </w:rPr>
        <w:t>县城市区域声环境质量</w:t>
      </w:r>
      <w:r>
        <w:rPr>
          <w:rFonts w:hint="eastAsia"/>
          <w:color w:val="000000" w:themeColor="text1"/>
          <w:highlight w:val="none"/>
          <w:lang w:eastAsia="zh-CN"/>
          <w14:textFill>
            <w14:solidFill>
              <w14:schemeClr w14:val="tx1"/>
            </w14:solidFill>
          </w14:textFill>
        </w:rPr>
        <w:t>监测数据可知：</w:t>
      </w:r>
    </w:p>
    <w:p w14:paraId="74B3847A">
      <w:pPr>
        <w:ind w:firstLine="471"/>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2023年第三季度，绥滨县城区设置了106个监测点，其中42</w:t>
      </w:r>
      <w:r>
        <w:rPr>
          <w:rFonts w:hint="eastAsia"/>
          <w:color w:val="000000" w:themeColor="text1"/>
          <w:highlight w:val="none"/>
          <w14:textFill>
            <w14:solidFill>
              <w14:schemeClr w14:val="tx1"/>
            </w14:solidFill>
          </w14:textFill>
        </w:rPr>
        <w:t>个</w:t>
      </w:r>
      <w:r>
        <w:rPr>
          <w:rFonts w:hint="eastAsia"/>
          <w:color w:val="000000" w:themeColor="text1"/>
          <w:highlight w:val="none"/>
          <w:lang w:eastAsia="zh-CN"/>
          <w14:textFill>
            <w14:solidFill>
              <w14:schemeClr w14:val="tx1"/>
            </w14:solidFill>
          </w14:textFill>
        </w:rPr>
        <w:t>监测点</w:t>
      </w:r>
      <w:r>
        <w:rPr>
          <w:rFonts w:hint="eastAsia"/>
          <w:color w:val="000000" w:themeColor="text1"/>
          <w:highlight w:val="none"/>
          <w14:textFill>
            <w14:solidFill>
              <w14:schemeClr w14:val="tx1"/>
            </w14:solidFill>
          </w14:textFill>
        </w:rPr>
        <w:t>参照</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类声环境功能区的标准要求，</w:t>
      </w:r>
      <w:r>
        <w:rPr>
          <w:rFonts w:hint="eastAsia"/>
          <w:color w:val="000000" w:themeColor="text1"/>
          <w:highlight w:val="none"/>
          <w:lang w:val="en-US" w:eastAsia="zh-CN"/>
          <w14:textFill>
            <w14:solidFill>
              <w14:schemeClr w14:val="tx1"/>
            </w14:solidFill>
          </w14:textFill>
        </w:rPr>
        <w:t>25</w:t>
      </w:r>
      <w:r>
        <w:rPr>
          <w:rFonts w:hint="eastAsia"/>
          <w:color w:val="000000" w:themeColor="text1"/>
          <w:highlight w:val="none"/>
          <w14:textFill>
            <w14:solidFill>
              <w14:schemeClr w14:val="tx1"/>
            </w14:solidFill>
          </w14:textFill>
        </w:rPr>
        <w:t>个</w:t>
      </w:r>
      <w:r>
        <w:rPr>
          <w:rFonts w:hint="eastAsia"/>
          <w:color w:val="000000" w:themeColor="text1"/>
          <w:highlight w:val="none"/>
          <w:lang w:eastAsia="zh-CN"/>
          <w14:textFill>
            <w14:solidFill>
              <w14:schemeClr w14:val="tx1"/>
            </w14:solidFill>
          </w14:textFill>
        </w:rPr>
        <w:t>监测点</w:t>
      </w:r>
      <w:r>
        <w:rPr>
          <w:rFonts w:hint="eastAsia"/>
          <w:color w:val="000000" w:themeColor="text1"/>
          <w:highlight w:val="none"/>
          <w14:textFill>
            <w14:solidFill>
              <w14:schemeClr w14:val="tx1"/>
            </w14:solidFill>
          </w14:textFill>
        </w:rPr>
        <w:t>参照</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类声环境功能区的标准要求，</w:t>
      </w:r>
      <w:r>
        <w:rPr>
          <w:rFonts w:hint="eastAsia"/>
          <w:color w:val="000000" w:themeColor="text1"/>
          <w:highlight w:val="none"/>
          <w:lang w:val="en-US" w:eastAsia="zh-CN"/>
          <w14:textFill>
            <w14:solidFill>
              <w14:schemeClr w14:val="tx1"/>
            </w14:solidFill>
          </w14:textFill>
        </w:rPr>
        <w:t>39个</w:t>
      </w:r>
      <w:r>
        <w:rPr>
          <w:rFonts w:hint="eastAsia"/>
          <w:color w:val="000000" w:themeColor="text1"/>
          <w:highlight w:val="none"/>
          <w:lang w:eastAsia="zh-CN"/>
          <w14:textFill>
            <w14:solidFill>
              <w14:schemeClr w14:val="tx1"/>
            </w14:solidFill>
          </w14:textFill>
        </w:rPr>
        <w:t>监测点</w:t>
      </w:r>
      <w:r>
        <w:rPr>
          <w:rFonts w:hint="eastAsia"/>
          <w:color w:val="000000" w:themeColor="text1"/>
          <w:highlight w:val="none"/>
          <w14:textFill>
            <w14:solidFill>
              <w14:schemeClr w14:val="tx1"/>
            </w14:solidFill>
          </w14:textFill>
        </w:rPr>
        <w:t>参照</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类声环境功能区的标准要求。</w:t>
      </w:r>
      <w:r>
        <w:rPr>
          <w:rFonts w:hint="eastAsia"/>
          <w:color w:val="000000" w:themeColor="text1"/>
          <w:highlight w:val="none"/>
          <w:lang w:val="en-US" w:eastAsia="zh-CN"/>
          <w14:textFill>
            <w14:solidFill>
              <w14:schemeClr w14:val="tx1"/>
            </w14:solidFill>
          </w14:textFill>
        </w:rPr>
        <w:t>106个监测点</w:t>
      </w:r>
      <w:r>
        <w:rPr>
          <w:rFonts w:hint="eastAsia"/>
          <w:color w:val="000000" w:themeColor="text1"/>
          <w:highlight w:val="none"/>
          <w:lang w:eastAsia="zh-CN"/>
          <w14:textFill>
            <w14:solidFill>
              <w14:schemeClr w14:val="tx1"/>
            </w14:solidFill>
          </w14:textFill>
        </w:rPr>
        <w:t>昼间均满足</w:t>
      </w:r>
      <w:r>
        <w:rPr>
          <w:rFonts w:hint="eastAsia"/>
          <w:color w:val="000000" w:themeColor="text1"/>
          <w:highlight w:val="none"/>
          <w14:textFill>
            <w14:solidFill>
              <w14:schemeClr w14:val="tx1"/>
            </w14:solidFill>
          </w14:textFill>
        </w:rPr>
        <w:t>《声环境质量标准》（GB</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3096-2008）</w:t>
      </w:r>
      <w:r>
        <w:rPr>
          <w:rFonts w:hint="eastAsia"/>
          <w:color w:val="000000" w:themeColor="text1"/>
          <w:highlight w:val="none"/>
          <w:lang w:eastAsia="zh-CN"/>
          <w14:textFill>
            <w14:solidFill>
              <w14:schemeClr w14:val="tx1"/>
            </w14:solidFill>
          </w14:textFill>
        </w:rPr>
        <w:t>相应</w:t>
      </w:r>
      <w:r>
        <w:rPr>
          <w:rFonts w:hint="eastAsia"/>
          <w:color w:val="000000" w:themeColor="text1"/>
          <w:highlight w:val="none"/>
          <w14:textFill>
            <w14:solidFill>
              <w14:schemeClr w14:val="tx1"/>
            </w14:solidFill>
          </w14:textFill>
        </w:rPr>
        <w:t>标准要求</w:t>
      </w:r>
      <w:r>
        <w:rPr>
          <w:rFonts w:hint="eastAsia"/>
          <w:color w:val="000000" w:themeColor="text1"/>
          <w:highlight w:val="none"/>
          <w:lang w:eastAsia="zh-CN"/>
          <w14:textFill>
            <w14:solidFill>
              <w14:schemeClr w14:val="tx1"/>
            </w14:solidFill>
          </w14:textFill>
        </w:rPr>
        <w:t>，夜间未</w:t>
      </w:r>
      <w:r>
        <w:rPr>
          <w:rFonts w:hint="eastAsia"/>
          <w:color w:val="000000" w:themeColor="text1"/>
          <w14:textFill>
            <w14:solidFill>
              <w14:schemeClr w14:val="tx1"/>
            </w14:solidFill>
          </w14:textFill>
        </w:rPr>
        <w:t>监测</w:t>
      </w:r>
      <w:r>
        <w:rPr>
          <w:rFonts w:hint="eastAsia"/>
          <w:color w:val="000000" w:themeColor="text1"/>
          <w:highlight w:val="none"/>
          <w:lang w:eastAsia="zh-CN"/>
          <w14:textFill>
            <w14:solidFill>
              <w14:schemeClr w14:val="tx1"/>
            </w14:solidFill>
          </w14:textFill>
        </w:rPr>
        <w:t>。</w:t>
      </w:r>
    </w:p>
    <w:p w14:paraId="2AF8897B">
      <w:pPr>
        <w:ind w:firstLine="471"/>
        <w:rPr>
          <w:rFonts w:hint="eastAsia"/>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2023年第四季度，绥滨县城区设置了7个24h连续监测点，</w:t>
      </w:r>
      <w:r>
        <w:rPr>
          <w:rFonts w:hint="eastAsia"/>
          <w:color w:val="000000" w:themeColor="text1"/>
          <w:highlight w:val="none"/>
          <w14:textFill>
            <w14:solidFill>
              <w14:schemeClr w14:val="tx1"/>
            </w14:solidFill>
          </w14:textFill>
        </w:rPr>
        <w:t>其中</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个</w:t>
      </w:r>
      <w:r>
        <w:rPr>
          <w:rFonts w:hint="eastAsia"/>
          <w:color w:val="000000" w:themeColor="text1"/>
          <w:highlight w:val="none"/>
          <w:lang w:eastAsia="zh-CN"/>
          <w14:textFill>
            <w14:solidFill>
              <w14:schemeClr w14:val="tx1"/>
            </w14:solidFill>
          </w14:textFill>
        </w:rPr>
        <w:t>监测点</w:t>
      </w:r>
      <w:r>
        <w:rPr>
          <w:rFonts w:hint="eastAsia"/>
          <w:color w:val="000000" w:themeColor="text1"/>
          <w:highlight w:val="none"/>
          <w14:textFill>
            <w14:solidFill>
              <w14:schemeClr w14:val="tx1"/>
            </w14:solidFill>
          </w14:textFill>
        </w:rPr>
        <w:t>参照</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类声环境功能区的标准要求，</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个</w:t>
      </w:r>
      <w:r>
        <w:rPr>
          <w:rFonts w:hint="eastAsia"/>
          <w:color w:val="000000" w:themeColor="text1"/>
          <w:highlight w:val="none"/>
          <w:lang w:eastAsia="zh-CN"/>
          <w14:textFill>
            <w14:solidFill>
              <w14:schemeClr w14:val="tx1"/>
            </w14:solidFill>
          </w14:textFill>
        </w:rPr>
        <w:t>监测点</w:t>
      </w:r>
      <w:r>
        <w:rPr>
          <w:rFonts w:hint="eastAsia"/>
          <w:color w:val="000000" w:themeColor="text1"/>
          <w:highlight w:val="none"/>
          <w14:textFill>
            <w14:solidFill>
              <w14:schemeClr w14:val="tx1"/>
            </w14:solidFill>
          </w14:textFill>
        </w:rPr>
        <w:t>参照</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类声环境功能区的标准要求，</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个</w:t>
      </w:r>
      <w:r>
        <w:rPr>
          <w:rFonts w:hint="eastAsia"/>
          <w:color w:val="000000" w:themeColor="text1"/>
          <w:highlight w:val="none"/>
          <w:lang w:eastAsia="zh-CN"/>
          <w14:textFill>
            <w14:solidFill>
              <w14:schemeClr w14:val="tx1"/>
            </w14:solidFill>
          </w14:textFill>
        </w:rPr>
        <w:t>监测点</w:t>
      </w:r>
      <w:r>
        <w:rPr>
          <w:rFonts w:hint="eastAsia"/>
          <w:color w:val="000000" w:themeColor="text1"/>
          <w:highlight w:val="none"/>
          <w14:textFill>
            <w14:solidFill>
              <w14:schemeClr w14:val="tx1"/>
            </w14:solidFill>
          </w14:textFill>
        </w:rPr>
        <w:t>参照</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类声环境功能区的标准要求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个</w:t>
      </w:r>
      <w:r>
        <w:rPr>
          <w:rFonts w:hint="eastAsia"/>
          <w:color w:val="000000" w:themeColor="text1"/>
          <w:highlight w:val="none"/>
          <w:lang w:eastAsia="zh-CN"/>
          <w14:textFill>
            <w14:solidFill>
              <w14:schemeClr w14:val="tx1"/>
            </w14:solidFill>
          </w14:textFill>
        </w:rPr>
        <w:t>监测点</w:t>
      </w:r>
      <w:r>
        <w:rPr>
          <w:rFonts w:hint="eastAsia"/>
          <w:color w:val="000000" w:themeColor="text1"/>
          <w:highlight w:val="none"/>
          <w14:textFill>
            <w14:solidFill>
              <w14:schemeClr w14:val="tx1"/>
            </w14:solidFill>
          </w14:textFill>
        </w:rPr>
        <w:t>参照</w:t>
      </w:r>
      <w:r>
        <w:rPr>
          <w:rFonts w:hint="eastAsia"/>
          <w:color w:val="000000" w:themeColor="text1"/>
          <w:highlight w:val="none"/>
          <w:lang w:val="en-US" w:eastAsia="zh-CN"/>
          <w14:textFill>
            <w14:solidFill>
              <w14:schemeClr w14:val="tx1"/>
            </w14:solidFill>
          </w14:textFill>
        </w:rPr>
        <w:t>4a</w:t>
      </w:r>
      <w:r>
        <w:rPr>
          <w:rFonts w:hint="eastAsia"/>
          <w:color w:val="000000" w:themeColor="text1"/>
          <w:highlight w:val="none"/>
          <w14:textFill>
            <w14:solidFill>
              <w14:schemeClr w14:val="tx1"/>
            </w14:solidFill>
          </w14:textFill>
        </w:rPr>
        <w:t>类声环境功能区的标准要求。</w:t>
      </w:r>
      <w:r>
        <w:rPr>
          <w:rFonts w:hint="eastAsia"/>
          <w:color w:val="000000" w:themeColor="text1"/>
          <w:highlight w:val="none"/>
          <w:lang w:val="en-US" w:eastAsia="zh-CN"/>
          <w14:textFill>
            <w14:solidFill>
              <w14:schemeClr w14:val="tx1"/>
            </w14:solidFill>
          </w14:textFill>
        </w:rPr>
        <w:t>2个1类声环境功能区监测点中有1个监测点的夜间噪声值超过了</w:t>
      </w:r>
      <w:r>
        <w:rPr>
          <w:rFonts w:hint="eastAsia"/>
          <w:color w:val="000000" w:themeColor="text1"/>
          <w14:textFill>
            <w14:solidFill>
              <w14:schemeClr w14:val="tx1"/>
            </w14:solidFill>
          </w14:textFill>
        </w:rPr>
        <w:t>《声环境质量标准》（GB</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3096-2008）</w:t>
      </w: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类标准要求，监测值超标量为</w:t>
      </w:r>
      <w:r>
        <w:rPr>
          <w:rFonts w:hint="eastAsia"/>
          <w:color w:val="000000" w:themeColor="text1"/>
          <w:lang w:val="en-US" w:eastAsia="zh-CN"/>
          <w14:textFill>
            <w14:solidFill>
              <w14:schemeClr w14:val="tx1"/>
            </w14:solidFill>
          </w14:textFill>
        </w:rPr>
        <w:t>1.1</w:t>
      </w:r>
      <w:r>
        <w:rPr>
          <w:rFonts w:hint="eastAsia"/>
          <w:color w:val="000000" w:themeColor="text1"/>
          <w14:textFill>
            <w14:solidFill>
              <w14:schemeClr w14:val="tx1"/>
            </w14:solidFill>
          </w14:textFill>
        </w:rPr>
        <w:t>dB（A</w:t>
      </w:r>
      <w:r>
        <w:rPr>
          <w:rFonts w:hint="eastAsia"/>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昼间满足</w:t>
      </w:r>
      <w:r>
        <w:rPr>
          <w:rFonts w:hint="eastAsia"/>
          <w:color w:val="000000" w:themeColor="text1"/>
          <w:highlight w:val="none"/>
          <w14:textFill>
            <w14:solidFill>
              <w14:schemeClr w14:val="tx1"/>
            </w14:solidFill>
          </w14:textFill>
        </w:rPr>
        <w:t>《声环境质量标准》（GB</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3096-2008）</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类标准要求</w:t>
      </w:r>
      <w:r>
        <w:rPr>
          <w:rFonts w:hint="eastAsia"/>
          <w:color w:val="000000" w:themeColor="text1"/>
          <w:highlight w:val="none"/>
          <w:lang w:eastAsia="zh-CN"/>
          <w14:textFill>
            <w14:solidFill>
              <w14:schemeClr w14:val="tx1"/>
            </w14:solidFill>
          </w14:textFill>
        </w:rPr>
        <w:t>；其他</w:t>
      </w:r>
      <w:r>
        <w:rPr>
          <w:rFonts w:hint="eastAsia"/>
          <w:color w:val="000000" w:themeColor="text1"/>
          <w:highlight w:val="none"/>
          <w:lang w:val="en-US" w:eastAsia="zh-CN"/>
          <w14:textFill>
            <w14:solidFill>
              <w14:schemeClr w14:val="tx1"/>
            </w14:solidFill>
          </w14:textFill>
        </w:rPr>
        <w:t>6个</w:t>
      </w:r>
      <w:r>
        <w:rPr>
          <w:rFonts w:hint="eastAsia"/>
          <w:color w:val="000000" w:themeColor="text1"/>
          <w:highlight w:val="none"/>
          <w:lang w:eastAsia="zh-CN"/>
          <w14:textFill>
            <w14:solidFill>
              <w14:schemeClr w14:val="tx1"/>
            </w14:solidFill>
          </w14:textFill>
        </w:rPr>
        <w:t>监测点</w:t>
      </w:r>
      <w:r>
        <w:rPr>
          <w:rFonts w:hint="eastAsia"/>
          <w:color w:val="000000" w:themeColor="text1"/>
          <w:highlight w:val="none"/>
          <w:lang w:val="en-US" w:eastAsia="zh-CN"/>
          <w14:textFill>
            <w14:solidFill>
              <w14:schemeClr w14:val="tx1"/>
            </w14:solidFill>
          </w14:textFill>
        </w:rPr>
        <w:t>昼间、夜间噪声值均满足</w:t>
      </w:r>
      <w:r>
        <w:rPr>
          <w:rFonts w:hint="eastAsia"/>
          <w:color w:val="000000" w:themeColor="text1"/>
          <w:highlight w:val="none"/>
          <w14:textFill>
            <w14:solidFill>
              <w14:schemeClr w14:val="tx1"/>
            </w14:solidFill>
          </w14:textFill>
        </w:rPr>
        <w:t>《声环境质量标准》（GB</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3096-2008）</w:t>
      </w:r>
      <w:r>
        <w:rPr>
          <w:rFonts w:hint="eastAsia"/>
          <w:color w:val="000000" w:themeColor="text1"/>
          <w:highlight w:val="none"/>
          <w:lang w:eastAsia="zh-CN"/>
          <w14:textFill>
            <w14:solidFill>
              <w14:schemeClr w14:val="tx1"/>
            </w14:solidFill>
          </w14:textFill>
        </w:rPr>
        <w:t>相应</w:t>
      </w:r>
      <w:r>
        <w:rPr>
          <w:rFonts w:hint="eastAsia"/>
          <w:color w:val="000000" w:themeColor="text1"/>
          <w:highlight w:val="none"/>
          <w14:textFill>
            <w14:solidFill>
              <w14:schemeClr w14:val="tx1"/>
            </w14:solidFill>
          </w14:textFill>
        </w:rPr>
        <w:t>标准要求</w:t>
      </w:r>
      <w:r>
        <w:rPr>
          <w:rFonts w:hint="eastAsia"/>
          <w:color w:val="000000" w:themeColor="text1"/>
          <w:highlight w:val="none"/>
          <w:lang w:eastAsia="zh-CN"/>
          <w14:textFill>
            <w14:solidFill>
              <w14:schemeClr w14:val="tx1"/>
            </w14:solidFill>
          </w14:textFill>
        </w:rPr>
        <w:t>。</w:t>
      </w:r>
    </w:p>
    <w:p w14:paraId="101790FA">
      <w:pPr>
        <w:ind w:firstLine="471"/>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2023年第四季度，绥滨县城区交通道路设置了20个监测点，</w:t>
      </w:r>
      <w:r>
        <w:rPr>
          <w:rFonts w:hint="eastAsia"/>
          <w:color w:val="000000" w:themeColor="text1"/>
          <w:highlight w:val="none"/>
          <w14:textFill>
            <w14:solidFill>
              <w14:schemeClr w14:val="tx1"/>
            </w14:solidFill>
          </w14:textFill>
        </w:rPr>
        <w:t>参照</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类声环境功能区的标准要求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20个监测点</w:t>
      </w:r>
      <w:r>
        <w:rPr>
          <w:rFonts w:hint="eastAsia"/>
          <w:color w:val="000000" w:themeColor="text1"/>
          <w:highlight w:val="none"/>
          <w:lang w:eastAsia="zh-CN"/>
          <w14:textFill>
            <w14:solidFill>
              <w14:schemeClr w14:val="tx1"/>
            </w14:solidFill>
          </w14:textFill>
        </w:rPr>
        <w:t>昼间满足</w:t>
      </w:r>
      <w:r>
        <w:rPr>
          <w:rFonts w:hint="eastAsia"/>
          <w:color w:val="000000" w:themeColor="text1"/>
          <w:highlight w:val="none"/>
          <w14:textFill>
            <w14:solidFill>
              <w14:schemeClr w14:val="tx1"/>
            </w14:solidFill>
          </w14:textFill>
        </w:rPr>
        <w:t>《声环境质量标准》（GB</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3096-2008）</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类标准要求</w:t>
      </w:r>
      <w:r>
        <w:rPr>
          <w:rFonts w:hint="eastAsia"/>
          <w:color w:val="000000" w:themeColor="text1"/>
          <w:highlight w:val="none"/>
          <w:lang w:eastAsia="zh-CN"/>
          <w14:textFill>
            <w14:solidFill>
              <w14:schemeClr w14:val="tx1"/>
            </w14:solidFill>
          </w14:textFill>
        </w:rPr>
        <w:t>，夜间未</w:t>
      </w:r>
      <w:r>
        <w:rPr>
          <w:rFonts w:hint="eastAsia"/>
          <w:color w:val="000000" w:themeColor="text1"/>
          <w14:textFill>
            <w14:solidFill>
              <w14:schemeClr w14:val="tx1"/>
            </w14:solidFill>
          </w14:textFill>
        </w:rPr>
        <w:t>监测</w:t>
      </w:r>
      <w:r>
        <w:rPr>
          <w:rFonts w:hint="eastAsia"/>
          <w:color w:val="000000" w:themeColor="text1"/>
          <w:highlight w:val="none"/>
          <w:lang w:eastAsia="zh-CN"/>
          <w14:textFill>
            <w14:solidFill>
              <w14:schemeClr w14:val="tx1"/>
            </w14:solidFill>
          </w14:textFill>
        </w:rPr>
        <w:t>。</w:t>
      </w:r>
    </w:p>
    <w:p w14:paraId="4D203265">
      <w:pPr>
        <w:ind w:firstLine="471"/>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2024年、2025年，绥滨县城区分别设置了7个24h连续监测点，其中2个监测点设置在符合1类声环境功能区标准要求的区域内，2个监测点设置在符合2类声环境功能区标准要求的区域内，2个监测点设置在符合3类声环境功能区标准要求的区域内，1个监测点设置在4a类声环境功能区边界上。7个监测点昼间、夜间噪声监测结果均满足《声环境质量标准》（GB 3096-2008）相应声环境功能区标准要求。</w:t>
      </w:r>
    </w:p>
    <w:p w14:paraId="7BF12484">
      <w:pPr>
        <w:ind w:firstLine="471"/>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由统计数据可以看出，绥滨县中心城区声环境质量良好。</w:t>
      </w:r>
    </w:p>
    <w:p w14:paraId="01966FE8">
      <w:pPr>
        <w:pStyle w:val="3"/>
        <w:keepNext/>
        <w:keepLines/>
        <w:rPr>
          <w:color w:val="000000" w:themeColor="text1"/>
          <w:kern w:val="2"/>
          <w:highlight w:val="none"/>
          <w14:textFill>
            <w14:solidFill>
              <w14:schemeClr w14:val="tx1"/>
            </w14:solidFill>
          </w14:textFill>
        </w:rPr>
      </w:pPr>
      <w:bookmarkStart w:id="74" w:name="_Toc25728"/>
      <w:r>
        <w:rPr>
          <w:rFonts w:hint="eastAsia"/>
          <w:color w:val="000000" w:themeColor="text1"/>
          <w:kern w:val="2"/>
          <w:highlight w:val="none"/>
          <w:lang w:val="en-US" w:eastAsia="zh-CN"/>
          <w14:textFill>
            <w14:solidFill>
              <w14:schemeClr w14:val="tx1"/>
            </w14:solidFill>
          </w14:textFill>
        </w:rPr>
        <w:t xml:space="preserve">3.2 </w:t>
      </w:r>
      <w:r>
        <w:rPr>
          <w:rFonts w:hint="eastAsia"/>
          <w:color w:val="000000" w:themeColor="text1"/>
          <w:kern w:val="2"/>
          <w:highlight w:val="none"/>
          <w:lang w:eastAsia="zh-CN"/>
          <w14:textFill>
            <w14:solidFill>
              <w14:schemeClr w14:val="tx1"/>
            </w14:solidFill>
          </w14:textFill>
        </w:rPr>
        <w:t>现状分析主要流程</w:t>
      </w:r>
      <w:bookmarkEnd w:id="74"/>
    </w:p>
    <w:p w14:paraId="7C66C3A5">
      <w:pPr>
        <w:ind w:firstLine="471"/>
        <w:rPr>
          <w:rFonts w:hint="eastAsia"/>
          <w:color w:val="auto"/>
        </w:rPr>
      </w:pPr>
      <w:r>
        <w:rPr>
          <w:rFonts w:hint="eastAsia"/>
          <w:color w:val="auto"/>
        </w:rPr>
        <w:t>对</w:t>
      </w:r>
      <w:r>
        <w:rPr>
          <w:rFonts w:hint="eastAsia"/>
          <w:color w:val="auto"/>
          <w:lang w:eastAsia="zh-CN"/>
        </w:rPr>
        <w:t>绥滨县中心城区</w:t>
      </w:r>
      <w:r>
        <w:rPr>
          <w:rFonts w:hint="eastAsia"/>
          <w:color w:val="auto"/>
        </w:rPr>
        <w:t>声环境现状的分析主要包括以下主要步骤：</w:t>
      </w:r>
    </w:p>
    <w:p w14:paraId="24921358">
      <w:pPr>
        <w:bidi w:val="0"/>
        <w:rPr>
          <w:rFonts w:hint="default"/>
          <w:color w:val="auto"/>
        </w:rPr>
      </w:pPr>
      <w:r>
        <w:rPr>
          <w:rFonts w:hint="default"/>
          <w:color w:val="auto"/>
        </w:rPr>
        <w:t>（1）根据</w:t>
      </w:r>
      <w:r>
        <w:rPr>
          <w:rFonts w:hint="eastAsia"/>
          <w:color w:val="auto"/>
          <w:lang w:eastAsia="zh-CN"/>
        </w:rPr>
        <w:t>绥滨</w:t>
      </w:r>
      <w:r>
        <w:rPr>
          <w:rFonts w:hint="eastAsia"/>
          <w:color w:val="auto"/>
          <w:lang w:val="en-US" w:eastAsia="zh-CN"/>
        </w:rPr>
        <w:t>县</w:t>
      </w:r>
      <w:r>
        <w:rPr>
          <w:rFonts w:hint="default"/>
          <w:color w:val="auto"/>
        </w:rPr>
        <w:t>不同区域实际情况设置监测点位；</w:t>
      </w:r>
    </w:p>
    <w:p w14:paraId="4BA092A0">
      <w:pPr>
        <w:bidi w:val="0"/>
        <w:rPr>
          <w:rFonts w:hint="default"/>
          <w:color w:val="auto"/>
        </w:rPr>
      </w:pPr>
      <w:r>
        <w:rPr>
          <w:rFonts w:hint="default"/>
          <w:color w:val="auto"/>
        </w:rPr>
        <w:t>（2）根据监测对象和目的，按要求选取合适的监测点位；</w:t>
      </w:r>
    </w:p>
    <w:p w14:paraId="0493818E">
      <w:pPr>
        <w:bidi w:val="0"/>
        <w:rPr>
          <w:rFonts w:hint="default"/>
          <w:color w:val="auto"/>
        </w:rPr>
      </w:pPr>
      <w:r>
        <w:rPr>
          <w:rFonts w:hint="default"/>
          <w:color w:val="auto"/>
        </w:rPr>
        <w:t>（3）现场监测并对监测结果进行记录；</w:t>
      </w:r>
    </w:p>
    <w:p w14:paraId="553D6F4B">
      <w:pPr>
        <w:bidi w:val="0"/>
        <w:rPr>
          <w:rFonts w:hint="default"/>
          <w:color w:val="auto"/>
        </w:rPr>
      </w:pPr>
      <w:r>
        <w:rPr>
          <w:rFonts w:hint="default"/>
          <w:color w:val="auto"/>
        </w:rPr>
        <w:t>（4）根据</w:t>
      </w:r>
      <w:r>
        <w:rPr>
          <w:rFonts w:hint="eastAsia"/>
          <w:color w:val="auto"/>
          <w:lang w:eastAsia="zh-CN"/>
        </w:rPr>
        <w:t>绥滨</w:t>
      </w:r>
      <w:r>
        <w:rPr>
          <w:rFonts w:hint="eastAsia"/>
          <w:color w:val="auto"/>
          <w:lang w:val="en-US" w:eastAsia="zh-CN"/>
        </w:rPr>
        <w:t>县</w:t>
      </w:r>
      <w:r>
        <w:rPr>
          <w:rFonts w:hint="default"/>
          <w:color w:val="auto"/>
        </w:rPr>
        <w:t>声环境实地监测结果，分析</w:t>
      </w:r>
      <w:r>
        <w:rPr>
          <w:rFonts w:hint="eastAsia"/>
          <w:color w:val="auto"/>
          <w:lang w:eastAsia="zh-CN"/>
        </w:rPr>
        <w:t>绥滨</w:t>
      </w:r>
      <w:r>
        <w:rPr>
          <w:rFonts w:hint="eastAsia"/>
          <w:color w:val="auto"/>
          <w:lang w:val="en-US" w:eastAsia="zh-CN"/>
        </w:rPr>
        <w:t>县</w:t>
      </w:r>
      <w:r>
        <w:rPr>
          <w:rFonts w:hint="default"/>
          <w:color w:val="auto"/>
        </w:rPr>
        <w:t>声环境现状的</w:t>
      </w:r>
      <w:r>
        <w:rPr>
          <w:rFonts w:hint="eastAsia"/>
          <w:color w:val="auto"/>
          <w:lang w:eastAsia="zh-CN"/>
        </w:rPr>
        <w:t>分布</w:t>
      </w:r>
      <w:r>
        <w:rPr>
          <w:rFonts w:hint="default"/>
          <w:color w:val="auto"/>
        </w:rPr>
        <w:t>特征。</w:t>
      </w:r>
    </w:p>
    <w:p w14:paraId="2BCADA7A">
      <w:pPr>
        <w:bidi w:val="0"/>
        <w:rPr>
          <w:rFonts w:hint="default"/>
          <w:color w:val="auto"/>
        </w:rPr>
      </w:pPr>
      <w:r>
        <w:rPr>
          <w:rFonts w:hint="default"/>
          <w:color w:val="auto"/>
        </w:rPr>
        <w:t>主要技术路线如下图所示：</w:t>
      </w:r>
    </w:p>
    <w:p w14:paraId="5C91B984">
      <w:pPr>
        <w:pStyle w:val="31"/>
        <w:rPr>
          <w:rFonts w:hint="eastAsia"/>
          <w:color w:val="auto"/>
        </w:rPr>
      </w:pPr>
      <w:r>
        <w:rPr>
          <w:rFonts w:hint="eastAsia"/>
          <w:color w:val="auto"/>
        </w:rPr>
        <w:drawing>
          <wp:inline distT="0" distB="0" distL="114300" distR="114300">
            <wp:extent cx="2811145" cy="4224655"/>
            <wp:effectExtent l="0" t="0" r="8255" b="12065"/>
            <wp:docPr id="1" name="图片 1" descr="声环境现状分析技术路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声环境现状分析技术路线"/>
                    <pic:cNvPicPr>
                      <a:picLocks noChangeAspect="1"/>
                    </pic:cNvPicPr>
                  </pic:nvPicPr>
                  <pic:blipFill>
                    <a:blip r:embed="rId19"/>
                    <a:stretch>
                      <a:fillRect/>
                    </a:stretch>
                  </pic:blipFill>
                  <pic:spPr>
                    <a:xfrm>
                      <a:off x="0" y="0"/>
                      <a:ext cx="2811145" cy="4224655"/>
                    </a:xfrm>
                    <a:prstGeom prst="rect">
                      <a:avLst/>
                    </a:prstGeom>
                    <a:noFill/>
                    <a:ln>
                      <a:noFill/>
                    </a:ln>
                  </pic:spPr>
                </pic:pic>
              </a:graphicData>
            </a:graphic>
          </wp:inline>
        </w:drawing>
      </w:r>
    </w:p>
    <w:p w14:paraId="058876A2">
      <w:pPr>
        <w:pStyle w:val="31"/>
        <w:rPr>
          <w:color w:val="auto"/>
        </w:rPr>
      </w:pPr>
      <w:r>
        <w:rPr>
          <w:color w:val="auto"/>
        </w:rPr>
        <w:t>图3-1</w:t>
      </w:r>
      <w:r>
        <w:rPr>
          <w:rFonts w:hint="eastAsia"/>
          <w:color w:val="auto"/>
          <w:lang w:val="en-US" w:eastAsia="zh-CN"/>
        </w:rPr>
        <w:t xml:space="preserve">  </w:t>
      </w:r>
      <w:r>
        <w:rPr>
          <w:color w:val="auto"/>
        </w:rPr>
        <w:t>声环境现状分析技术路线</w:t>
      </w:r>
    </w:p>
    <w:p w14:paraId="72F59306">
      <w:pPr>
        <w:pStyle w:val="3"/>
        <w:keepNext/>
        <w:keepLines/>
        <w:rPr>
          <w:color w:val="auto"/>
          <w:kern w:val="2"/>
        </w:rPr>
      </w:pPr>
      <w:bookmarkStart w:id="75" w:name="_Toc5767"/>
      <w:bookmarkStart w:id="76" w:name="_Toc12148"/>
      <w:bookmarkStart w:id="77" w:name="_Toc1255"/>
      <w:bookmarkStart w:id="78" w:name="_Toc22059"/>
      <w:bookmarkStart w:id="79" w:name="_Toc5249"/>
      <w:r>
        <w:rPr>
          <w:color w:val="auto"/>
          <w:kern w:val="2"/>
        </w:rPr>
        <w:t>3.3</w:t>
      </w:r>
      <w:r>
        <w:rPr>
          <w:rFonts w:hint="eastAsia"/>
          <w:color w:val="auto"/>
          <w:kern w:val="2"/>
          <w:lang w:val="en-US" w:eastAsia="zh-CN"/>
        </w:rPr>
        <w:t xml:space="preserve"> </w:t>
      </w:r>
      <w:r>
        <w:rPr>
          <w:color w:val="auto"/>
          <w:kern w:val="2"/>
        </w:rPr>
        <w:t>监测的主要方法</w:t>
      </w:r>
      <w:bookmarkEnd w:id="75"/>
      <w:bookmarkEnd w:id="76"/>
      <w:bookmarkEnd w:id="77"/>
      <w:bookmarkEnd w:id="78"/>
      <w:bookmarkEnd w:id="79"/>
    </w:p>
    <w:p w14:paraId="50760946">
      <w:pPr>
        <w:ind w:firstLine="471"/>
        <w:rPr>
          <w:rFonts w:hint="eastAsia"/>
          <w:color w:val="auto"/>
        </w:rPr>
      </w:pPr>
      <w:r>
        <w:rPr>
          <w:rFonts w:hint="eastAsia"/>
          <w:color w:val="auto"/>
        </w:rPr>
        <w:t>实地监测主要采用普查监测法，并对声环境敏感区及重要噪声源进行加密布点监测。</w:t>
      </w:r>
    </w:p>
    <w:p w14:paraId="266347FD">
      <w:pPr>
        <w:pStyle w:val="4"/>
        <w:rPr>
          <w:rFonts w:hint="eastAsia"/>
          <w:color w:val="auto"/>
        </w:rPr>
      </w:pPr>
      <w:bookmarkStart w:id="80" w:name="_Toc377"/>
      <w:r>
        <w:rPr>
          <w:rFonts w:hint="eastAsia"/>
          <w:color w:val="auto"/>
        </w:rPr>
        <w:t>3.3.1</w:t>
      </w:r>
      <w:r>
        <w:rPr>
          <w:rFonts w:hint="eastAsia"/>
          <w:color w:val="auto"/>
          <w:lang w:val="en-US" w:eastAsia="zh-CN"/>
        </w:rPr>
        <w:t xml:space="preserve"> </w:t>
      </w:r>
      <w:r>
        <w:rPr>
          <w:rFonts w:hint="eastAsia"/>
          <w:color w:val="auto"/>
        </w:rPr>
        <w:t>0～3类声环境功能区普查监测及评价</w:t>
      </w:r>
      <w:bookmarkEnd w:id="80"/>
    </w:p>
    <w:p w14:paraId="4C02C4D6">
      <w:pPr>
        <w:ind w:firstLine="471"/>
        <w:rPr>
          <w:rFonts w:hint="eastAsia"/>
          <w:color w:val="auto"/>
        </w:rPr>
      </w:pPr>
      <w:r>
        <w:rPr>
          <w:rFonts w:hint="eastAsia"/>
          <w:color w:val="auto"/>
        </w:rPr>
        <w:t>（1）功能区监测</w:t>
      </w:r>
    </w:p>
    <w:p w14:paraId="2F175223">
      <w:pPr>
        <w:ind w:firstLine="471"/>
        <w:rPr>
          <w:rFonts w:hint="eastAsia"/>
          <w:color w:val="auto"/>
        </w:rPr>
      </w:pPr>
      <w:r>
        <w:rPr>
          <w:rFonts w:hint="eastAsia"/>
          <w:color w:val="auto"/>
        </w:rPr>
        <w:t>将要普查的功能区划分成多个等大的正方形网格，网格要完全覆盖被普查区域，且有效网格总数应多于100个，监测点应设在每一个网格的中心，测点条件为一般户外条件。</w:t>
      </w:r>
    </w:p>
    <w:p w14:paraId="178A1FF7">
      <w:pPr>
        <w:ind w:firstLine="471"/>
        <w:rPr>
          <w:rFonts w:hint="eastAsia"/>
          <w:color w:val="auto"/>
        </w:rPr>
      </w:pPr>
      <w:r>
        <w:rPr>
          <w:rFonts w:hint="eastAsia"/>
          <w:color w:val="auto"/>
        </w:rPr>
        <w:t>监测工作分别在昼间和夜间进行，在监测时间内，每次每个测点测量10</w:t>
      </w:r>
      <w:r>
        <w:rPr>
          <w:rFonts w:hint="eastAsia"/>
          <w:color w:val="auto"/>
          <w:lang w:val="en-US" w:eastAsia="zh-CN"/>
        </w:rPr>
        <w:t>min</w:t>
      </w:r>
      <w:r>
        <w:rPr>
          <w:rFonts w:hint="eastAsia"/>
          <w:color w:val="auto"/>
        </w:rPr>
        <w:t>的等效声级Leq，同时记录噪声的主要来源，</w:t>
      </w:r>
      <w:r>
        <w:rPr>
          <w:rFonts w:hint="eastAsia"/>
          <w:color w:val="auto"/>
          <w:lang w:eastAsia="zh-CN"/>
        </w:rPr>
        <w:t>昼间监测</w:t>
      </w:r>
      <w:r>
        <w:rPr>
          <w:rFonts w:ascii="宋体" w:hAnsi="宋体" w:eastAsia="宋体"/>
          <w:sz w:val="24"/>
          <w:szCs w:val="24"/>
        </w:rPr>
        <w:t>在昼间正常工作时段内进行，并应覆盖整个工作时段；夜间</w:t>
      </w:r>
      <w:r>
        <w:rPr>
          <w:rFonts w:hint="eastAsia" w:ascii="宋体" w:hAnsi="宋体" w:eastAsia="宋体"/>
          <w:sz w:val="24"/>
          <w:szCs w:val="24"/>
          <w:lang w:eastAsia="zh-CN"/>
        </w:rPr>
        <w:t>监测时段</w:t>
      </w:r>
      <w:r>
        <w:rPr>
          <w:rFonts w:ascii="宋体" w:hAnsi="宋体" w:eastAsia="宋体"/>
          <w:sz w:val="24"/>
          <w:szCs w:val="24"/>
        </w:rPr>
        <w:t>从夜间起始时间开始即</w:t>
      </w:r>
      <w:r>
        <w:rPr>
          <w:rFonts w:hint="default" w:ascii="Times New Roman" w:hAnsi="Times New Roman" w:eastAsia="宋体" w:cs="Times New Roman"/>
          <w:sz w:val="24"/>
          <w:szCs w:val="24"/>
        </w:rPr>
        <w:t>22:00-24:00</w:t>
      </w:r>
      <w:r>
        <w:rPr>
          <w:rFonts w:ascii="宋体" w:hAnsi="宋体" w:eastAsia="宋体"/>
          <w:sz w:val="24"/>
          <w:szCs w:val="24"/>
        </w:rPr>
        <w:t>，时间不足可顺延</w:t>
      </w:r>
      <w:r>
        <w:rPr>
          <w:rFonts w:hint="eastAsia" w:ascii="宋体" w:hAnsi="宋体"/>
          <w:sz w:val="24"/>
          <w:szCs w:val="24"/>
          <w:lang w:eastAsia="zh-CN"/>
        </w:rPr>
        <w:t>。</w:t>
      </w:r>
    </w:p>
    <w:p w14:paraId="10E19690">
      <w:pPr>
        <w:ind w:firstLine="471"/>
        <w:rPr>
          <w:rFonts w:hint="eastAsia"/>
          <w:color w:val="auto"/>
        </w:rPr>
      </w:pPr>
      <w:r>
        <w:rPr>
          <w:rFonts w:hint="eastAsia"/>
          <w:color w:val="auto"/>
        </w:rPr>
        <w:t>（2）功能区评价</w:t>
      </w:r>
    </w:p>
    <w:p w14:paraId="0E362763">
      <w:pPr>
        <w:ind w:firstLine="471"/>
        <w:rPr>
          <w:rFonts w:hint="eastAsia"/>
          <w:color w:val="auto"/>
        </w:rPr>
      </w:pPr>
      <w:r>
        <w:rPr>
          <w:rFonts w:hint="eastAsia"/>
          <w:color w:val="auto"/>
        </w:rPr>
        <w:t>将全部网格中心测点测得的10</w:t>
      </w:r>
      <w:r>
        <w:rPr>
          <w:rFonts w:hint="eastAsia"/>
          <w:color w:val="auto"/>
          <w:lang w:val="en-US" w:eastAsia="zh-CN"/>
        </w:rPr>
        <w:t>min</w:t>
      </w:r>
      <w:r>
        <w:rPr>
          <w:rFonts w:hint="eastAsia"/>
          <w:color w:val="auto"/>
        </w:rPr>
        <w:t>的等效声级Leq做算术平均运算，所得到的平均值代表某一环境功能区的总体环境噪声水平，并计算标准偏差。</w:t>
      </w:r>
    </w:p>
    <w:p w14:paraId="358D95A1">
      <w:pPr>
        <w:ind w:firstLine="471"/>
        <w:rPr>
          <w:rFonts w:hint="eastAsia"/>
          <w:color w:val="auto"/>
        </w:rPr>
      </w:pPr>
      <w:r>
        <w:rPr>
          <w:rFonts w:hint="eastAsia"/>
          <w:color w:val="auto"/>
        </w:rPr>
        <w:t>根据每个网格中心的噪声值及对应的网格面积，统计不同噪声影响水平下的面积百分比，以及昼间、夜间的达标面积比例，有条件可估算受影响人口。</w:t>
      </w:r>
    </w:p>
    <w:p w14:paraId="0BA676EB">
      <w:pPr>
        <w:pStyle w:val="4"/>
        <w:rPr>
          <w:rFonts w:hint="eastAsia"/>
          <w:color w:val="auto"/>
        </w:rPr>
      </w:pPr>
      <w:bookmarkStart w:id="81" w:name="_Toc24031"/>
      <w:r>
        <w:rPr>
          <w:rFonts w:hint="eastAsia"/>
          <w:color w:val="auto"/>
        </w:rPr>
        <w:t>3.3.2</w:t>
      </w:r>
      <w:r>
        <w:rPr>
          <w:rFonts w:hint="eastAsia"/>
          <w:color w:val="auto"/>
          <w:lang w:val="en-US" w:eastAsia="zh-CN"/>
        </w:rPr>
        <w:t xml:space="preserve"> </w:t>
      </w:r>
      <w:r>
        <w:rPr>
          <w:rFonts w:hint="eastAsia"/>
          <w:color w:val="auto"/>
        </w:rPr>
        <w:t>4类声环境功能区普查监测及评价</w:t>
      </w:r>
      <w:bookmarkEnd w:id="81"/>
    </w:p>
    <w:p w14:paraId="05E04406">
      <w:pPr>
        <w:ind w:firstLine="471"/>
        <w:rPr>
          <w:rFonts w:hint="eastAsia"/>
          <w:color w:val="auto"/>
        </w:rPr>
      </w:pPr>
      <w:r>
        <w:rPr>
          <w:rFonts w:hint="eastAsia"/>
          <w:color w:val="auto"/>
        </w:rPr>
        <w:t>（1）功能区监测</w:t>
      </w:r>
    </w:p>
    <w:p w14:paraId="377169B3">
      <w:pPr>
        <w:ind w:firstLine="471"/>
        <w:rPr>
          <w:rFonts w:hint="eastAsia"/>
          <w:color w:val="auto"/>
        </w:rPr>
      </w:pPr>
      <w:r>
        <w:rPr>
          <w:rFonts w:hint="eastAsia"/>
          <w:color w:val="auto"/>
        </w:rPr>
        <w:t>以自然路段、站场等为基础，考虑交通运行特征和两侧噪声敏感建筑物分布情况，划分典型路段。在每个典型路段对应的4类区边界（指4类区内</w:t>
      </w:r>
      <w:r>
        <w:rPr>
          <w:rFonts w:hint="eastAsia"/>
          <w:color w:val="auto"/>
          <w:lang w:eastAsia="zh-CN"/>
        </w:rPr>
        <w:t>无</w:t>
      </w:r>
      <w:r>
        <w:rPr>
          <w:rFonts w:hint="eastAsia"/>
          <w:color w:val="auto"/>
        </w:rPr>
        <w:t>噪声敏感建筑物存在时）或第一排噪声敏感建筑物户外（指4类区内有噪声敏感建筑物存在时）选择1个测点进行噪声监测。这些测点应与站、场、岔路口等相隔一定的距离，避开这些地点的噪声干扰。</w:t>
      </w:r>
    </w:p>
    <w:p w14:paraId="2719A829">
      <w:pPr>
        <w:ind w:firstLine="471"/>
        <w:rPr>
          <w:rFonts w:hint="eastAsia"/>
          <w:color w:val="auto"/>
        </w:rPr>
      </w:pPr>
      <w:r>
        <w:rPr>
          <w:rFonts w:hint="eastAsia"/>
          <w:color w:val="auto"/>
        </w:rPr>
        <w:t>监测工作分昼间和夜间两个时段进行，分别测量如下规定时间内的等效声级Leq和交通流量，应同时测量最大声级Lmax，对道路交通噪声应同时测量累积百分声级L</w:t>
      </w:r>
      <w:r>
        <w:rPr>
          <w:rFonts w:hint="eastAsia"/>
          <w:color w:val="auto"/>
          <w:vertAlign w:val="subscript"/>
        </w:rPr>
        <w:t>10</w:t>
      </w:r>
      <w:r>
        <w:rPr>
          <w:rFonts w:hint="eastAsia"/>
          <w:color w:val="auto"/>
        </w:rPr>
        <w:t>、L</w:t>
      </w:r>
      <w:r>
        <w:rPr>
          <w:rFonts w:hint="eastAsia"/>
          <w:color w:val="auto"/>
          <w:vertAlign w:val="subscript"/>
        </w:rPr>
        <w:t>50</w:t>
      </w:r>
      <w:r>
        <w:rPr>
          <w:rFonts w:hint="eastAsia"/>
          <w:color w:val="auto"/>
        </w:rPr>
        <w:t>、L</w:t>
      </w:r>
      <w:r>
        <w:rPr>
          <w:rFonts w:hint="eastAsia"/>
          <w:color w:val="auto"/>
          <w:vertAlign w:val="subscript"/>
        </w:rPr>
        <w:t>90</w:t>
      </w:r>
      <w:r>
        <w:rPr>
          <w:rFonts w:hint="eastAsia"/>
          <w:color w:val="auto"/>
        </w:rPr>
        <w:t>。</w:t>
      </w:r>
    </w:p>
    <w:p w14:paraId="7312A15E">
      <w:pPr>
        <w:ind w:firstLine="471"/>
        <w:rPr>
          <w:rFonts w:hint="eastAsia"/>
          <w:color w:val="auto"/>
        </w:rPr>
      </w:pPr>
      <w:r>
        <w:rPr>
          <w:rFonts w:hint="eastAsia"/>
          <w:color w:val="auto"/>
        </w:rPr>
        <w:t>根据交通类型的差异，规定的测量时间为：</w:t>
      </w:r>
    </w:p>
    <w:p w14:paraId="49AE4C5F">
      <w:pPr>
        <w:ind w:firstLine="471"/>
        <w:rPr>
          <w:rFonts w:hint="eastAsia"/>
          <w:color w:val="auto"/>
        </w:rPr>
      </w:pPr>
      <w:r>
        <w:rPr>
          <w:rFonts w:hint="eastAsia"/>
          <w:color w:val="auto"/>
        </w:rPr>
        <w:t>高速公路、一级公路、二级公路、城市快速路、城市主干路、城市次干路两侧，昼、夜各测量不能低于平均运行密度的20</w:t>
      </w:r>
      <w:r>
        <w:rPr>
          <w:rFonts w:hint="eastAsia"/>
          <w:color w:val="auto"/>
          <w:lang w:val="en-US" w:eastAsia="zh-CN"/>
        </w:rPr>
        <w:t>min</w:t>
      </w:r>
      <w:r>
        <w:rPr>
          <w:rFonts w:hint="eastAsia"/>
          <w:color w:val="auto"/>
        </w:rPr>
        <w:t>值。</w:t>
      </w:r>
    </w:p>
    <w:p w14:paraId="0F2AA199">
      <w:pPr>
        <w:ind w:firstLine="471"/>
        <w:rPr>
          <w:rFonts w:hint="eastAsia"/>
          <w:color w:val="auto"/>
        </w:rPr>
      </w:pPr>
      <w:r>
        <w:rPr>
          <w:rFonts w:hint="eastAsia"/>
          <w:color w:val="auto"/>
          <w:lang w:eastAsia="zh-CN"/>
        </w:rPr>
        <w:t>昼间监测</w:t>
      </w:r>
      <w:r>
        <w:rPr>
          <w:rFonts w:ascii="宋体" w:hAnsi="宋体" w:eastAsia="宋体"/>
          <w:sz w:val="24"/>
          <w:szCs w:val="24"/>
        </w:rPr>
        <w:t>在昼间正常工作时段内进行，并应覆盖整个工作时段；夜间</w:t>
      </w:r>
      <w:r>
        <w:rPr>
          <w:rFonts w:hint="eastAsia" w:ascii="宋体" w:hAnsi="宋体" w:eastAsia="宋体"/>
          <w:sz w:val="24"/>
          <w:szCs w:val="24"/>
          <w:lang w:eastAsia="zh-CN"/>
        </w:rPr>
        <w:t>监测时段</w:t>
      </w:r>
      <w:r>
        <w:rPr>
          <w:rFonts w:ascii="宋体" w:hAnsi="宋体" w:eastAsia="宋体"/>
          <w:sz w:val="24"/>
          <w:szCs w:val="24"/>
        </w:rPr>
        <w:t>从夜间起始时间开始即</w:t>
      </w:r>
      <w:r>
        <w:rPr>
          <w:rFonts w:hint="default" w:ascii="Times New Roman" w:hAnsi="Times New Roman" w:eastAsia="宋体" w:cs="Times New Roman"/>
          <w:sz w:val="24"/>
          <w:szCs w:val="24"/>
        </w:rPr>
        <w:t>22:00-24:00</w:t>
      </w:r>
      <w:r>
        <w:rPr>
          <w:rFonts w:ascii="宋体" w:hAnsi="宋体" w:eastAsia="宋体"/>
          <w:sz w:val="24"/>
          <w:szCs w:val="24"/>
        </w:rPr>
        <w:t>，时间不足可顺延</w:t>
      </w:r>
      <w:r>
        <w:rPr>
          <w:rFonts w:hint="eastAsia" w:ascii="宋体" w:hAnsi="宋体"/>
          <w:sz w:val="24"/>
          <w:szCs w:val="24"/>
          <w:lang w:eastAsia="zh-CN"/>
        </w:rPr>
        <w:t>。</w:t>
      </w:r>
    </w:p>
    <w:p w14:paraId="5371FFB6">
      <w:pPr>
        <w:ind w:firstLine="471"/>
        <w:rPr>
          <w:rFonts w:hint="eastAsia"/>
          <w:color w:val="auto"/>
        </w:rPr>
      </w:pPr>
      <w:r>
        <w:rPr>
          <w:rFonts w:hint="eastAsia"/>
          <w:color w:val="auto"/>
        </w:rPr>
        <w:t>（2）功能区评价</w:t>
      </w:r>
    </w:p>
    <w:p w14:paraId="59887268">
      <w:pPr>
        <w:ind w:firstLine="471"/>
        <w:rPr>
          <w:rFonts w:hint="eastAsia"/>
          <w:color w:val="auto"/>
        </w:rPr>
      </w:pPr>
      <w:r>
        <w:rPr>
          <w:rFonts w:hint="eastAsia"/>
          <w:color w:val="auto"/>
        </w:rPr>
        <w:t>将某条交通干线各典型路段监测的噪声值和路段长度进行加权平均计算，以此得到某条交通干线两侧4类声环境功能区的环境噪声平均值。也可对某一区域内确定为交通干线的道路采用前述方法进行长度加权统计，得出针对某一区域某一交通类型的环境噪声平均值。</w:t>
      </w:r>
    </w:p>
    <w:p w14:paraId="6D585516">
      <w:pPr>
        <w:ind w:firstLine="471"/>
        <w:rPr>
          <w:rFonts w:hint="eastAsia"/>
          <w:color w:val="auto"/>
        </w:rPr>
      </w:pPr>
      <w:r>
        <w:rPr>
          <w:rFonts w:hint="eastAsia"/>
          <w:color w:val="auto"/>
        </w:rPr>
        <w:t>根据每个典型路段的噪声值及对应的路段长度，统计不同噪声影响水平下的路段百分比，以及昼间、夜间的达标路段比例，有条件可估算受影响人口，对某条交通干线或某一区域某一交通类型采用抽样测量的，应统计抽样路段比例。</w:t>
      </w:r>
    </w:p>
    <w:p w14:paraId="1D27C3B2">
      <w:pPr>
        <w:pStyle w:val="3"/>
        <w:keepNext/>
        <w:keepLines/>
        <w:rPr>
          <w:color w:val="auto"/>
          <w:kern w:val="2"/>
        </w:rPr>
      </w:pPr>
      <w:bookmarkStart w:id="82" w:name="_Toc16436"/>
      <w:bookmarkStart w:id="83" w:name="_Toc11599"/>
      <w:bookmarkStart w:id="84" w:name="_Toc17752"/>
      <w:bookmarkStart w:id="85" w:name="_Toc23136"/>
      <w:bookmarkStart w:id="86" w:name="_Toc10658"/>
      <w:r>
        <w:rPr>
          <w:color w:val="auto"/>
          <w:kern w:val="2"/>
        </w:rPr>
        <w:t>3.4</w:t>
      </w:r>
      <w:r>
        <w:rPr>
          <w:rFonts w:hint="eastAsia"/>
          <w:color w:val="auto"/>
          <w:kern w:val="2"/>
          <w:lang w:val="en-US" w:eastAsia="zh-CN"/>
        </w:rPr>
        <w:t xml:space="preserve"> </w:t>
      </w:r>
      <w:r>
        <w:rPr>
          <w:color w:val="auto"/>
          <w:kern w:val="2"/>
        </w:rPr>
        <w:t>监测仪器要求</w:t>
      </w:r>
      <w:bookmarkEnd w:id="82"/>
      <w:bookmarkEnd w:id="83"/>
      <w:bookmarkEnd w:id="84"/>
      <w:bookmarkEnd w:id="85"/>
      <w:bookmarkEnd w:id="86"/>
    </w:p>
    <w:p w14:paraId="3F7BE7D5">
      <w:pPr>
        <w:ind w:firstLine="471"/>
        <w:rPr>
          <w:rFonts w:hint="eastAsia"/>
          <w:color w:val="auto"/>
        </w:rPr>
      </w:pPr>
      <w:r>
        <w:rPr>
          <w:rFonts w:hint="eastAsia"/>
          <w:color w:val="auto"/>
        </w:rPr>
        <w:t>噪声监测的测量仪器精度、气象条件和采样方式等应符合《声环境质量标准》（GB</w:t>
      </w:r>
      <w:r>
        <w:rPr>
          <w:rFonts w:hint="eastAsia"/>
          <w:color w:val="auto"/>
          <w:lang w:val="en-US" w:eastAsia="zh-CN"/>
        </w:rPr>
        <w:t xml:space="preserve"> </w:t>
      </w:r>
      <w:r>
        <w:rPr>
          <w:rFonts w:hint="eastAsia"/>
          <w:color w:val="auto"/>
        </w:rPr>
        <w:t>3096-2008）的相应要求。</w:t>
      </w:r>
    </w:p>
    <w:p w14:paraId="70E031DB">
      <w:pPr>
        <w:ind w:firstLine="471"/>
        <w:rPr>
          <w:rFonts w:hint="eastAsia"/>
          <w:color w:val="auto"/>
        </w:rPr>
      </w:pPr>
      <w:r>
        <w:rPr>
          <w:rFonts w:hint="eastAsia"/>
          <w:color w:val="auto"/>
        </w:rPr>
        <w:t>噪声测量仪器在每次测量前后须在现场用声校准器进行声校准，其前、后校准示值偏差不得大于0.5</w:t>
      </w:r>
      <w:r>
        <w:rPr>
          <w:rFonts w:hint="eastAsia"/>
          <w:color w:val="auto"/>
          <w:lang w:val="en-US" w:eastAsia="zh-CN"/>
        </w:rPr>
        <w:t>dB（A）</w:t>
      </w:r>
      <w:r>
        <w:rPr>
          <w:rFonts w:hint="eastAsia"/>
          <w:color w:val="auto"/>
        </w:rPr>
        <w:t>，否则测量无效。测量需使用延伸电缆时，应将测量仪器与延伸电缆一起进行校准。</w:t>
      </w:r>
    </w:p>
    <w:p w14:paraId="193F5B66">
      <w:pPr>
        <w:ind w:firstLine="471"/>
        <w:rPr>
          <w:rFonts w:hint="eastAsia"/>
          <w:color w:val="auto"/>
        </w:rPr>
      </w:pPr>
      <w:r>
        <w:rPr>
          <w:rFonts w:hint="eastAsia"/>
          <w:color w:val="auto"/>
        </w:rPr>
        <w:t>声级计或传声器单元可手持或固定在测量三脚架上，传声器距水平基础支撑面1.2</w:t>
      </w:r>
      <w:r>
        <w:rPr>
          <w:rFonts w:hint="eastAsia"/>
          <w:color w:val="auto"/>
          <w:lang w:val="en-US" w:eastAsia="zh-CN"/>
        </w:rPr>
        <w:t>m</w:t>
      </w:r>
      <w:r>
        <w:rPr>
          <w:rFonts w:hint="eastAsia"/>
          <w:color w:val="auto"/>
        </w:rPr>
        <w:t>以上，离任何反射面距离不小于1</w:t>
      </w:r>
      <w:r>
        <w:rPr>
          <w:rFonts w:hint="eastAsia"/>
          <w:color w:val="auto"/>
          <w:lang w:val="en-US" w:eastAsia="zh-CN"/>
        </w:rPr>
        <w:t>m</w:t>
      </w:r>
      <w:r>
        <w:rPr>
          <w:rFonts w:hint="eastAsia"/>
          <w:color w:val="auto"/>
        </w:rPr>
        <w:t>，与操作者距离不小于0.5</w:t>
      </w:r>
      <w:r>
        <w:rPr>
          <w:rFonts w:hint="eastAsia"/>
          <w:color w:val="auto"/>
          <w:lang w:val="en-US" w:eastAsia="zh-CN"/>
        </w:rPr>
        <w:t>m</w:t>
      </w:r>
      <w:r>
        <w:rPr>
          <w:rFonts w:hint="eastAsia"/>
          <w:color w:val="auto"/>
        </w:rPr>
        <w:t>。道路交通噪声监测，传声器指向被测声源。</w:t>
      </w:r>
    </w:p>
    <w:p w14:paraId="4D5DAC30">
      <w:pPr>
        <w:ind w:firstLine="471"/>
        <w:rPr>
          <w:rFonts w:hint="eastAsia"/>
          <w:color w:val="auto"/>
        </w:rPr>
      </w:pPr>
      <w:r>
        <w:rPr>
          <w:rFonts w:hint="eastAsia"/>
          <w:color w:val="auto"/>
        </w:rPr>
        <w:t>声环境质量监测应在规定时间内进行，不得挑选监测时间或随意按暂停键。测量过程中凡是自然社会可能出现的声音（如：叫卖声、说话声、小孩哭声、鸣笛声等），均不得视作异常噪声而予以排除。</w:t>
      </w:r>
    </w:p>
    <w:p w14:paraId="588D55EB">
      <w:pPr>
        <w:pStyle w:val="3"/>
        <w:keepNext/>
        <w:keepLines/>
        <w:rPr>
          <w:color w:val="auto"/>
          <w:kern w:val="2"/>
        </w:rPr>
      </w:pPr>
      <w:bookmarkStart w:id="87" w:name="_Toc32232"/>
      <w:bookmarkStart w:id="88" w:name="_Toc16455"/>
      <w:bookmarkStart w:id="89" w:name="_Toc29156"/>
      <w:bookmarkStart w:id="90" w:name="_Toc4220"/>
      <w:bookmarkStart w:id="91" w:name="_Toc16264"/>
      <w:r>
        <w:rPr>
          <w:color w:val="auto"/>
          <w:kern w:val="2"/>
        </w:rPr>
        <w:t>3.5</w:t>
      </w:r>
      <w:r>
        <w:rPr>
          <w:rFonts w:hint="eastAsia"/>
          <w:color w:val="auto"/>
          <w:kern w:val="2"/>
          <w:lang w:val="en-US" w:eastAsia="zh-CN"/>
        </w:rPr>
        <w:t xml:space="preserve"> </w:t>
      </w:r>
      <w:r>
        <w:rPr>
          <w:color w:val="auto"/>
          <w:kern w:val="2"/>
        </w:rPr>
        <w:t>监测点设置原则</w:t>
      </w:r>
      <w:bookmarkEnd w:id="87"/>
      <w:bookmarkEnd w:id="88"/>
      <w:bookmarkEnd w:id="89"/>
      <w:bookmarkEnd w:id="90"/>
      <w:bookmarkEnd w:id="91"/>
    </w:p>
    <w:p w14:paraId="6E76623B">
      <w:pPr>
        <w:pStyle w:val="4"/>
        <w:rPr>
          <w:rFonts w:hint="eastAsia"/>
          <w:color w:val="auto"/>
        </w:rPr>
      </w:pPr>
      <w:bookmarkStart w:id="92" w:name="_Toc13810"/>
      <w:r>
        <w:rPr>
          <w:rFonts w:hint="eastAsia"/>
          <w:color w:val="auto"/>
        </w:rPr>
        <w:t>3.5.1</w:t>
      </w:r>
      <w:r>
        <w:rPr>
          <w:rFonts w:hint="eastAsia"/>
          <w:color w:val="auto"/>
          <w:lang w:val="en-US" w:eastAsia="zh-CN"/>
        </w:rPr>
        <w:t xml:space="preserve"> </w:t>
      </w:r>
      <w:r>
        <w:rPr>
          <w:rFonts w:hint="eastAsia"/>
          <w:color w:val="auto"/>
        </w:rPr>
        <w:t>功能区监测的点位设置原则</w:t>
      </w:r>
      <w:bookmarkEnd w:id="92"/>
    </w:p>
    <w:p w14:paraId="06AB6649">
      <w:pPr>
        <w:ind w:firstLine="471"/>
        <w:rPr>
          <w:rFonts w:hint="eastAsia"/>
          <w:color w:val="auto"/>
        </w:rPr>
      </w:pPr>
      <w:r>
        <w:rPr>
          <w:rFonts w:hint="eastAsia"/>
          <w:color w:val="auto"/>
        </w:rPr>
        <w:t>常规监测中功能区监测采用《声环境质量标准》（GB</w:t>
      </w:r>
      <w:r>
        <w:rPr>
          <w:rFonts w:hint="eastAsia"/>
          <w:color w:val="auto"/>
          <w:lang w:val="en-US" w:eastAsia="zh-CN"/>
        </w:rPr>
        <w:t xml:space="preserve"> </w:t>
      </w:r>
      <w:r>
        <w:rPr>
          <w:rFonts w:hint="eastAsia"/>
          <w:color w:val="auto"/>
        </w:rPr>
        <w:t>3096-2008）附录B中定点监测法。</w:t>
      </w:r>
    </w:p>
    <w:p w14:paraId="6757F463">
      <w:pPr>
        <w:ind w:firstLine="471"/>
        <w:rPr>
          <w:rFonts w:hint="eastAsia"/>
          <w:color w:val="auto"/>
        </w:rPr>
      </w:pPr>
      <w:r>
        <w:rPr>
          <w:rFonts w:hint="eastAsia"/>
          <w:color w:val="auto"/>
        </w:rPr>
        <w:t>测点选择按照《声环境质量标准》（GB</w:t>
      </w:r>
      <w:r>
        <w:rPr>
          <w:rFonts w:hint="eastAsia"/>
          <w:color w:val="auto"/>
          <w:lang w:val="en-US" w:eastAsia="zh-CN"/>
        </w:rPr>
        <w:t xml:space="preserve"> </w:t>
      </w:r>
      <w:r>
        <w:rPr>
          <w:rFonts w:hint="eastAsia"/>
          <w:color w:val="auto"/>
        </w:rPr>
        <w:t>3096-2008）附录B中普查监测法，各类功能区粗选出其等效声级与该功能区平均等效声级无显著差异，能反映该类功能区声环境质量特征的测点若干个，再根据如下原则确定本功能区定点监测点位。</w:t>
      </w:r>
    </w:p>
    <w:p w14:paraId="598C7F5C">
      <w:pPr>
        <w:ind w:firstLine="471"/>
        <w:rPr>
          <w:rFonts w:hint="eastAsia"/>
          <w:color w:val="auto"/>
        </w:rPr>
      </w:pPr>
      <w:r>
        <w:rPr>
          <w:rFonts w:hint="eastAsia"/>
          <w:color w:val="auto"/>
        </w:rPr>
        <w:t>（1）能满足监测仪器测试条件，安全可靠。</w:t>
      </w:r>
    </w:p>
    <w:p w14:paraId="08999CED">
      <w:pPr>
        <w:ind w:firstLine="471"/>
        <w:rPr>
          <w:rFonts w:hint="eastAsia"/>
          <w:color w:val="auto"/>
        </w:rPr>
      </w:pPr>
      <w:r>
        <w:rPr>
          <w:rFonts w:hint="eastAsia"/>
          <w:color w:val="auto"/>
        </w:rPr>
        <w:t>（2）监测点位能保持长期稳定。</w:t>
      </w:r>
    </w:p>
    <w:p w14:paraId="3BABC102">
      <w:pPr>
        <w:ind w:firstLine="471"/>
        <w:rPr>
          <w:rFonts w:hint="eastAsia"/>
          <w:color w:val="auto"/>
        </w:rPr>
      </w:pPr>
      <w:r>
        <w:rPr>
          <w:rFonts w:hint="eastAsia"/>
          <w:color w:val="auto"/>
        </w:rPr>
        <w:t>（3）能避开反射面和附近的固定噪声源。</w:t>
      </w:r>
    </w:p>
    <w:p w14:paraId="38222A7D">
      <w:pPr>
        <w:ind w:firstLine="471"/>
        <w:rPr>
          <w:rFonts w:hint="eastAsia"/>
          <w:color w:val="auto"/>
        </w:rPr>
      </w:pPr>
      <w:r>
        <w:rPr>
          <w:rFonts w:hint="eastAsia"/>
          <w:color w:val="auto"/>
        </w:rPr>
        <w:t>（4）监测点位应兼顾行政区划分。</w:t>
      </w:r>
    </w:p>
    <w:p w14:paraId="0BBA67C9">
      <w:pPr>
        <w:ind w:firstLine="471"/>
        <w:rPr>
          <w:rFonts w:hint="eastAsia"/>
          <w:color w:val="auto"/>
        </w:rPr>
      </w:pPr>
      <w:r>
        <w:rPr>
          <w:rFonts w:hint="eastAsia"/>
          <w:color w:val="auto"/>
        </w:rPr>
        <w:t>（5）4类声环境功能区选择有噪声敏感建筑物的区域。</w:t>
      </w:r>
    </w:p>
    <w:p w14:paraId="12270B25">
      <w:pPr>
        <w:ind w:firstLine="471"/>
        <w:rPr>
          <w:rFonts w:hint="eastAsia"/>
          <w:color w:val="auto"/>
        </w:rPr>
      </w:pPr>
      <w:r>
        <w:rPr>
          <w:rFonts w:hint="eastAsia"/>
          <w:color w:val="auto"/>
        </w:rPr>
        <w:t>各类功能区监测点位数量比例按照各自城市功能区面积比例确定。监测点位距地面高度1.2</w:t>
      </w:r>
      <w:r>
        <w:rPr>
          <w:rFonts w:hint="eastAsia"/>
          <w:color w:val="auto"/>
          <w:lang w:val="en-US" w:eastAsia="zh-CN"/>
        </w:rPr>
        <w:t>m</w:t>
      </w:r>
      <w:r>
        <w:rPr>
          <w:rFonts w:hint="eastAsia"/>
          <w:color w:val="auto"/>
        </w:rPr>
        <w:t>以上。</w:t>
      </w:r>
    </w:p>
    <w:p w14:paraId="3A3877B3">
      <w:pPr>
        <w:pStyle w:val="4"/>
        <w:rPr>
          <w:rFonts w:hint="eastAsia"/>
          <w:color w:val="auto"/>
        </w:rPr>
      </w:pPr>
      <w:bookmarkStart w:id="93" w:name="_Toc29162"/>
      <w:r>
        <w:rPr>
          <w:rFonts w:hint="eastAsia"/>
          <w:color w:val="auto"/>
        </w:rPr>
        <w:t>3.5.2</w:t>
      </w:r>
      <w:r>
        <w:rPr>
          <w:rFonts w:hint="eastAsia"/>
          <w:color w:val="auto"/>
          <w:lang w:val="en-US" w:eastAsia="zh-CN"/>
        </w:rPr>
        <w:t xml:space="preserve"> </w:t>
      </w:r>
      <w:r>
        <w:rPr>
          <w:rFonts w:hint="eastAsia"/>
          <w:color w:val="auto"/>
        </w:rPr>
        <w:t>道路交通监测的点位设置原则</w:t>
      </w:r>
      <w:bookmarkEnd w:id="93"/>
    </w:p>
    <w:p w14:paraId="2B84A415">
      <w:pPr>
        <w:ind w:firstLine="471"/>
        <w:rPr>
          <w:rFonts w:hint="eastAsia"/>
          <w:color w:val="auto"/>
        </w:rPr>
      </w:pPr>
      <w:r>
        <w:rPr>
          <w:rFonts w:hint="eastAsia"/>
          <w:color w:val="auto"/>
        </w:rPr>
        <w:t>（1）能反映城市建成区内各类道路（快速路、主干路、次干路等）交通噪声排放特征。</w:t>
      </w:r>
    </w:p>
    <w:p w14:paraId="02D57C70">
      <w:pPr>
        <w:ind w:firstLine="471"/>
        <w:rPr>
          <w:rFonts w:hint="eastAsia"/>
          <w:color w:val="auto"/>
        </w:rPr>
      </w:pPr>
      <w:r>
        <w:rPr>
          <w:rFonts w:hint="eastAsia"/>
          <w:color w:val="auto"/>
        </w:rPr>
        <w:t>（2）能反映不同道路特点（考虑交通类型、交通流量、机动车行驶速度、路面结构、道路宽度、敏感建筑物分布等）交通噪声排放特征。</w:t>
      </w:r>
    </w:p>
    <w:p w14:paraId="67188518">
      <w:pPr>
        <w:ind w:firstLine="471"/>
        <w:rPr>
          <w:rFonts w:hint="eastAsia"/>
          <w:color w:val="auto"/>
        </w:rPr>
      </w:pPr>
      <w:r>
        <w:rPr>
          <w:rFonts w:hint="eastAsia"/>
          <w:color w:val="auto"/>
        </w:rPr>
        <w:t>（3）一个测点可代表一条或多条相近的道路。</w:t>
      </w:r>
    </w:p>
    <w:p w14:paraId="1CF2A7E2">
      <w:pPr>
        <w:ind w:firstLine="471"/>
        <w:rPr>
          <w:rFonts w:hint="eastAsia"/>
          <w:color w:val="auto"/>
        </w:rPr>
      </w:pPr>
      <w:r>
        <w:rPr>
          <w:rFonts w:hint="eastAsia"/>
          <w:color w:val="auto"/>
        </w:rPr>
        <w:t>监测点选在路段两路口之间，距任一路口的距离大于50</w:t>
      </w:r>
      <w:r>
        <w:rPr>
          <w:rFonts w:hint="eastAsia"/>
          <w:color w:val="auto"/>
          <w:lang w:val="en-US" w:eastAsia="zh-CN"/>
        </w:rPr>
        <w:t>m</w:t>
      </w:r>
      <w:r>
        <w:rPr>
          <w:rFonts w:hint="eastAsia"/>
          <w:color w:val="auto"/>
        </w:rPr>
        <w:t>，路段不足100</w:t>
      </w:r>
      <w:r>
        <w:rPr>
          <w:rFonts w:hint="eastAsia"/>
          <w:color w:val="auto"/>
          <w:lang w:val="en-US" w:eastAsia="zh-CN"/>
        </w:rPr>
        <w:t>m</w:t>
      </w:r>
      <w:r>
        <w:rPr>
          <w:rFonts w:hint="eastAsia"/>
          <w:color w:val="auto"/>
        </w:rPr>
        <w:t>的选路段中点，监测点位于人行道上距路面（含慢车道）20</w:t>
      </w:r>
      <w:r>
        <w:rPr>
          <w:rFonts w:hint="eastAsia"/>
          <w:color w:val="auto"/>
          <w:lang w:val="en-US" w:eastAsia="zh-CN"/>
        </w:rPr>
        <w:t>cm</w:t>
      </w:r>
      <w:r>
        <w:rPr>
          <w:rFonts w:hint="eastAsia"/>
          <w:color w:val="auto"/>
        </w:rPr>
        <w:t>处，监测点位高度距地面为1.2</w:t>
      </w:r>
      <w:r>
        <w:rPr>
          <w:rFonts w:hint="eastAsia"/>
          <w:color w:val="auto"/>
          <w:lang w:val="en-US" w:eastAsia="zh-CN"/>
        </w:rPr>
        <w:t>m—</w:t>
      </w:r>
      <w:r>
        <w:rPr>
          <w:rFonts w:hint="eastAsia"/>
          <w:color w:val="auto"/>
        </w:rPr>
        <w:t>6.0</w:t>
      </w:r>
      <w:r>
        <w:rPr>
          <w:rFonts w:hint="eastAsia"/>
          <w:color w:val="auto"/>
          <w:lang w:val="en-US" w:eastAsia="zh-CN"/>
        </w:rPr>
        <w:t>m</w:t>
      </w:r>
      <w:r>
        <w:rPr>
          <w:rFonts w:hint="eastAsia"/>
          <w:color w:val="auto"/>
        </w:rPr>
        <w:t>。测点应避开非道路交通源的干扰。</w:t>
      </w:r>
    </w:p>
    <w:p w14:paraId="6AEA0FA7">
      <w:pPr>
        <w:pStyle w:val="3"/>
        <w:keepNext/>
        <w:keepLines/>
        <w:rPr>
          <w:color w:val="auto"/>
          <w:kern w:val="2"/>
        </w:rPr>
      </w:pPr>
      <w:bookmarkStart w:id="94" w:name="_Toc8945"/>
      <w:bookmarkStart w:id="95" w:name="_Toc4295"/>
      <w:bookmarkStart w:id="96" w:name="_Toc5068"/>
      <w:bookmarkStart w:id="97" w:name="_Toc11529"/>
      <w:bookmarkStart w:id="98" w:name="_Toc28642"/>
      <w:r>
        <w:rPr>
          <w:color w:val="auto"/>
          <w:kern w:val="2"/>
        </w:rPr>
        <w:t>3.6</w:t>
      </w:r>
      <w:r>
        <w:rPr>
          <w:rFonts w:hint="eastAsia"/>
          <w:color w:val="auto"/>
          <w:kern w:val="2"/>
          <w:lang w:val="en-US" w:eastAsia="zh-CN"/>
        </w:rPr>
        <w:t xml:space="preserve"> </w:t>
      </w:r>
      <w:r>
        <w:rPr>
          <w:color w:val="auto"/>
          <w:kern w:val="2"/>
        </w:rPr>
        <w:t>监测记录与审核</w:t>
      </w:r>
      <w:bookmarkEnd w:id="94"/>
      <w:bookmarkEnd w:id="95"/>
      <w:bookmarkEnd w:id="96"/>
      <w:bookmarkEnd w:id="97"/>
      <w:bookmarkEnd w:id="98"/>
    </w:p>
    <w:p w14:paraId="5F4320C9">
      <w:pPr>
        <w:ind w:firstLine="471"/>
        <w:rPr>
          <w:rFonts w:hint="eastAsia"/>
          <w:color w:val="auto"/>
        </w:rPr>
      </w:pPr>
      <w:r>
        <w:rPr>
          <w:rFonts w:hint="eastAsia"/>
          <w:color w:val="auto"/>
        </w:rPr>
        <w:t>按要求完整记录和填写相关监测表，测量记录应包括以下事项：</w:t>
      </w:r>
    </w:p>
    <w:p w14:paraId="37BF4AB3">
      <w:pPr>
        <w:ind w:firstLine="471"/>
        <w:rPr>
          <w:rFonts w:hint="eastAsia"/>
          <w:color w:val="auto"/>
        </w:rPr>
      </w:pPr>
      <w:r>
        <w:rPr>
          <w:rFonts w:hint="eastAsia"/>
          <w:color w:val="auto"/>
        </w:rPr>
        <w:t>（1）日期、时间、地点及测定人员；</w:t>
      </w:r>
    </w:p>
    <w:p w14:paraId="11BE5C45">
      <w:pPr>
        <w:ind w:firstLine="471"/>
        <w:rPr>
          <w:rFonts w:hint="eastAsia"/>
          <w:color w:val="auto"/>
        </w:rPr>
      </w:pPr>
      <w:r>
        <w:rPr>
          <w:rFonts w:hint="eastAsia"/>
          <w:color w:val="auto"/>
        </w:rPr>
        <w:t>（2）使用仪器型号、编号及校准记录；</w:t>
      </w:r>
    </w:p>
    <w:p w14:paraId="7796E7C2">
      <w:pPr>
        <w:ind w:firstLine="471"/>
        <w:rPr>
          <w:rFonts w:hint="eastAsia"/>
          <w:color w:val="auto"/>
        </w:rPr>
      </w:pPr>
      <w:r>
        <w:rPr>
          <w:rFonts w:hint="eastAsia"/>
          <w:color w:val="auto"/>
        </w:rPr>
        <w:t>（3）测定时间内的气象条件（风向、风速、雨雪等天气状况）；</w:t>
      </w:r>
    </w:p>
    <w:p w14:paraId="3B1172D2">
      <w:pPr>
        <w:ind w:firstLine="471"/>
        <w:rPr>
          <w:rFonts w:hint="eastAsia"/>
          <w:color w:val="auto"/>
        </w:rPr>
      </w:pPr>
      <w:r>
        <w:rPr>
          <w:rFonts w:hint="eastAsia"/>
          <w:color w:val="auto"/>
        </w:rPr>
        <w:t>（4）测量项目及测定结果；</w:t>
      </w:r>
    </w:p>
    <w:p w14:paraId="40665C51">
      <w:pPr>
        <w:ind w:firstLine="471"/>
        <w:rPr>
          <w:rFonts w:hint="eastAsia"/>
          <w:color w:val="auto"/>
        </w:rPr>
      </w:pPr>
      <w:r>
        <w:rPr>
          <w:rFonts w:hint="eastAsia"/>
          <w:color w:val="auto"/>
        </w:rPr>
        <w:t>（5）测量依据的标准；</w:t>
      </w:r>
    </w:p>
    <w:p w14:paraId="30CA0BE6">
      <w:pPr>
        <w:ind w:firstLine="471"/>
        <w:rPr>
          <w:rFonts w:hint="eastAsia"/>
          <w:color w:val="auto"/>
        </w:rPr>
      </w:pPr>
      <w:r>
        <w:rPr>
          <w:rFonts w:hint="eastAsia"/>
          <w:color w:val="auto"/>
        </w:rPr>
        <w:t>（6）测点示意图；</w:t>
      </w:r>
    </w:p>
    <w:p w14:paraId="1456E7A4">
      <w:pPr>
        <w:ind w:firstLine="471"/>
        <w:rPr>
          <w:rFonts w:hint="eastAsia"/>
          <w:color w:val="auto"/>
        </w:rPr>
      </w:pPr>
      <w:r>
        <w:rPr>
          <w:rFonts w:hint="eastAsia"/>
          <w:color w:val="auto"/>
        </w:rPr>
        <w:t>（7）声源及运行工况说明（如交通噪声测量的交通流量等）；</w:t>
      </w:r>
    </w:p>
    <w:p w14:paraId="4786CDE6">
      <w:pPr>
        <w:ind w:firstLine="471"/>
        <w:rPr>
          <w:rFonts w:hint="eastAsia"/>
          <w:color w:val="auto"/>
        </w:rPr>
      </w:pPr>
      <w:r>
        <w:rPr>
          <w:rFonts w:hint="eastAsia"/>
          <w:color w:val="auto"/>
        </w:rPr>
        <w:t>（8）其他应记录的事项。</w:t>
      </w:r>
    </w:p>
    <w:p w14:paraId="1165D7CA">
      <w:pPr>
        <w:ind w:firstLine="471"/>
        <w:rPr>
          <w:rFonts w:hint="eastAsia"/>
          <w:color w:val="auto"/>
        </w:rPr>
      </w:pPr>
      <w:r>
        <w:rPr>
          <w:rFonts w:hint="eastAsia"/>
          <w:color w:val="auto"/>
        </w:rPr>
        <w:t>监测数据和监测报告应执行三级审核相关要求。</w:t>
      </w:r>
    </w:p>
    <w:p w14:paraId="519BAA01">
      <w:pPr>
        <w:pStyle w:val="3"/>
        <w:keepNext/>
        <w:keepLines/>
        <w:rPr>
          <w:color w:val="auto"/>
          <w:kern w:val="2"/>
        </w:rPr>
      </w:pPr>
      <w:bookmarkStart w:id="99" w:name="_Toc7370"/>
      <w:bookmarkStart w:id="100" w:name="_Toc24545"/>
      <w:bookmarkStart w:id="101" w:name="_Toc8417"/>
      <w:bookmarkStart w:id="102" w:name="_Toc16309"/>
      <w:bookmarkStart w:id="103" w:name="_Toc10583"/>
      <w:r>
        <w:rPr>
          <w:color w:val="auto"/>
          <w:kern w:val="2"/>
        </w:rPr>
        <w:t>3.7</w:t>
      </w:r>
      <w:r>
        <w:rPr>
          <w:rFonts w:hint="eastAsia"/>
          <w:color w:val="auto"/>
          <w:kern w:val="2"/>
          <w:lang w:val="en-US" w:eastAsia="zh-CN"/>
        </w:rPr>
        <w:t xml:space="preserve"> </w:t>
      </w:r>
      <w:r>
        <w:rPr>
          <w:color w:val="auto"/>
          <w:kern w:val="2"/>
        </w:rPr>
        <w:t>声环境现状监测与评价</w:t>
      </w:r>
      <w:bookmarkEnd w:id="99"/>
      <w:bookmarkEnd w:id="100"/>
      <w:bookmarkEnd w:id="101"/>
      <w:bookmarkEnd w:id="102"/>
      <w:bookmarkEnd w:id="103"/>
    </w:p>
    <w:p w14:paraId="697F1788">
      <w:pPr>
        <w:ind w:firstLine="471"/>
        <w:rPr>
          <w:rFonts w:hint="eastAsia"/>
          <w:color w:val="auto"/>
          <w:highlight w:val="yellow"/>
        </w:rPr>
      </w:pPr>
      <w:r>
        <w:rPr>
          <w:rFonts w:hint="eastAsia"/>
          <w:color w:val="auto"/>
          <w:highlight w:val="none"/>
        </w:rPr>
        <w:t>本区划声环境现状监测由</w:t>
      </w:r>
      <w:r>
        <w:rPr>
          <w:rFonts w:hint="eastAsia"/>
          <w:color w:val="auto"/>
          <w:highlight w:val="none"/>
          <w:lang w:val="en-US" w:eastAsia="zh-CN"/>
        </w:rPr>
        <w:t>中科指南针（黑龙江）检验检测有限公司</w:t>
      </w:r>
      <w:r>
        <w:rPr>
          <w:rFonts w:hint="eastAsia"/>
          <w:color w:val="auto"/>
          <w:highlight w:val="none"/>
        </w:rPr>
        <w:t>完成。</w:t>
      </w:r>
    </w:p>
    <w:p w14:paraId="7C4395B9">
      <w:pPr>
        <w:pStyle w:val="4"/>
        <w:rPr>
          <w:rFonts w:hint="eastAsia"/>
          <w:color w:val="auto"/>
        </w:rPr>
      </w:pPr>
      <w:bookmarkStart w:id="104" w:name="_Toc24475"/>
      <w:r>
        <w:rPr>
          <w:rFonts w:hint="eastAsia"/>
          <w:color w:val="auto"/>
        </w:rPr>
        <w:t>3.7.1</w:t>
      </w:r>
      <w:r>
        <w:rPr>
          <w:rFonts w:hint="eastAsia"/>
          <w:color w:val="auto"/>
          <w:lang w:val="en-US" w:eastAsia="zh-CN"/>
        </w:rPr>
        <w:t xml:space="preserve"> </w:t>
      </w:r>
      <w:r>
        <w:rPr>
          <w:rFonts w:hint="eastAsia"/>
          <w:color w:val="auto"/>
        </w:rPr>
        <w:t>区域声环境质量现状监测与评价</w:t>
      </w:r>
      <w:bookmarkEnd w:id="104"/>
    </w:p>
    <w:p w14:paraId="1F4D9ED7">
      <w:pPr>
        <w:ind w:firstLine="471"/>
        <w:rPr>
          <w:rFonts w:hint="eastAsia"/>
          <w:color w:val="auto"/>
        </w:rPr>
      </w:pPr>
      <w:r>
        <w:rPr>
          <w:rFonts w:hint="eastAsia"/>
          <w:color w:val="auto"/>
        </w:rPr>
        <w:t>（1）区域监测点位设置</w:t>
      </w:r>
    </w:p>
    <w:p w14:paraId="07EDE877">
      <w:pPr>
        <w:ind w:firstLine="471"/>
        <w:rPr>
          <w:rFonts w:hint="eastAsia"/>
          <w:color w:val="auto"/>
          <w:highlight w:val="none"/>
        </w:rPr>
      </w:pPr>
      <w:r>
        <w:rPr>
          <w:rFonts w:hint="eastAsia"/>
          <w:color w:val="auto"/>
        </w:rPr>
        <w:t>①按照《声环境质量标准》（GB</w:t>
      </w:r>
      <w:r>
        <w:rPr>
          <w:rFonts w:hint="eastAsia"/>
          <w:color w:val="auto"/>
          <w:lang w:val="en-US" w:eastAsia="zh-CN"/>
        </w:rPr>
        <w:t xml:space="preserve"> </w:t>
      </w:r>
      <w:r>
        <w:rPr>
          <w:rFonts w:hint="eastAsia"/>
          <w:color w:val="auto"/>
        </w:rPr>
        <w:t>3096-2008）附录B中声环境功能区普查监测方法，将</w:t>
      </w:r>
      <w:r>
        <w:rPr>
          <w:rFonts w:hint="eastAsia"/>
          <w:color w:val="auto"/>
          <w:lang w:eastAsia="zh-CN"/>
        </w:rPr>
        <w:t>绥滨县中心城区</w:t>
      </w:r>
      <w:r>
        <w:rPr>
          <w:rFonts w:hint="eastAsia"/>
          <w:color w:val="auto"/>
        </w:rPr>
        <w:t>划分为</w:t>
      </w:r>
      <w:r>
        <w:rPr>
          <w:rFonts w:hint="eastAsia"/>
          <w:color w:val="auto"/>
          <w:highlight w:val="none"/>
          <w:lang w:val="en-US" w:eastAsia="zh-CN"/>
        </w:rPr>
        <w:t>25</w:t>
      </w:r>
      <w:r>
        <w:rPr>
          <w:rFonts w:hint="eastAsia"/>
          <w:color w:val="auto"/>
          <w:highlight w:val="none"/>
        </w:rPr>
        <w:t>0</w:t>
      </w:r>
      <w:r>
        <w:rPr>
          <w:rFonts w:hint="eastAsia"/>
          <w:color w:val="auto"/>
          <w:highlight w:val="none"/>
          <w:lang w:val="en-US" w:eastAsia="zh-CN"/>
        </w:rPr>
        <w:t>m</w:t>
      </w:r>
      <w:r>
        <w:rPr>
          <w:rFonts w:hint="eastAsia"/>
          <w:color w:val="auto"/>
          <w:highlight w:val="none"/>
        </w:rPr>
        <w:t>×</w:t>
      </w:r>
      <w:r>
        <w:rPr>
          <w:rFonts w:hint="eastAsia"/>
          <w:color w:val="auto"/>
          <w:highlight w:val="none"/>
          <w:lang w:val="en-US" w:eastAsia="zh-CN"/>
        </w:rPr>
        <w:t>25</w:t>
      </w:r>
      <w:r>
        <w:rPr>
          <w:rFonts w:hint="eastAsia"/>
          <w:color w:val="auto"/>
          <w:highlight w:val="none"/>
        </w:rPr>
        <w:t>0</w:t>
      </w:r>
      <w:r>
        <w:rPr>
          <w:rFonts w:hint="eastAsia"/>
          <w:color w:val="auto"/>
          <w:highlight w:val="none"/>
          <w:lang w:val="en-US" w:eastAsia="zh-CN"/>
        </w:rPr>
        <w:t>m</w:t>
      </w:r>
      <w:r>
        <w:rPr>
          <w:rFonts w:hint="eastAsia"/>
          <w:color w:val="auto"/>
          <w:highlight w:val="none"/>
        </w:rPr>
        <w:t>的正方形网格，对于</w:t>
      </w:r>
      <w:r>
        <w:rPr>
          <w:rFonts w:hint="eastAsia"/>
          <w:color w:val="auto"/>
        </w:rPr>
        <w:t>未连成片的建成区，正方形网格可以不衔接。网格中水域面积为100%、非建成区面积大于50%的网格视为无效网格。按照此原</w:t>
      </w:r>
      <w:r>
        <w:rPr>
          <w:rFonts w:hint="eastAsia"/>
          <w:color w:val="auto"/>
          <w:highlight w:val="none"/>
        </w:rPr>
        <w:t>则，通过划分最终得出</w:t>
      </w:r>
      <w:r>
        <w:rPr>
          <w:rFonts w:hint="eastAsia"/>
          <w:color w:val="auto"/>
          <w:highlight w:val="none"/>
          <w:lang w:eastAsia="zh-CN"/>
        </w:rPr>
        <w:t>绥滨县中心城区</w:t>
      </w:r>
      <w:r>
        <w:rPr>
          <w:rFonts w:hint="eastAsia"/>
          <w:color w:val="auto"/>
          <w:highlight w:val="none"/>
        </w:rPr>
        <w:t>区域环境噪声监测有效网格总数为</w:t>
      </w:r>
      <w:r>
        <w:rPr>
          <w:rFonts w:hint="eastAsia"/>
          <w:color w:val="auto"/>
          <w:highlight w:val="none"/>
          <w:lang w:val="en-US" w:eastAsia="zh-CN"/>
        </w:rPr>
        <w:t>117</w:t>
      </w:r>
      <w:r>
        <w:rPr>
          <w:rFonts w:hint="eastAsia"/>
          <w:color w:val="auto"/>
          <w:highlight w:val="none"/>
        </w:rPr>
        <w:t>个，具体监测点位分布图见图3-2。</w:t>
      </w:r>
    </w:p>
    <w:p w14:paraId="02CCCD94">
      <w:pPr>
        <w:ind w:firstLine="471"/>
        <w:rPr>
          <w:rFonts w:hint="eastAsia"/>
          <w:color w:val="auto"/>
        </w:rPr>
      </w:pPr>
      <w:r>
        <w:rPr>
          <w:rFonts w:hint="eastAsia"/>
          <w:color w:val="auto"/>
        </w:rPr>
        <w:t>②在每一个网格的中心布设1个监测点位。若网格中心点不宜测量（如水面、禁区等），应将监测点位移动到距离中心点最近的可测量位置进行测量。测点位置要符合《声环境质量标准》（GB</w:t>
      </w:r>
      <w:r>
        <w:rPr>
          <w:rFonts w:hint="eastAsia"/>
          <w:color w:val="auto"/>
          <w:lang w:val="en-US" w:eastAsia="zh-CN"/>
        </w:rPr>
        <w:t xml:space="preserve"> </w:t>
      </w:r>
      <w:r>
        <w:rPr>
          <w:rFonts w:hint="eastAsia"/>
          <w:color w:val="auto"/>
        </w:rPr>
        <w:t>3096-2008）中测点选择一般户外的要求。监测点位高度距地面为1.2</w:t>
      </w:r>
      <w:r>
        <w:rPr>
          <w:rFonts w:hint="eastAsia"/>
          <w:color w:val="auto"/>
          <w:lang w:val="en-US" w:eastAsia="zh-CN"/>
        </w:rPr>
        <w:t>m—</w:t>
      </w:r>
      <w:r>
        <w:rPr>
          <w:rFonts w:hint="eastAsia"/>
          <w:color w:val="auto"/>
        </w:rPr>
        <w:t>4.0</w:t>
      </w:r>
      <w:r>
        <w:rPr>
          <w:rFonts w:hint="eastAsia"/>
          <w:color w:val="auto"/>
          <w:lang w:val="en-US" w:eastAsia="zh-CN"/>
        </w:rPr>
        <w:t>m</w:t>
      </w:r>
      <w:r>
        <w:rPr>
          <w:rFonts w:hint="eastAsia"/>
          <w:color w:val="auto"/>
        </w:rPr>
        <w:t>。</w:t>
      </w:r>
    </w:p>
    <w:p w14:paraId="40CC946D">
      <w:pPr>
        <w:ind w:firstLine="471"/>
        <w:rPr>
          <w:rFonts w:hint="eastAsia"/>
          <w:color w:val="auto"/>
        </w:rPr>
      </w:pPr>
    </w:p>
    <w:p w14:paraId="19C25FDB">
      <w:pPr>
        <w:ind w:firstLine="471"/>
        <w:rPr>
          <w:rFonts w:hint="eastAsia"/>
          <w:color w:val="auto"/>
          <w:lang w:eastAsia="zh-CN"/>
        </w:rPr>
        <w:sectPr>
          <w:pgSz w:w="11906" w:h="16838"/>
          <w:pgMar w:top="1440" w:right="1803" w:bottom="1440" w:left="1803" w:header="794" w:footer="992" w:gutter="0"/>
          <w:pgBorders>
            <w:top w:val="none" w:sz="0" w:space="0"/>
            <w:left w:val="none" w:sz="0" w:space="0"/>
            <w:bottom w:val="none" w:sz="0" w:space="0"/>
            <w:right w:val="none" w:sz="0" w:space="0"/>
          </w:pgBorders>
          <w:pgNumType w:fmt="numberInDash"/>
          <w:cols w:space="720" w:num="1"/>
          <w:rtlGutter w:val="0"/>
          <w:docGrid w:type="linesAndChars" w:linePitch="347" w:charSpace="-874"/>
        </w:sectPr>
      </w:pPr>
    </w:p>
    <w:p w14:paraId="4AD1CEF5">
      <w:pPr>
        <w:pStyle w:val="31"/>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7912100" cy="4787900"/>
            <wp:effectExtent l="0" t="0" r="12700" b="12700"/>
            <wp:docPr id="5" name="图片 5" descr="监测点位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监测点位分布图"/>
                    <pic:cNvPicPr>
                      <a:picLocks noChangeAspect="1"/>
                    </pic:cNvPicPr>
                  </pic:nvPicPr>
                  <pic:blipFill>
                    <a:blip r:embed="rId20"/>
                    <a:stretch>
                      <a:fillRect/>
                    </a:stretch>
                  </pic:blipFill>
                  <pic:spPr>
                    <a:xfrm>
                      <a:off x="0" y="0"/>
                      <a:ext cx="7912100" cy="4787900"/>
                    </a:xfrm>
                    <a:prstGeom prst="rect">
                      <a:avLst/>
                    </a:prstGeom>
                  </pic:spPr>
                </pic:pic>
              </a:graphicData>
            </a:graphic>
          </wp:inline>
        </w:drawing>
      </w:r>
    </w:p>
    <w:p w14:paraId="672BF75D">
      <w:pPr>
        <w:pStyle w:val="31"/>
        <w:keepNext w:val="0"/>
        <w:keepLines w:val="0"/>
        <w:pageBreakBefore w:val="0"/>
        <w:widowControl w:val="0"/>
        <w:kinsoku/>
        <w:wordWrap/>
        <w:overflowPunct/>
        <w:topLinePunct w:val="0"/>
        <w:autoSpaceDE/>
        <w:autoSpaceDN/>
        <w:bidi w:val="0"/>
        <w:adjustRightInd/>
        <w:snapToGrid/>
        <w:textAlignment w:val="auto"/>
        <w:rPr>
          <w:color w:val="auto"/>
          <w:highlight w:val="none"/>
        </w:rPr>
      </w:pPr>
      <w:r>
        <w:rPr>
          <w:rFonts w:hint="eastAsia"/>
          <w:color w:val="auto"/>
          <w:highlight w:val="none"/>
        </w:rPr>
        <w:t>图3-2</w:t>
      </w:r>
      <w:r>
        <w:rPr>
          <w:rFonts w:hint="eastAsia"/>
          <w:color w:val="auto"/>
          <w:highlight w:val="none"/>
          <w:lang w:val="en-US" w:eastAsia="zh-CN"/>
        </w:rPr>
        <w:t xml:space="preserve">  </w:t>
      </w:r>
      <w:r>
        <w:rPr>
          <w:rFonts w:hint="eastAsia"/>
          <w:color w:val="auto"/>
          <w:highlight w:val="none"/>
        </w:rPr>
        <w:t>监测点位分布图</w:t>
      </w:r>
    </w:p>
    <w:p w14:paraId="5028F029">
      <w:pPr>
        <w:ind w:firstLine="471"/>
        <w:rPr>
          <w:rFonts w:hint="eastAsia"/>
          <w:color w:val="auto"/>
        </w:rPr>
        <w:sectPr>
          <w:pgSz w:w="16838" w:h="11906" w:orient="landscape"/>
          <w:pgMar w:top="1803" w:right="1440" w:bottom="1803" w:left="1440" w:header="794" w:footer="992" w:gutter="0"/>
          <w:pgBorders>
            <w:top w:val="none" w:sz="0" w:space="0"/>
            <w:left w:val="none" w:sz="0" w:space="0"/>
            <w:bottom w:val="none" w:sz="0" w:space="0"/>
            <w:right w:val="none" w:sz="0" w:space="0"/>
          </w:pgBorders>
          <w:pgNumType w:fmt="numberInDash"/>
          <w:cols w:space="0" w:num="1"/>
          <w:rtlGutter w:val="0"/>
          <w:docGrid w:type="linesAndChars" w:linePitch="360" w:charSpace="-874"/>
        </w:sectPr>
      </w:pPr>
    </w:p>
    <w:p w14:paraId="327B9148">
      <w:pPr>
        <w:ind w:firstLine="471"/>
        <w:rPr>
          <w:rFonts w:hint="eastAsia"/>
          <w:color w:val="auto"/>
        </w:rPr>
      </w:pPr>
      <w:r>
        <w:rPr>
          <w:rFonts w:hint="eastAsia"/>
          <w:color w:val="auto"/>
        </w:rPr>
        <w:t>（2）区域监测的频次、时间与测量</w:t>
      </w:r>
    </w:p>
    <w:p w14:paraId="63F79CCD">
      <w:pPr>
        <w:ind w:firstLine="471"/>
        <w:rPr>
          <w:rFonts w:hint="eastAsia"/>
          <w:color w:val="auto"/>
        </w:rPr>
      </w:pPr>
      <w:r>
        <w:rPr>
          <w:rFonts w:hint="eastAsia"/>
          <w:color w:val="auto"/>
        </w:rPr>
        <w:t>①监测项目：每个监测点位测量10</w:t>
      </w:r>
      <w:r>
        <w:rPr>
          <w:rFonts w:hint="eastAsia"/>
          <w:color w:val="auto"/>
          <w:lang w:val="en-US" w:eastAsia="zh-CN"/>
        </w:rPr>
        <w:t>min</w:t>
      </w:r>
      <w:r>
        <w:rPr>
          <w:rFonts w:hint="eastAsia"/>
          <w:color w:val="auto"/>
        </w:rPr>
        <w:t>的等效连续A声级Leq。</w:t>
      </w:r>
    </w:p>
    <w:p w14:paraId="43C53AAF">
      <w:pPr>
        <w:ind w:firstLine="471"/>
        <w:rPr>
          <w:rFonts w:hint="eastAsia"/>
          <w:color w:val="auto"/>
        </w:rPr>
      </w:pPr>
      <w:r>
        <w:rPr>
          <w:rFonts w:hint="eastAsia"/>
          <w:color w:val="auto"/>
        </w:rPr>
        <w:t>②每个监测点位在监测日期范围内共监测两次，昼间监测1次，监测时段为8</w:t>
      </w:r>
      <w:r>
        <w:rPr>
          <w:rFonts w:hint="eastAsia"/>
          <w:color w:val="auto"/>
          <w:lang w:eastAsia="zh-CN"/>
        </w:rPr>
        <w:t>:</w:t>
      </w:r>
      <w:r>
        <w:rPr>
          <w:rFonts w:hint="eastAsia"/>
          <w:color w:val="auto"/>
        </w:rPr>
        <w:t>00～22</w:t>
      </w:r>
      <w:r>
        <w:rPr>
          <w:rFonts w:hint="eastAsia"/>
          <w:color w:val="auto"/>
          <w:lang w:eastAsia="zh-CN"/>
        </w:rPr>
        <w:t>:</w:t>
      </w:r>
      <w:r>
        <w:rPr>
          <w:rFonts w:hint="eastAsia"/>
          <w:color w:val="auto"/>
        </w:rPr>
        <w:t>00；夜间监测1次，监测时段为22</w:t>
      </w:r>
      <w:r>
        <w:rPr>
          <w:rFonts w:hint="eastAsia"/>
          <w:color w:val="auto"/>
          <w:lang w:eastAsia="zh-CN"/>
        </w:rPr>
        <w:t>:</w:t>
      </w:r>
      <w:r>
        <w:rPr>
          <w:rFonts w:hint="eastAsia"/>
          <w:color w:val="auto"/>
        </w:rPr>
        <w:t>00～6</w:t>
      </w:r>
      <w:r>
        <w:rPr>
          <w:rFonts w:hint="eastAsia"/>
          <w:color w:val="auto"/>
          <w:lang w:eastAsia="zh-CN"/>
        </w:rPr>
        <w:t>:</w:t>
      </w:r>
      <w:r>
        <w:rPr>
          <w:rFonts w:hint="eastAsia"/>
          <w:color w:val="auto"/>
        </w:rPr>
        <w:t>00。</w:t>
      </w:r>
    </w:p>
    <w:p w14:paraId="64D4A231">
      <w:pPr>
        <w:ind w:firstLine="471"/>
        <w:rPr>
          <w:rFonts w:hint="eastAsia"/>
          <w:color w:val="auto"/>
        </w:rPr>
      </w:pPr>
      <w:r>
        <w:rPr>
          <w:rFonts w:hint="eastAsia"/>
          <w:color w:val="auto"/>
        </w:rPr>
        <w:t>③监测工作安排在无雨、无雪的天气条件下进行，风速达到5</w:t>
      </w:r>
      <w:r>
        <w:rPr>
          <w:rFonts w:hint="eastAsia"/>
          <w:color w:val="auto"/>
          <w:lang w:val="en-US" w:eastAsia="zh-CN"/>
        </w:rPr>
        <w:t>m</w:t>
      </w:r>
      <w:r>
        <w:rPr>
          <w:rFonts w:hint="eastAsia"/>
          <w:color w:val="auto"/>
        </w:rPr>
        <w:t>/</w:t>
      </w:r>
      <w:r>
        <w:rPr>
          <w:rFonts w:hint="eastAsia"/>
          <w:color w:val="auto"/>
          <w:lang w:val="en-US" w:eastAsia="zh-CN"/>
        </w:rPr>
        <w:t>s</w:t>
      </w:r>
      <w:r>
        <w:rPr>
          <w:rFonts w:hint="eastAsia"/>
          <w:color w:val="auto"/>
        </w:rPr>
        <w:t>以上时，停止测量工作。</w:t>
      </w:r>
    </w:p>
    <w:p w14:paraId="25C1E31C">
      <w:pPr>
        <w:ind w:firstLine="471"/>
        <w:rPr>
          <w:rFonts w:hint="eastAsia"/>
          <w:color w:val="auto"/>
        </w:rPr>
      </w:pPr>
      <w:r>
        <w:rPr>
          <w:rFonts w:hint="eastAsia"/>
          <w:color w:val="auto"/>
        </w:rPr>
        <w:t>（3）区域噪声监测结果与评价</w:t>
      </w:r>
    </w:p>
    <w:p w14:paraId="39B54F66">
      <w:pPr>
        <w:ind w:firstLine="471"/>
        <w:rPr>
          <w:rFonts w:hint="eastAsia"/>
          <w:color w:val="auto"/>
        </w:rPr>
      </w:pPr>
      <w:r>
        <w:rPr>
          <w:rFonts w:hint="eastAsia"/>
          <w:color w:val="auto"/>
          <w:lang w:eastAsia="zh-CN"/>
        </w:rPr>
        <w:t>绥滨县中心城区</w:t>
      </w:r>
      <w:r>
        <w:rPr>
          <w:rFonts w:hint="eastAsia"/>
          <w:color w:val="auto"/>
        </w:rPr>
        <w:t>区域环境噪声监测数据统计结果见表3-1。</w:t>
      </w:r>
    </w:p>
    <w:p w14:paraId="74E2197A">
      <w:pPr>
        <w:pStyle w:val="31"/>
        <w:rPr>
          <w:rFonts w:hint="eastAsia"/>
          <w:color w:val="auto"/>
        </w:rPr>
      </w:pPr>
      <w:r>
        <w:rPr>
          <w:rFonts w:hint="eastAsia"/>
          <w:color w:val="auto"/>
          <w:highlight w:val="none"/>
        </w:rPr>
        <w:t>表3-1</w:t>
      </w:r>
      <w:r>
        <w:rPr>
          <w:rFonts w:hint="eastAsia"/>
          <w:color w:val="auto"/>
          <w:highlight w:val="none"/>
          <w:lang w:val="en-US" w:eastAsia="zh-CN"/>
        </w:rPr>
        <w:t xml:space="preserve">  </w:t>
      </w:r>
      <w:r>
        <w:rPr>
          <w:rFonts w:hint="eastAsia"/>
          <w:color w:val="auto"/>
          <w:highlight w:val="none"/>
        </w:rPr>
        <w:t>区域声环境监测结果</w:t>
      </w:r>
      <w:r>
        <w:rPr>
          <w:rFonts w:hint="eastAsia"/>
          <w:color w:val="auto"/>
          <w:highlight w:val="none"/>
          <w:lang w:val="en-US" w:eastAsia="zh-CN"/>
        </w:rPr>
        <w:t xml:space="preserve">  </w:t>
      </w:r>
      <w:r>
        <w:rPr>
          <w:rFonts w:hint="eastAsia"/>
          <w:color w:val="auto"/>
          <w:highlight w:val="none"/>
        </w:rPr>
        <w:t>单位：dB（A）</w:t>
      </w:r>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81"/>
        <w:gridCol w:w="1529"/>
        <w:gridCol w:w="1529"/>
        <w:gridCol w:w="1219"/>
        <w:gridCol w:w="1529"/>
        <w:gridCol w:w="1529"/>
      </w:tblGrid>
      <w:tr w14:paraId="3306D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blHeader/>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F63825E">
            <w:pPr>
              <w:keepNext w:val="0"/>
              <w:keepLines w:val="0"/>
              <w:widowControl/>
              <w:suppressLineNumbers w:val="0"/>
              <w:ind w:firstLine="0" w:firstLineChars="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监测点位</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3FBE224">
            <w:pPr>
              <w:keepNext w:val="0"/>
              <w:keepLines w:val="0"/>
              <w:widowControl/>
              <w:suppressLineNumbers w:val="0"/>
              <w:ind w:firstLine="0" w:firstLineChars="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昼间</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5D43F390">
            <w:pPr>
              <w:keepNext w:val="0"/>
              <w:keepLines w:val="0"/>
              <w:widowControl/>
              <w:suppressLineNumbers w:val="0"/>
              <w:ind w:firstLine="0" w:firstLineChars="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夜间</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0436145D">
            <w:pPr>
              <w:keepNext w:val="0"/>
              <w:keepLines w:val="0"/>
              <w:widowControl/>
              <w:suppressLineNumbers w:val="0"/>
              <w:ind w:firstLine="0" w:firstLineChars="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监测点位</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643A98C0">
            <w:pPr>
              <w:keepNext w:val="0"/>
              <w:keepLines w:val="0"/>
              <w:widowControl/>
              <w:suppressLineNumbers w:val="0"/>
              <w:ind w:firstLine="0" w:firstLineChars="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昼间</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2FCC886D">
            <w:pPr>
              <w:keepNext w:val="0"/>
              <w:keepLines w:val="0"/>
              <w:widowControl/>
              <w:suppressLineNumbers w:val="0"/>
              <w:ind w:firstLine="0" w:firstLineChars="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夜间</w:t>
            </w:r>
          </w:p>
        </w:tc>
      </w:tr>
      <w:tr w14:paraId="6AEF5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E253FA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N1</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FBEEF7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5</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296E47B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41</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5218341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N60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ADFF84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9533FD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3</w:t>
            </w:r>
          </w:p>
        </w:tc>
      </w:tr>
      <w:tr w14:paraId="541B8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197807E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61ECAA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BD77DE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7</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FC358E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N61</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358308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r>
              <w:rPr>
                <w:rFonts w:hint="eastAsia" w:cs="Times New Roman"/>
                <w:i w:val="0"/>
                <w:iCs w:val="0"/>
                <w:color w:val="auto"/>
                <w:kern w:val="0"/>
                <w:sz w:val="21"/>
                <w:szCs w:val="21"/>
                <w:u w:val="none"/>
                <w:lang w:val="en-US" w:eastAsia="zh-CN" w:bidi="ar"/>
              </w:rPr>
              <w:t>1</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2A143D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4</w:t>
            </w:r>
          </w:p>
        </w:tc>
      </w:tr>
      <w:tr w14:paraId="1D382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111E452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A73861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D91C1D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9</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CF30DE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N62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2CA76C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FC5F24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4</w:t>
            </w:r>
          </w:p>
        </w:tc>
      </w:tr>
      <w:tr w14:paraId="24A97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B3CB27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N4</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7B7044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45</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3355DA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43</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2FC5AEA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N63</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C473A0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23A28D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42</w:t>
            </w:r>
          </w:p>
        </w:tc>
      </w:tr>
      <w:tr w14:paraId="5B772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52C4C39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N5</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08DF5A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31247D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6</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5F6922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N64</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29213F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9D2327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3</w:t>
            </w:r>
          </w:p>
        </w:tc>
      </w:tr>
      <w:tr w14:paraId="52B5B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06F50F0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17EF3E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D2F280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44</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1AF1371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N65</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659E6C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r>
              <w:rPr>
                <w:rFonts w:hint="eastAsia" w:cs="Times New Roman"/>
                <w:i w:val="0"/>
                <w:iCs w:val="0"/>
                <w:color w:val="auto"/>
                <w:kern w:val="0"/>
                <w:sz w:val="21"/>
                <w:szCs w:val="21"/>
                <w:u w:val="none"/>
                <w:lang w:val="en-US" w:eastAsia="zh-CN" w:bidi="ar"/>
              </w:rPr>
              <w:t>3</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C52427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42</w:t>
            </w:r>
          </w:p>
        </w:tc>
      </w:tr>
      <w:tr w14:paraId="6C486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2986B79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B02005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319697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8</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0A5A70C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N66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5323AE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35FDBA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48</w:t>
            </w:r>
          </w:p>
        </w:tc>
      </w:tr>
      <w:tr w14:paraId="09033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1164A6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1689C5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4</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EB356E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2</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6D58730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N67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A0F8CC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8BEEFD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46</w:t>
            </w:r>
          </w:p>
        </w:tc>
      </w:tr>
      <w:tr w14:paraId="37975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CC5E97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1E64D7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5BA070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44</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3325BBD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N68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B5CDF8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r>
              <w:rPr>
                <w:rFonts w:hint="eastAsia" w:cs="Times New Roman"/>
                <w:i w:val="0"/>
                <w:iCs w:val="0"/>
                <w:color w:val="auto"/>
                <w:kern w:val="0"/>
                <w:sz w:val="21"/>
                <w:szCs w:val="21"/>
                <w:u w:val="none"/>
                <w:lang w:val="en-US" w:eastAsia="zh-CN" w:bidi="ar"/>
              </w:rPr>
              <w:t>1</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88FC19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47</w:t>
            </w:r>
          </w:p>
        </w:tc>
      </w:tr>
      <w:tr w14:paraId="16EA8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00EEBAD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N10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3C9E6C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990266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6</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0DEFB17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N69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679BA1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6230CF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5</w:t>
            </w:r>
          </w:p>
        </w:tc>
      </w:tr>
      <w:tr w14:paraId="02D94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DDD8EB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N11</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6ED137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9893EB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44</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6889BB1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N70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5E75F4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10835B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46</w:t>
            </w:r>
          </w:p>
        </w:tc>
      </w:tr>
      <w:tr w14:paraId="1062D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3E2B51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N12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666294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1A68A8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7</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25A0490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N71</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A217DD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45</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278F6D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4</w:t>
            </w:r>
          </w:p>
        </w:tc>
      </w:tr>
      <w:tr w14:paraId="0A3EC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2B3BE74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N13</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DE3C7B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FEC6E0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47</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64EB4D6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N72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6846E1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5</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D81ACE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43</w:t>
            </w:r>
          </w:p>
        </w:tc>
      </w:tr>
      <w:tr w14:paraId="05D85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632231A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N14</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DBBBA2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531BAE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47</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E9B4CF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N73</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237D948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213223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4</w:t>
            </w:r>
          </w:p>
        </w:tc>
      </w:tr>
      <w:tr w14:paraId="26A75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583F41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N15</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2AD5407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B494BF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47</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108B06E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N74</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25945C2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r>
              <w:rPr>
                <w:rFonts w:hint="eastAsia" w:cs="Times New Roman"/>
                <w:i w:val="0"/>
                <w:iCs w:val="0"/>
                <w:color w:val="auto"/>
                <w:kern w:val="0"/>
                <w:sz w:val="21"/>
                <w:szCs w:val="21"/>
                <w:u w:val="none"/>
                <w:lang w:val="en-US" w:eastAsia="zh-CN" w:bidi="ar"/>
              </w:rPr>
              <w:t>1</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41AA84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49</w:t>
            </w:r>
          </w:p>
        </w:tc>
      </w:tr>
      <w:tr w14:paraId="0C242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58C13A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N16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B047D6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030742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43</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AE5788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N75</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6C83C8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F7A9C4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46</w:t>
            </w:r>
          </w:p>
        </w:tc>
      </w:tr>
      <w:tr w14:paraId="5F6BA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3AA3880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N17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EAB55B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AD7230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3</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6F9BB3F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N76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49B32C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FF36E5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9</w:t>
            </w:r>
          </w:p>
        </w:tc>
      </w:tr>
      <w:tr w14:paraId="30BF0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A3BB2C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N18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A7DC1C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r>
              <w:rPr>
                <w:rFonts w:hint="eastAsia" w:cs="Times New Roman"/>
                <w:i w:val="0"/>
                <w:iCs w:val="0"/>
                <w:color w:val="auto"/>
                <w:kern w:val="0"/>
                <w:sz w:val="21"/>
                <w:szCs w:val="21"/>
                <w:u w:val="none"/>
                <w:lang w:val="en-US" w:eastAsia="zh-CN" w:bidi="ar"/>
              </w:rPr>
              <w:t>1</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8640A0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1</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0FF831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N77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3D7563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2FD290D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4</w:t>
            </w:r>
          </w:p>
        </w:tc>
      </w:tr>
      <w:tr w14:paraId="70DDD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66591DB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N19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261AE1C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6BFC9A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4</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2C3D730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N78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732D05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D1477F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3</w:t>
            </w:r>
          </w:p>
        </w:tc>
      </w:tr>
      <w:tr w14:paraId="7FFC7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78D778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N20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290B4A3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E7F049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42</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1BA2FD4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N79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8795B3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DF9E62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5</w:t>
            </w:r>
          </w:p>
        </w:tc>
      </w:tr>
      <w:tr w14:paraId="76B8F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FBA2BE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N21</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BD7E9E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16343C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43</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CCE35E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N80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CC6720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r>
              <w:rPr>
                <w:rFonts w:hint="eastAsia" w:cs="Times New Roman"/>
                <w:i w:val="0"/>
                <w:iCs w:val="0"/>
                <w:color w:val="auto"/>
                <w:kern w:val="0"/>
                <w:sz w:val="21"/>
                <w:szCs w:val="21"/>
                <w:u w:val="none"/>
                <w:lang w:val="en-US" w:eastAsia="zh-CN" w:bidi="ar"/>
              </w:rPr>
              <w:t>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99E396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40</w:t>
            </w:r>
          </w:p>
        </w:tc>
      </w:tr>
      <w:tr w14:paraId="2E70B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3DE9CD4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N22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4C5CB2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45</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BF5A86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3</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2650CE0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N81</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380166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599F1F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1</w:t>
            </w:r>
          </w:p>
        </w:tc>
      </w:tr>
      <w:tr w14:paraId="7090F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1AFD8ED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N23</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9E3D8B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26ED4D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44</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74D655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N82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2FB4E1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05F74F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4</w:t>
            </w:r>
          </w:p>
        </w:tc>
      </w:tr>
      <w:tr w14:paraId="67172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07C84E9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N24</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BBD7B0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3DCECE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7</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6F167C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N83</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9E23A7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28625CD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42</w:t>
            </w:r>
          </w:p>
        </w:tc>
      </w:tr>
      <w:tr w14:paraId="241C1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73219C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N25</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C5DBBD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9E53D5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44</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C9A77D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N84</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21E068F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5DB46D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43</w:t>
            </w:r>
          </w:p>
        </w:tc>
      </w:tr>
      <w:tr w14:paraId="16FF0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2F3E17D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N26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9D1EB6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E691C2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47</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0D3F2F2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N85</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AEFA46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4C1F2E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8</w:t>
            </w:r>
          </w:p>
        </w:tc>
      </w:tr>
      <w:tr w14:paraId="40A45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003D6B2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N27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2FEDE29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F5BDAE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5</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224A289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N86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ACE0AF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E555E6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43</w:t>
            </w:r>
          </w:p>
        </w:tc>
      </w:tr>
      <w:tr w14:paraId="3A82B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629718A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N28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E9F892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3</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2F6A18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2</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155E970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N87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7320B1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7C5BEE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7</w:t>
            </w:r>
          </w:p>
        </w:tc>
      </w:tr>
      <w:tr w14:paraId="489FE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2ED802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N29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3B2266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45</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1858C8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42</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0071AAB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N88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4CC270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45</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8F9F8D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3</w:t>
            </w:r>
          </w:p>
        </w:tc>
      </w:tr>
      <w:tr w14:paraId="19ADE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32F0CE1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206F6F5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r>
              <w:rPr>
                <w:rFonts w:hint="eastAsia" w:cs="Times New Roman"/>
                <w:i w:val="0"/>
                <w:iCs w:val="0"/>
                <w:color w:val="auto"/>
                <w:kern w:val="0"/>
                <w:sz w:val="21"/>
                <w:szCs w:val="21"/>
                <w:u w:val="none"/>
                <w:lang w:val="en-US" w:eastAsia="zh-CN" w:bidi="ar"/>
              </w:rPr>
              <w:t>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0D2FC2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43</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14C932D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N89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FC5744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3EEB74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43</w:t>
            </w:r>
          </w:p>
        </w:tc>
      </w:tr>
      <w:tr w14:paraId="02622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11B2CD8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N31</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81547F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E17FA7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43</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0526E2D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N90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99ECF1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r>
              <w:rPr>
                <w:rFonts w:hint="eastAsia" w:cs="Times New Roman"/>
                <w:i w:val="0"/>
                <w:iCs w:val="0"/>
                <w:color w:val="auto"/>
                <w:kern w:val="0"/>
                <w:sz w:val="21"/>
                <w:szCs w:val="21"/>
                <w:u w:val="none"/>
                <w:lang w:val="en-US" w:eastAsia="zh-CN" w:bidi="ar"/>
              </w:rPr>
              <w:t>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C26B65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43</w:t>
            </w:r>
          </w:p>
        </w:tc>
      </w:tr>
      <w:tr w14:paraId="27597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59B1477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A1D255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2CF42F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41</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30D2FEC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N91</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E2BEE6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E105DD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41</w:t>
            </w:r>
          </w:p>
        </w:tc>
      </w:tr>
      <w:tr w14:paraId="6B90F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0064EC4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N33</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982189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4947D4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3</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C74174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N92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5C3D66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779B04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45</w:t>
            </w:r>
          </w:p>
        </w:tc>
      </w:tr>
      <w:tr w14:paraId="737D2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675D543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N34</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1CFCEE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FDDE21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4</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1E0FCD7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N93</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1BD229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44F400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47</w:t>
            </w:r>
          </w:p>
        </w:tc>
      </w:tr>
      <w:tr w14:paraId="2983E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3B52B7C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N35</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2BD9FEC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5403FE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44</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0E5836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N94</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A056AC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374742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42</w:t>
            </w:r>
          </w:p>
        </w:tc>
      </w:tr>
      <w:tr w14:paraId="0E2EA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112310E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1A6E50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45</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351D7D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44</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6062DCF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N95</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731B28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43C154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8</w:t>
            </w:r>
          </w:p>
        </w:tc>
      </w:tr>
      <w:tr w14:paraId="26EE2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513E304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F1A7D5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43</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95A31F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3</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5E2EAB9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N96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207F468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r>
              <w:rPr>
                <w:rFonts w:hint="eastAsia" w:cs="Times New Roman"/>
                <w:i w:val="0"/>
                <w:iCs w:val="0"/>
                <w:color w:val="auto"/>
                <w:kern w:val="0"/>
                <w:sz w:val="21"/>
                <w:szCs w:val="21"/>
                <w:u w:val="none"/>
                <w:lang w:val="en-US" w:eastAsia="zh-CN" w:bidi="ar"/>
              </w:rPr>
              <w:t>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FED1B5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w:t>
            </w:r>
          </w:p>
        </w:tc>
      </w:tr>
      <w:tr w14:paraId="52774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17E2A6F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2C6F029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29EE9B4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5</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55EB87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N97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1EA536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A3B7A0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43</w:t>
            </w:r>
          </w:p>
        </w:tc>
      </w:tr>
      <w:tr w14:paraId="5199A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6124697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N39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5A06AF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B3D6CE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4</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ED8616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N98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1E3011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BD7B47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42</w:t>
            </w:r>
          </w:p>
        </w:tc>
      </w:tr>
      <w:tr w14:paraId="4C47E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3E0A285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N40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87B7C0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02D865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8</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0C4B128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N99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0713F5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47504D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5</w:t>
            </w:r>
          </w:p>
        </w:tc>
      </w:tr>
      <w:tr w14:paraId="7886E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649199F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N41</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2F7DB4A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8E8062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48</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E8988D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N100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356A02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r>
              <w:rPr>
                <w:rFonts w:hint="eastAsia" w:cs="Times New Roman"/>
                <w:i w:val="0"/>
                <w:iCs w:val="0"/>
                <w:color w:val="auto"/>
                <w:kern w:val="0"/>
                <w:sz w:val="21"/>
                <w:szCs w:val="21"/>
                <w:u w:val="none"/>
                <w:lang w:val="en-US" w:eastAsia="zh-CN" w:bidi="ar"/>
              </w:rPr>
              <w:t>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74C10A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42</w:t>
            </w:r>
          </w:p>
        </w:tc>
      </w:tr>
      <w:tr w14:paraId="6B6B5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6F9064B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N42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37914D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75F661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47</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077D741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N101</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D1A808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29FA8FA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43</w:t>
            </w:r>
          </w:p>
        </w:tc>
      </w:tr>
      <w:tr w14:paraId="58B85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02C58EC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N43</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F56D41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7BCB12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43</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CFDC83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N102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2B2D8D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859897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44</w:t>
            </w:r>
          </w:p>
        </w:tc>
      </w:tr>
      <w:tr w14:paraId="39E57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0A8E90F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N44</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2726B8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D04137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2</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1554B19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N103</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08A21C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F1E4ED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3</w:t>
            </w:r>
          </w:p>
        </w:tc>
      </w:tr>
      <w:tr w14:paraId="4C0E1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3823A93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N45</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CFE3FD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03E9FD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43</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0865A8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N104</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2541EAD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673C7B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46</w:t>
            </w:r>
          </w:p>
        </w:tc>
      </w:tr>
      <w:tr w14:paraId="6592B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6C1663C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N46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E1E5AD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D8D868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3</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79B74E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N105</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FDC00B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51</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07426A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47</w:t>
            </w:r>
          </w:p>
        </w:tc>
      </w:tr>
      <w:tr w14:paraId="2D4DD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03C57A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N47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2997E41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CAEA03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9</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01311DD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N106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4C6241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45</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B608D4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44</w:t>
            </w:r>
          </w:p>
        </w:tc>
      </w:tr>
      <w:tr w14:paraId="0C3B8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61D9F9B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N48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295727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43</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37B648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3</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517D6FB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N107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08C936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6E573F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46</w:t>
            </w:r>
          </w:p>
        </w:tc>
      </w:tr>
      <w:tr w14:paraId="7B9EA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31F1349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N49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DF0889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51</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67C8B2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4</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0472F4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N108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9A2E72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6310B4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47</w:t>
            </w:r>
          </w:p>
        </w:tc>
      </w:tr>
      <w:tr w14:paraId="4618D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165AD14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N50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09809A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97E0FD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44</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5810FB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N109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BB4898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5608BC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3</w:t>
            </w:r>
          </w:p>
        </w:tc>
      </w:tr>
      <w:tr w14:paraId="3AA3A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EAD720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N51</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2AF289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A9E5A2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43</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1C2995C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N110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75ED6C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0B1254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2</w:t>
            </w:r>
          </w:p>
        </w:tc>
      </w:tr>
      <w:tr w14:paraId="5476A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268FED0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N52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5E8D38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2608E5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44</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481AB53">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N111</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2C9552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6C9020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44</w:t>
            </w:r>
          </w:p>
        </w:tc>
      </w:tr>
      <w:tr w14:paraId="0B5BB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2EF296D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N53</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3C870E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239F4A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42</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95DF0DA">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N112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0F00E0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178CCF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44</w:t>
            </w:r>
          </w:p>
        </w:tc>
      </w:tr>
      <w:tr w14:paraId="48987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0282B8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N54</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EA5B01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4F9EB7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43</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32A11E7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N113</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74ADA1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B62453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46</w:t>
            </w:r>
          </w:p>
        </w:tc>
      </w:tr>
      <w:tr w14:paraId="7EA6D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56F4749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N55</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485E9C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86E2ABE">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44</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549D6FF7">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N114</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2411D81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D5469E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46</w:t>
            </w:r>
          </w:p>
        </w:tc>
      </w:tr>
      <w:tr w14:paraId="7F680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51ED337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N56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67802F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1B73DA5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5</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09DAACD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N115</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281E79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76FD4B89">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43</w:t>
            </w:r>
          </w:p>
        </w:tc>
      </w:tr>
      <w:tr w14:paraId="786BC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64B02CA1">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N57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94F1CC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5549A37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44</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240D6E5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N116</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D071F7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52</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EFE558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45</w:t>
            </w:r>
          </w:p>
        </w:tc>
      </w:tr>
      <w:tr w14:paraId="60AC5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57D0E860">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N58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65F308F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D7786EB">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43</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2BA15CB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N11</w:t>
            </w:r>
            <w:r>
              <w:rPr>
                <w:rFonts w:hint="eastAsia" w:ascii="Times New Roman" w:hAnsi="Times New Roman" w:eastAsia="宋体" w:cs="Times New Roman"/>
                <w:i w:val="0"/>
                <w:iCs w:val="0"/>
                <w:color w:val="auto"/>
                <w:kern w:val="0"/>
                <w:sz w:val="21"/>
                <w:szCs w:val="21"/>
                <w:u w:val="none"/>
                <w:lang w:val="en-US" w:eastAsia="zh-CN" w:bidi="ar"/>
              </w:rPr>
              <w:t>7</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862FD54">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62D5A6C">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46</w:t>
            </w:r>
          </w:p>
        </w:tc>
      </w:tr>
      <w:tr w14:paraId="6FD51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9" w:type="dxa"/>
            <w:tcBorders>
              <w:top w:val="single" w:color="000000" w:sz="4" w:space="0"/>
              <w:left w:val="single" w:color="000000" w:sz="4" w:space="0"/>
              <w:bottom w:val="single" w:color="000000" w:sz="4" w:space="0"/>
              <w:right w:val="single" w:color="000000" w:sz="4" w:space="0"/>
            </w:tcBorders>
            <w:noWrap w:val="0"/>
            <w:vAlign w:val="center"/>
          </w:tcPr>
          <w:p w14:paraId="1FE8BCB8">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w:t>
            </w:r>
            <w:r>
              <w:rPr>
                <w:rFonts w:hint="eastAsia" w:cs="Times New Roman"/>
                <w:i w:val="0"/>
                <w:iCs w:val="0"/>
                <w:color w:val="auto"/>
                <w:kern w:val="0"/>
                <w:sz w:val="21"/>
                <w:szCs w:val="21"/>
                <w:u w:val="none"/>
                <w:lang w:val="en-US" w:eastAsia="zh-CN" w:bidi="ar"/>
              </w:rPr>
              <w:t>59</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45DD6622">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48</w:t>
            </w: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3BCF6575">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40</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39CA5606">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2504106F">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529" w:type="dxa"/>
            <w:tcBorders>
              <w:top w:val="single" w:color="000000" w:sz="4" w:space="0"/>
              <w:left w:val="single" w:color="000000" w:sz="4" w:space="0"/>
              <w:bottom w:val="single" w:color="000000" w:sz="4" w:space="0"/>
              <w:right w:val="single" w:color="000000" w:sz="4" w:space="0"/>
            </w:tcBorders>
            <w:noWrap/>
            <w:vAlign w:val="center"/>
          </w:tcPr>
          <w:p w14:paraId="06EFCAED">
            <w:pPr>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bl>
    <w:p w14:paraId="1CB108F3">
      <w:pPr>
        <w:ind w:firstLine="471"/>
        <w:rPr>
          <w:rFonts w:hint="eastAsia"/>
          <w:color w:val="auto"/>
        </w:rPr>
      </w:pPr>
      <w:r>
        <w:rPr>
          <w:rFonts w:hint="eastAsia"/>
          <w:color w:val="auto"/>
        </w:rPr>
        <w:t>①区域声环境质量分布情况</w:t>
      </w:r>
    </w:p>
    <w:p w14:paraId="61E97C5F">
      <w:pPr>
        <w:ind w:firstLine="471"/>
        <w:rPr>
          <w:rFonts w:hint="eastAsia" w:eastAsia="黑体"/>
          <w:color w:val="auto"/>
          <w:highlight w:val="none"/>
          <w:lang w:eastAsia="zh-CN"/>
        </w:rPr>
        <w:sectPr>
          <w:pgSz w:w="11906" w:h="16838"/>
          <w:pgMar w:top="1440" w:right="1803" w:bottom="1440" w:left="1803" w:header="794" w:footer="992" w:gutter="0"/>
          <w:pgBorders>
            <w:top w:val="none" w:sz="0" w:space="0"/>
            <w:left w:val="none" w:sz="0" w:space="0"/>
            <w:bottom w:val="none" w:sz="0" w:space="0"/>
            <w:right w:val="none" w:sz="0" w:space="0"/>
          </w:pgBorders>
          <w:pgNumType w:fmt="numberInDash"/>
          <w:cols w:space="720" w:num="1"/>
          <w:rtlGutter w:val="0"/>
          <w:docGrid w:type="linesAndChars" w:linePitch="347" w:charSpace="-874"/>
        </w:sectPr>
      </w:pPr>
      <w:r>
        <w:rPr>
          <w:rFonts w:hint="eastAsia"/>
          <w:color w:val="auto"/>
        </w:rPr>
        <w:t>根据监测结果得到</w:t>
      </w:r>
      <w:r>
        <w:rPr>
          <w:rFonts w:hint="eastAsia"/>
          <w:color w:val="auto"/>
          <w:lang w:eastAsia="zh-CN"/>
        </w:rPr>
        <w:t>绥滨县中心城区</w:t>
      </w:r>
      <w:r>
        <w:rPr>
          <w:rFonts w:hint="eastAsia"/>
          <w:color w:val="auto"/>
        </w:rPr>
        <w:t>区域声环境现状分布图，如图3-3和3-4所示</w:t>
      </w:r>
      <w:r>
        <w:rPr>
          <w:rFonts w:hint="eastAsia"/>
          <w:color w:val="auto"/>
          <w:highlight w:val="none"/>
        </w:rPr>
        <w:t>。昼间区域噪声中满足1类环境噪声限值（即Leq≤55dB（A））的网格数为</w:t>
      </w:r>
      <w:r>
        <w:rPr>
          <w:rFonts w:hint="eastAsia"/>
          <w:color w:val="auto"/>
          <w:highlight w:val="none"/>
          <w:lang w:val="en-US" w:eastAsia="zh-CN"/>
        </w:rPr>
        <w:t>115</w:t>
      </w:r>
      <w:r>
        <w:rPr>
          <w:rFonts w:hint="eastAsia"/>
          <w:color w:val="auto"/>
          <w:highlight w:val="none"/>
        </w:rPr>
        <w:t>个，占总网格数的</w:t>
      </w:r>
      <w:r>
        <w:rPr>
          <w:rFonts w:hint="eastAsia"/>
          <w:color w:val="auto"/>
          <w:highlight w:val="none"/>
          <w:lang w:val="en-US" w:eastAsia="zh-CN"/>
        </w:rPr>
        <w:t>98.29</w:t>
      </w:r>
      <w:r>
        <w:rPr>
          <w:rFonts w:hint="eastAsia"/>
          <w:color w:val="auto"/>
          <w:highlight w:val="none"/>
        </w:rPr>
        <w:t>%；满足2类环境噪声限值（即55dB（A）＜Leq≤60dB（A））的网格数为</w:t>
      </w:r>
      <w:r>
        <w:rPr>
          <w:rFonts w:hint="eastAsia"/>
          <w:color w:val="auto"/>
          <w:highlight w:val="none"/>
          <w:lang w:val="en-US" w:eastAsia="zh-CN"/>
        </w:rPr>
        <w:t>2</w:t>
      </w:r>
      <w:r>
        <w:rPr>
          <w:rFonts w:hint="eastAsia"/>
          <w:color w:val="auto"/>
          <w:highlight w:val="none"/>
        </w:rPr>
        <w:t>个，占总网格数的</w:t>
      </w:r>
      <w:r>
        <w:rPr>
          <w:rFonts w:hint="eastAsia"/>
          <w:color w:val="auto"/>
          <w:highlight w:val="none"/>
          <w:lang w:val="en-US" w:eastAsia="zh-CN"/>
        </w:rPr>
        <w:t>1.71</w:t>
      </w:r>
      <w:r>
        <w:rPr>
          <w:rFonts w:hint="eastAsia"/>
          <w:color w:val="auto"/>
          <w:highlight w:val="none"/>
        </w:rPr>
        <w:t>%。昼间区域声环境质量主要为1类，个别区域</w:t>
      </w:r>
      <w:r>
        <w:rPr>
          <w:rFonts w:hint="eastAsia"/>
          <w:color w:val="auto"/>
          <w:highlight w:val="none"/>
          <w:lang w:eastAsia="zh-CN"/>
        </w:rPr>
        <w:t>达到</w:t>
      </w:r>
      <w:r>
        <w:rPr>
          <w:rFonts w:hint="eastAsia"/>
          <w:color w:val="auto"/>
          <w:highlight w:val="none"/>
        </w:rPr>
        <w:t>2类标准，总体区域声环境质量较好。夜间区域噪声中满足1类环境噪声限值（即Leq≤45dB（A））的网格数为</w:t>
      </w:r>
      <w:r>
        <w:rPr>
          <w:rFonts w:hint="eastAsia"/>
          <w:color w:val="auto"/>
          <w:highlight w:val="none"/>
          <w:lang w:val="en-US" w:eastAsia="zh-CN"/>
        </w:rPr>
        <w:t>83</w:t>
      </w:r>
      <w:r>
        <w:rPr>
          <w:rFonts w:hint="eastAsia"/>
          <w:color w:val="auto"/>
          <w:highlight w:val="none"/>
        </w:rPr>
        <w:t>个，占总网格数的</w:t>
      </w:r>
      <w:r>
        <w:rPr>
          <w:rFonts w:hint="eastAsia"/>
          <w:color w:val="auto"/>
          <w:highlight w:val="none"/>
          <w:lang w:val="en-US" w:eastAsia="zh-CN"/>
        </w:rPr>
        <w:t>70.94</w:t>
      </w:r>
      <w:r>
        <w:rPr>
          <w:rFonts w:hint="eastAsia"/>
          <w:color w:val="auto"/>
          <w:highlight w:val="none"/>
        </w:rPr>
        <w:t>%</w:t>
      </w:r>
      <w:r>
        <w:rPr>
          <w:rFonts w:hint="eastAsia"/>
          <w:color w:val="auto"/>
          <w:highlight w:val="none"/>
          <w:lang w:eastAsia="zh-CN"/>
        </w:rPr>
        <w:t>；</w:t>
      </w:r>
      <w:r>
        <w:rPr>
          <w:rFonts w:hint="eastAsia"/>
          <w:color w:val="auto"/>
          <w:highlight w:val="none"/>
        </w:rPr>
        <w:t>夜间区域噪声中满足</w:t>
      </w:r>
      <w:r>
        <w:rPr>
          <w:rFonts w:hint="eastAsia"/>
          <w:color w:val="auto"/>
          <w:highlight w:val="none"/>
          <w:lang w:val="en-US" w:eastAsia="zh-CN"/>
        </w:rPr>
        <w:t>2</w:t>
      </w:r>
      <w:r>
        <w:rPr>
          <w:rFonts w:hint="eastAsia"/>
          <w:color w:val="auto"/>
          <w:highlight w:val="none"/>
        </w:rPr>
        <w:t>类环境噪声限值（即</w:t>
      </w:r>
      <w:r>
        <w:rPr>
          <w:rFonts w:hint="eastAsia"/>
          <w:color w:val="auto"/>
          <w:highlight w:val="none"/>
          <w:lang w:val="en-US" w:eastAsia="zh-CN"/>
        </w:rPr>
        <w:t>45</w:t>
      </w:r>
      <w:r>
        <w:rPr>
          <w:rFonts w:hint="eastAsia"/>
          <w:color w:val="auto"/>
          <w:highlight w:val="none"/>
        </w:rPr>
        <w:t>dB（A）＜Leq≤</w:t>
      </w:r>
      <w:r>
        <w:rPr>
          <w:rFonts w:hint="eastAsia"/>
          <w:color w:val="auto"/>
          <w:highlight w:val="none"/>
          <w:lang w:val="en-US" w:eastAsia="zh-CN"/>
        </w:rPr>
        <w:t>5</w:t>
      </w:r>
      <w:r>
        <w:rPr>
          <w:rFonts w:hint="eastAsia"/>
          <w:color w:val="auto"/>
          <w:highlight w:val="none"/>
        </w:rPr>
        <w:t>0dB（A））的网格数为</w:t>
      </w:r>
      <w:r>
        <w:rPr>
          <w:rFonts w:hint="eastAsia"/>
          <w:color w:val="auto"/>
          <w:highlight w:val="none"/>
          <w:lang w:val="en-US" w:eastAsia="zh-CN"/>
        </w:rPr>
        <w:t>34</w:t>
      </w:r>
      <w:r>
        <w:rPr>
          <w:rFonts w:hint="eastAsia"/>
          <w:color w:val="auto"/>
          <w:highlight w:val="none"/>
        </w:rPr>
        <w:t>个，占总网格数的</w:t>
      </w:r>
      <w:r>
        <w:rPr>
          <w:rFonts w:hint="eastAsia"/>
          <w:color w:val="auto"/>
          <w:highlight w:val="none"/>
          <w:lang w:val="en-US" w:eastAsia="zh-CN"/>
        </w:rPr>
        <w:t>29.06</w:t>
      </w:r>
      <w:r>
        <w:rPr>
          <w:rFonts w:hint="eastAsia"/>
          <w:color w:val="auto"/>
          <w:highlight w:val="none"/>
        </w:rPr>
        <w:t>%</w:t>
      </w:r>
      <w:r>
        <w:rPr>
          <w:rFonts w:hint="eastAsia"/>
          <w:color w:val="auto"/>
          <w:highlight w:val="none"/>
          <w:lang w:eastAsia="zh-CN"/>
        </w:rPr>
        <w:t>；</w:t>
      </w:r>
      <w:r>
        <w:rPr>
          <w:rFonts w:hint="eastAsia"/>
          <w:color w:val="auto"/>
          <w:highlight w:val="none"/>
        </w:rPr>
        <w:t>夜间区域声环境质量主要为</w:t>
      </w:r>
      <w:r>
        <w:rPr>
          <w:rFonts w:hint="eastAsia"/>
          <w:color w:val="auto"/>
          <w:highlight w:val="none"/>
          <w:lang w:val="en-US" w:eastAsia="zh-CN"/>
        </w:rPr>
        <w:t>1</w:t>
      </w:r>
      <w:r>
        <w:rPr>
          <w:rFonts w:hint="eastAsia"/>
          <w:color w:val="auto"/>
          <w:highlight w:val="none"/>
        </w:rPr>
        <w:t>类</w:t>
      </w:r>
      <w:r>
        <w:rPr>
          <w:rFonts w:hint="eastAsia"/>
          <w:color w:val="auto"/>
          <w:highlight w:val="none"/>
          <w:lang w:eastAsia="zh-CN"/>
        </w:rPr>
        <w:t>，</w:t>
      </w:r>
      <w:r>
        <w:rPr>
          <w:rFonts w:hint="eastAsia"/>
          <w:color w:val="auto"/>
          <w:highlight w:val="none"/>
        </w:rPr>
        <w:t>个别区域</w:t>
      </w:r>
      <w:r>
        <w:rPr>
          <w:rFonts w:hint="eastAsia"/>
          <w:color w:val="auto"/>
          <w:highlight w:val="none"/>
          <w:lang w:eastAsia="zh-CN"/>
        </w:rPr>
        <w:t>达到</w:t>
      </w:r>
      <w:r>
        <w:rPr>
          <w:rFonts w:hint="eastAsia"/>
          <w:color w:val="auto"/>
          <w:highlight w:val="none"/>
          <w:lang w:val="en-US" w:eastAsia="zh-CN"/>
        </w:rPr>
        <w:t>2</w:t>
      </w:r>
      <w:r>
        <w:rPr>
          <w:rFonts w:hint="eastAsia"/>
          <w:color w:val="auto"/>
          <w:highlight w:val="none"/>
        </w:rPr>
        <w:t>类标准，总体区域声环境质量较好。</w:t>
      </w:r>
    </w:p>
    <w:p w14:paraId="644DA98B">
      <w:pPr>
        <w:pStyle w:val="31"/>
        <w:rPr>
          <w:rFonts w:hint="eastAsia" w:eastAsia="黑体"/>
          <w:color w:val="auto"/>
          <w:highlight w:val="none"/>
          <w:lang w:eastAsia="zh-CN"/>
        </w:rPr>
      </w:pPr>
      <w:r>
        <w:rPr>
          <w:rFonts w:hint="eastAsia" w:eastAsia="黑体"/>
          <w:color w:val="auto"/>
          <w:highlight w:val="none"/>
          <w:lang w:eastAsia="zh-CN"/>
        </w:rPr>
        <w:drawing>
          <wp:inline distT="0" distB="0" distL="114300" distR="114300">
            <wp:extent cx="8859520" cy="4553585"/>
            <wp:effectExtent l="0" t="0" r="10160" b="3175"/>
            <wp:docPr id="7" name="图片 7" descr="82a2f42ffa0b9fe374bb560d4f16c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82a2f42ffa0b9fe374bb560d4f16c995"/>
                    <pic:cNvPicPr>
                      <a:picLocks noChangeAspect="1"/>
                    </pic:cNvPicPr>
                  </pic:nvPicPr>
                  <pic:blipFill>
                    <a:blip r:embed="rId21"/>
                    <a:stretch>
                      <a:fillRect/>
                    </a:stretch>
                  </pic:blipFill>
                  <pic:spPr>
                    <a:xfrm>
                      <a:off x="0" y="0"/>
                      <a:ext cx="8859520" cy="4553585"/>
                    </a:xfrm>
                    <a:prstGeom prst="rect">
                      <a:avLst/>
                    </a:prstGeom>
                  </pic:spPr>
                </pic:pic>
              </a:graphicData>
            </a:graphic>
          </wp:inline>
        </w:drawing>
      </w:r>
    </w:p>
    <w:p w14:paraId="57DFE2A6">
      <w:pPr>
        <w:pStyle w:val="31"/>
        <w:rPr>
          <w:rFonts w:hint="eastAsia"/>
          <w:color w:val="auto"/>
          <w:highlight w:val="none"/>
        </w:rPr>
      </w:pPr>
      <w:r>
        <w:rPr>
          <w:rFonts w:hint="eastAsia"/>
          <w:color w:val="auto"/>
          <w:highlight w:val="none"/>
        </w:rPr>
        <w:t>图3-3</w:t>
      </w:r>
      <w:r>
        <w:rPr>
          <w:rFonts w:hint="eastAsia"/>
          <w:color w:val="auto"/>
          <w:highlight w:val="none"/>
          <w:lang w:val="en-US" w:eastAsia="zh-CN"/>
        </w:rPr>
        <w:t xml:space="preserve">  </w:t>
      </w:r>
      <w:r>
        <w:rPr>
          <w:rFonts w:hint="eastAsia"/>
          <w:color w:val="auto"/>
          <w:highlight w:val="none"/>
          <w:lang w:eastAsia="zh-CN"/>
        </w:rPr>
        <w:t>绥滨县中心城区</w:t>
      </w:r>
      <w:r>
        <w:rPr>
          <w:rFonts w:hint="eastAsia"/>
          <w:color w:val="auto"/>
          <w:highlight w:val="none"/>
        </w:rPr>
        <w:t>区域声环境质量现状图</w:t>
      </w:r>
      <w:r>
        <w:rPr>
          <w:rFonts w:hint="eastAsia"/>
          <w:color w:val="auto"/>
          <w:highlight w:val="none"/>
          <w:lang w:eastAsia="zh-CN"/>
        </w:rPr>
        <w:t>（</w:t>
      </w:r>
      <w:r>
        <w:rPr>
          <w:rFonts w:hint="eastAsia"/>
          <w:color w:val="auto"/>
          <w:highlight w:val="none"/>
        </w:rPr>
        <w:t>昼间</w:t>
      </w:r>
      <w:r>
        <w:rPr>
          <w:rFonts w:hint="eastAsia"/>
          <w:color w:val="auto"/>
          <w:highlight w:val="none"/>
          <w:lang w:eastAsia="zh-CN"/>
        </w:rPr>
        <w:t>）</w:t>
      </w:r>
    </w:p>
    <w:p w14:paraId="776F38F5">
      <w:pPr>
        <w:pStyle w:val="31"/>
        <w:jc w:val="center"/>
        <w:rPr>
          <w:rFonts w:hint="eastAsia" w:eastAsia="黑体"/>
          <w:color w:val="auto"/>
          <w:lang w:eastAsia="zh-CN"/>
        </w:rPr>
      </w:pPr>
      <w:r>
        <w:rPr>
          <w:rFonts w:hint="eastAsia" w:eastAsia="黑体"/>
          <w:color w:val="auto"/>
          <w:lang w:eastAsia="zh-CN"/>
        </w:rPr>
        <w:drawing>
          <wp:inline distT="0" distB="0" distL="114300" distR="114300">
            <wp:extent cx="8859520" cy="4553585"/>
            <wp:effectExtent l="0" t="0" r="10160" b="3175"/>
            <wp:docPr id="4" name="图片 4" descr="8cc4f2494f8effae4d7ad2d59faabf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8cc4f2494f8effae4d7ad2d59faabfad"/>
                    <pic:cNvPicPr>
                      <a:picLocks noChangeAspect="1"/>
                    </pic:cNvPicPr>
                  </pic:nvPicPr>
                  <pic:blipFill>
                    <a:blip r:embed="rId22"/>
                    <a:stretch>
                      <a:fillRect/>
                    </a:stretch>
                  </pic:blipFill>
                  <pic:spPr>
                    <a:xfrm>
                      <a:off x="0" y="0"/>
                      <a:ext cx="8859520" cy="4553585"/>
                    </a:xfrm>
                    <a:prstGeom prst="rect">
                      <a:avLst/>
                    </a:prstGeom>
                  </pic:spPr>
                </pic:pic>
              </a:graphicData>
            </a:graphic>
          </wp:inline>
        </w:drawing>
      </w:r>
    </w:p>
    <w:p w14:paraId="3A4110F6">
      <w:pPr>
        <w:pStyle w:val="31"/>
        <w:rPr>
          <w:rFonts w:hint="eastAsia"/>
          <w:color w:val="auto"/>
          <w:highlight w:val="none"/>
        </w:rPr>
      </w:pPr>
      <w:r>
        <w:rPr>
          <w:rFonts w:hint="eastAsia"/>
          <w:color w:val="auto"/>
          <w:highlight w:val="none"/>
        </w:rPr>
        <w:t>图3-4</w:t>
      </w:r>
      <w:r>
        <w:rPr>
          <w:rFonts w:hint="eastAsia"/>
          <w:color w:val="auto"/>
          <w:highlight w:val="none"/>
          <w:lang w:val="en-US" w:eastAsia="zh-CN"/>
        </w:rPr>
        <w:t xml:space="preserve">  </w:t>
      </w:r>
      <w:r>
        <w:rPr>
          <w:rFonts w:hint="eastAsia"/>
          <w:color w:val="auto"/>
          <w:highlight w:val="none"/>
          <w:lang w:eastAsia="zh-CN"/>
        </w:rPr>
        <w:t>绥滨县中心城区</w:t>
      </w:r>
      <w:r>
        <w:rPr>
          <w:rFonts w:hint="eastAsia"/>
          <w:color w:val="auto"/>
          <w:highlight w:val="none"/>
        </w:rPr>
        <w:t>区域声环境质量现状图</w:t>
      </w:r>
      <w:r>
        <w:rPr>
          <w:rFonts w:hint="eastAsia"/>
          <w:color w:val="auto"/>
          <w:highlight w:val="none"/>
          <w:lang w:eastAsia="zh-CN"/>
        </w:rPr>
        <w:t>（</w:t>
      </w:r>
      <w:r>
        <w:rPr>
          <w:rFonts w:hint="eastAsia"/>
          <w:color w:val="auto"/>
          <w:highlight w:val="none"/>
        </w:rPr>
        <w:t>夜间</w:t>
      </w:r>
      <w:r>
        <w:rPr>
          <w:rFonts w:hint="eastAsia"/>
          <w:color w:val="auto"/>
          <w:highlight w:val="none"/>
          <w:lang w:eastAsia="zh-CN"/>
        </w:rPr>
        <w:t>）</w:t>
      </w:r>
    </w:p>
    <w:p w14:paraId="5919EE7E">
      <w:pPr>
        <w:pStyle w:val="31"/>
        <w:rPr>
          <w:rFonts w:hint="eastAsia"/>
          <w:color w:val="auto"/>
          <w:highlight w:val="yellow"/>
        </w:rPr>
        <w:sectPr>
          <w:pgSz w:w="16838" w:h="11906" w:orient="landscape"/>
          <w:pgMar w:top="1803" w:right="1440" w:bottom="1803" w:left="1440" w:header="794" w:footer="992" w:gutter="0"/>
          <w:pgBorders>
            <w:top w:val="none" w:sz="0" w:space="0"/>
            <w:left w:val="none" w:sz="0" w:space="0"/>
            <w:bottom w:val="none" w:sz="0" w:space="0"/>
            <w:right w:val="none" w:sz="0" w:space="0"/>
          </w:pgBorders>
          <w:pgNumType w:fmt="numberInDash"/>
          <w:cols w:space="0" w:num="1"/>
          <w:rtlGutter w:val="0"/>
          <w:docGrid w:type="linesAndChars" w:linePitch="360" w:charSpace="-874"/>
        </w:sectPr>
      </w:pPr>
    </w:p>
    <w:p w14:paraId="3D8FA010">
      <w:pPr>
        <w:ind w:firstLine="471"/>
        <w:rPr>
          <w:rFonts w:hint="eastAsia"/>
          <w:color w:val="auto"/>
        </w:rPr>
      </w:pPr>
      <w:r>
        <w:rPr>
          <w:rFonts w:hint="eastAsia"/>
          <w:color w:val="auto"/>
        </w:rPr>
        <w:t>②区域声环境质量评价</w:t>
      </w:r>
    </w:p>
    <w:p w14:paraId="4A24A19F">
      <w:pPr>
        <w:ind w:firstLine="471"/>
        <w:rPr>
          <w:rFonts w:hint="eastAsia"/>
          <w:color w:val="auto"/>
        </w:rPr>
      </w:pPr>
      <w:r>
        <w:rPr>
          <w:rFonts w:hint="eastAsia"/>
          <w:color w:val="auto"/>
        </w:rPr>
        <w:t>将</w:t>
      </w:r>
      <w:r>
        <w:rPr>
          <w:rFonts w:hint="eastAsia"/>
          <w:color w:val="auto"/>
          <w:lang w:eastAsia="zh-CN"/>
        </w:rPr>
        <w:t>绥滨县中心城区</w:t>
      </w:r>
      <w:r>
        <w:rPr>
          <w:rFonts w:hint="eastAsia"/>
          <w:color w:val="auto"/>
        </w:rPr>
        <w:t>全部网格测得的昼间和夜间的等效声级按如下公式进行</w:t>
      </w:r>
      <w:r>
        <w:rPr>
          <w:rFonts w:hint="eastAsia"/>
          <w:color w:val="auto"/>
          <w:lang w:eastAsia="zh-CN"/>
        </w:rPr>
        <w:t>算术平均</w:t>
      </w:r>
      <w:r>
        <w:rPr>
          <w:rFonts w:hint="eastAsia"/>
          <w:color w:val="auto"/>
        </w:rPr>
        <w:t>运算，所得到的昼间平均值L</w:t>
      </w:r>
      <w:r>
        <w:rPr>
          <w:rFonts w:hint="eastAsia"/>
          <w:color w:val="auto"/>
          <w:vertAlign w:val="subscript"/>
        </w:rPr>
        <w:t>d</w:t>
      </w:r>
      <w:r>
        <w:rPr>
          <w:rFonts w:hint="eastAsia"/>
          <w:color w:val="auto"/>
        </w:rPr>
        <w:t>和夜间平均值L</w:t>
      </w:r>
      <w:r>
        <w:rPr>
          <w:rFonts w:hint="eastAsia"/>
          <w:color w:val="auto"/>
          <w:vertAlign w:val="subscript"/>
        </w:rPr>
        <w:t>n</w:t>
      </w:r>
      <w:r>
        <w:rPr>
          <w:rFonts w:hint="eastAsia"/>
          <w:color w:val="auto"/>
        </w:rPr>
        <w:t>，分别代表</w:t>
      </w:r>
      <w:r>
        <w:rPr>
          <w:rFonts w:hint="eastAsia"/>
          <w:color w:val="auto"/>
          <w:lang w:eastAsia="zh-CN"/>
        </w:rPr>
        <w:t>绥滨县中心城区</w:t>
      </w:r>
      <w:r>
        <w:rPr>
          <w:rFonts w:hint="eastAsia"/>
          <w:color w:val="auto"/>
        </w:rPr>
        <w:t>昼间和夜间的声环境质量的总体水平。并按表3-2判断</w:t>
      </w:r>
      <w:r>
        <w:rPr>
          <w:rFonts w:hint="eastAsia"/>
          <w:color w:val="auto"/>
          <w:lang w:eastAsia="zh-CN"/>
        </w:rPr>
        <w:t>绥滨县中心城区</w:t>
      </w:r>
      <w:r>
        <w:rPr>
          <w:rFonts w:hint="eastAsia"/>
          <w:color w:val="auto"/>
        </w:rPr>
        <w:t>昼间和夜间的声环境质量的等级。</w:t>
      </w:r>
    </w:p>
    <w:p w14:paraId="2598C488">
      <w:pPr>
        <w:pStyle w:val="31"/>
        <w:rPr>
          <w:rFonts w:hint="eastAsia"/>
          <w:color w:val="auto"/>
        </w:rPr>
      </w:pPr>
      <w:r>
        <w:rPr>
          <w:color w:val="auto"/>
        </w:rPr>
        <w:drawing>
          <wp:inline distT="0" distB="0" distL="114300" distR="114300">
            <wp:extent cx="1266825" cy="562610"/>
            <wp:effectExtent l="0" t="0" r="13335" b="127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23"/>
                    <a:stretch>
                      <a:fillRect/>
                    </a:stretch>
                  </pic:blipFill>
                  <pic:spPr>
                    <a:xfrm>
                      <a:off x="0" y="0"/>
                      <a:ext cx="1266825" cy="562610"/>
                    </a:xfrm>
                    <a:prstGeom prst="rect">
                      <a:avLst/>
                    </a:prstGeom>
                    <a:noFill/>
                    <a:ln>
                      <a:noFill/>
                    </a:ln>
                  </pic:spPr>
                </pic:pic>
              </a:graphicData>
            </a:graphic>
          </wp:inline>
        </w:drawing>
      </w:r>
    </w:p>
    <w:p w14:paraId="715B2460">
      <w:pPr>
        <w:pStyle w:val="31"/>
        <w:rPr>
          <w:rFonts w:hint="eastAsia"/>
          <w:color w:val="auto"/>
        </w:rPr>
      </w:pPr>
      <w:r>
        <w:rPr>
          <w:rFonts w:hint="eastAsia"/>
          <w:color w:val="auto"/>
        </w:rPr>
        <w:t>表3-2</w:t>
      </w:r>
      <w:r>
        <w:rPr>
          <w:rFonts w:hint="eastAsia"/>
          <w:color w:val="auto"/>
          <w:lang w:val="en-US" w:eastAsia="zh-CN"/>
        </w:rPr>
        <w:t xml:space="preserve">  </w:t>
      </w:r>
      <w:r>
        <w:rPr>
          <w:rFonts w:hint="eastAsia"/>
          <w:color w:val="auto"/>
        </w:rPr>
        <w:t>城市区域环境噪声总体水平等级划分（单位：dB（A））</w:t>
      </w:r>
    </w:p>
    <w:tbl>
      <w:tblPr>
        <w:tblStyle w:val="19"/>
        <w:tblW w:w="5002"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478"/>
        <w:gridCol w:w="1281"/>
        <w:gridCol w:w="1138"/>
        <w:gridCol w:w="1138"/>
        <w:gridCol w:w="1138"/>
        <w:gridCol w:w="1140"/>
      </w:tblGrid>
      <w:tr w14:paraId="0A117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490" w:type="pct"/>
            <w:noWrap w:val="0"/>
            <w:vAlign w:val="center"/>
          </w:tcPr>
          <w:p w14:paraId="12F6A7B2">
            <w:pPr>
              <w:pStyle w:val="3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等级</w:t>
            </w:r>
          </w:p>
        </w:tc>
        <w:tc>
          <w:tcPr>
            <w:tcW w:w="770" w:type="pct"/>
            <w:noWrap w:val="0"/>
            <w:vAlign w:val="center"/>
          </w:tcPr>
          <w:p w14:paraId="29D53F13">
            <w:pPr>
              <w:pStyle w:val="3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一级</w:t>
            </w:r>
          </w:p>
        </w:tc>
        <w:tc>
          <w:tcPr>
            <w:tcW w:w="684" w:type="pct"/>
            <w:noWrap w:val="0"/>
            <w:vAlign w:val="center"/>
          </w:tcPr>
          <w:p w14:paraId="382B06AD">
            <w:pPr>
              <w:pStyle w:val="3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二级</w:t>
            </w:r>
          </w:p>
        </w:tc>
        <w:tc>
          <w:tcPr>
            <w:tcW w:w="684" w:type="pct"/>
            <w:noWrap w:val="0"/>
            <w:vAlign w:val="center"/>
          </w:tcPr>
          <w:p w14:paraId="2C85A88B">
            <w:pPr>
              <w:pStyle w:val="3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三级</w:t>
            </w:r>
          </w:p>
        </w:tc>
        <w:tc>
          <w:tcPr>
            <w:tcW w:w="684" w:type="pct"/>
            <w:noWrap w:val="0"/>
            <w:vAlign w:val="center"/>
          </w:tcPr>
          <w:p w14:paraId="1D89C087">
            <w:pPr>
              <w:pStyle w:val="3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四级</w:t>
            </w:r>
          </w:p>
        </w:tc>
        <w:tc>
          <w:tcPr>
            <w:tcW w:w="685" w:type="pct"/>
            <w:noWrap w:val="0"/>
            <w:vAlign w:val="center"/>
          </w:tcPr>
          <w:p w14:paraId="523B22F7">
            <w:pPr>
              <w:pStyle w:val="3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五级</w:t>
            </w:r>
          </w:p>
        </w:tc>
      </w:tr>
      <w:tr w14:paraId="0ACAE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490" w:type="pct"/>
            <w:noWrap w:val="0"/>
            <w:vAlign w:val="center"/>
          </w:tcPr>
          <w:p w14:paraId="1CAFF6FB">
            <w:pPr>
              <w:spacing w:line="240" w:lineRule="auto"/>
              <w:ind w:firstLine="0" w:firstLineChars="0"/>
              <w:jc w:val="center"/>
              <w:rPr>
                <w:rFonts w:ascii="宋体" w:hAnsi="宋体" w:cs="宋体"/>
                <w:color w:val="auto"/>
                <w:kern w:val="21"/>
                <w:sz w:val="21"/>
                <w:szCs w:val="21"/>
              </w:rPr>
            </w:pPr>
            <w:r>
              <w:rPr>
                <w:rFonts w:ascii="宋体" w:hAnsi="宋体" w:cs="宋体"/>
                <w:color w:val="auto"/>
                <w:kern w:val="21"/>
                <w:sz w:val="21"/>
                <w:szCs w:val="21"/>
              </w:rPr>
              <w:t>昼间平均等效声级（</w:t>
            </w:r>
            <w:r>
              <w:rPr>
                <w:rFonts w:eastAsia="Times New Roman"/>
                <w:i/>
                <w:iCs/>
                <w:color w:val="auto"/>
                <w:kern w:val="21"/>
                <w:sz w:val="23"/>
                <w:szCs w:val="23"/>
              </w:rPr>
              <w:t>S</w:t>
            </w:r>
            <w:r>
              <w:rPr>
                <w:rFonts w:eastAsia="Times New Roman"/>
                <w:i/>
                <w:iCs/>
                <w:color w:val="auto"/>
                <w:kern w:val="21"/>
                <w:sz w:val="14"/>
                <w:szCs w:val="14"/>
              </w:rPr>
              <w:t>d</w:t>
            </w:r>
            <w:r>
              <w:rPr>
                <w:rFonts w:ascii="宋体" w:hAnsi="宋体" w:cs="宋体"/>
                <w:color w:val="auto"/>
                <w:kern w:val="21"/>
                <w:sz w:val="21"/>
                <w:szCs w:val="21"/>
              </w:rPr>
              <w:t>）</w:t>
            </w:r>
          </w:p>
        </w:tc>
        <w:tc>
          <w:tcPr>
            <w:tcW w:w="770" w:type="pct"/>
            <w:noWrap w:val="0"/>
            <w:vAlign w:val="center"/>
          </w:tcPr>
          <w:p w14:paraId="0A085161">
            <w:pPr>
              <w:spacing w:line="240" w:lineRule="auto"/>
              <w:ind w:firstLine="0" w:firstLineChars="0"/>
              <w:jc w:val="center"/>
              <w:rPr>
                <w:rFonts w:eastAsia="Times New Roman"/>
                <w:color w:val="auto"/>
                <w:kern w:val="21"/>
                <w:sz w:val="21"/>
                <w:szCs w:val="21"/>
              </w:rPr>
            </w:pPr>
            <w:r>
              <w:rPr>
                <w:rFonts w:hint="eastAsia" w:ascii="宋体" w:hAnsi="宋体" w:cs="宋体"/>
                <w:color w:val="auto"/>
                <w:kern w:val="21"/>
                <w:sz w:val="21"/>
                <w:szCs w:val="21"/>
              </w:rPr>
              <w:t>≤</w:t>
            </w:r>
            <w:r>
              <w:rPr>
                <w:rFonts w:eastAsia="Times New Roman"/>
                <w:color w:val="auto"/>
                <w:kern w:val="21"/>
                <w:sz w:val="21"/>
                <w:szCs w:val="21"/>
              </w:rPr>
              <w:t>50.0</w:t>
            </w:r>
          </w:p>
        </w:tc>
        <w:tc>
          <w:tcPr>
            <w:tcW w:w="684" w:type="pct"/>
            <w:noWrap w:val="0"/>
            <w:vAlign w:val="center"/>
          </w:tcPr>
          <w:p w14:paraId="0E3949F8">
            <w:pPr>
              <w:spacing w:line="240" w:lineRule="auto"/>
              <w:ind w:firstLine="0" w:firstLineChars="0"/>
              <w:jc w:val="center"/>
              <w:rPr>
                <w:rFonts w:eastAsia="Times New Roman"/>
                <w:color w:val="auto"/>
                <w:kern w:val="21"/>
                <w:sz w:val="21"/>
                <w:szCs w:val="21"/>
              </w:rPr>
            </w:pPr>
            <w:r>
              <w:rPr>
                <w:rFonts w:eastAsia="Times New Roman"/>
                <w:color w:val="auto"/>
                <w:kern w:val="21"/>
                <w:sz w:val="21"/>
                <w:szCs w:val="21"/>
              </w:rPr>
              <w:t>50.1</w:t>
            </w:r>
            <w:r>
              <w:rPr>
                <w:rFonts w:hint="eastAsia" w:ascii="宋体" w:hAnsi="宋体" w:cs="宋体"/>
                <w:color w:val="auto"/>
                <w:kern w:val="21"/>
                <w:sz w:val="21"/>
                <w:szCs w:val="21"/>
              </w:rPr>
              <w:t>～</w:t>
            </w:r>
            <w:r>
              <w:rPr>
                <w:rFonts w:eastAsia="Times New Roman"/>
                <w:color w:val="auto"/>
                <w:kern w:val="21"/>
                <w:sz w:val="21"/>
                <w:szCs w:val="21"/>
              </w:rPr>
              <w:t>55.0</w:t>
            </w:r>
          </w:p>
        </w:tc>
        <w:tc>
          <w:tcPr>
            <w:tcW w:w="684" w:type="pct"/>
            <w:noWrap w:val="0"/>
            <w:vAlign w:val="center"/>
          </w:tcPr>
          <w:p w14:paraId="3F647AB0">
            <w:pPr>
              <w:spacing w:line="240" w:lineRule="auto"/>
              <w:ind w:firstLine="0" w:firstLineChars="0"/>
              <w:jc w:val="center"/>
              <w:rPr>
                <w:rFonts w:eastAsia="Times New Roman"/>
                <w:color w:val="auto"/>
                <w:kern w:val="21"/>
                <w:sz w:val="21"/>
                <w:szCs w:val="21"/>
              </w:rPr>
            </w:pPr>
            <w:r>
              <w:rPr>
                <w:rFonts w:eastAsia="Times New Roman"/>
                <w:color w:val="auto"/>
                <w:kern w:val="21"/>
                <w:sz w:val="21"/>
                <w:szCs w:val="21"/>
              </w:rPr>
              <w:t>55.1</w:t>
            </w:r>
            <w:r>
              <w:rPr>
                <w:rFonts w:hint="eastAsia" w:ascii="宋体" w:hAnsi="宋体" w:cs="宋体"/>
                <w:color w:val="auto"/>
                <w:kern w:val="21"/>
                <w:sz w:val="21"/>
                <w:szCs w:val="21"/>
              </w:rPr>
              <w:t>～</w:t>
            </w:r>
            <w:r>
              <w:rPr>
                <w:rFonts w:eastAsia="Times New Roman"/>
                <w:color w:val="auto"/>
                <w:kern w:val="21"/>
                <w:sz w:val="21"/>
                <w:szCs w:val="21"/>
              </w:rPr>
              <w:t>60.0</w:t>
            </w:r>
          </w:p>
        </w:tc>
        <w:tc>
          <w:tcPr>
            <w:tcW w:w="684" w:type="pct"/>
            <w:noWrap w:val="0"/>
            <w:vAlign w:val="center"/>
          </w:tcPr>
          <w:p w14:paraId="02ECC8FB">
            <w:pPr>
              <w:spacing w:line="240" w:lineRule="auto"/>
              <w:ind w:firstLine="0" w:firstLineChars="0"/>
              <w:jc w:val="center"/>
              <w:rPr>
                <w:rFonts w:eastAsia="Times New Roman"/>
                <w:color w:val="auto"/>
                <w:kern w:val="21"/>
                <w:sz w:val="21"/>
                <w:szCs w:val="21"/>
              </w:rPr>
            </w:pPr>
            <w:r>
              <w:rPr>
                <w:rFonts w:eastAsia="Times New Roman"/>
                <w:color w:val="auto"/>
                <w:kern w:val="21"/>
                <w:sz w:val="21"/>
                <w:szCs w:val="21"/>
              </w:rPr>
              <w:t>60.1</w:t>
            </w:r>
            <w:r>
              <w:rPr>
                <w:rFonts w:hint="eastAsia" w:ascii="宋体" w:hAnsi="宋体" w:cs="宋体"/>
                <w:color w:val="auto"/>
                <w:kern w:val="21"/>
                <w:sz w:val="21"/>
                <w:szCs w:val="21"/>
              </w:rPr>
              <w:t>～</w:t>
            </w:r>
            <w:r>
              <w:rPr>
                <w:rFonts w:eastAsia="Times New Roman"/>
                <w:color w:val="auto"/>
                <w:kern w:val="21"/>
                <w:sz w:val="21"/>
                <w:szCs w:val="21"/>
              </w:rPr>
              <w:t>65.0</w:t>
            </w:r>
          </w:p>
        </w:tc>
        <w:tc>
          <w:tcPr>
            <w:tcW w:w="685" w:type="pct"/>
            <w:noWrap w:val="0"/>
            <w:vAlign w:val="center"/>
          </w:tcPr>
          <w:p w14:paraId="3C323515">
            <w:pPr>
              <w:spacing w:line="240" w:lineRule="auto"/>
              <w:ind w:firstLine="0" w:firstLineChars="0"/>
              <w:jc w:val="center"/>
              <w:rPr>
                <w:rFonts w:eastAsia="Times New Roman"/>
                <w:color w:val="auto"/>
                <w:kern w:val="21"/>
                <w:sz w:val="21"/>
                <w:szCs w:val="21"/>
              </w:rPr>
            </w:pPr>
            <w:r>
              <w:rPr>
                <w:rFonts w:ascii="宋体" w:hAnsi="宋体" w:cs="宋体"/>
                <w:color w:val="auto"/>
                <w:kern w:val="21"/>
                <w:sz w:val="21"/>
                <w:szCs w:val="21"/>
              </w:rPr>
              <w:t>＞</w:t>
            </w:r>
            <w:r>
              <w:rPr>
                <w:rFonts w:eastAsia="Times New Roman"/>
                <w:color w:val="auto"/>
                <w:kern w:val="21"/>
                <w:sz w:val="21"/>
                <w:szCs w:val="21"/>
              </w:rPr>
              <w:t>65.0</w:t>
            </w:r>
          </w:p>
        </w:tc>
      </w:tr>
      <w:tr w14:paraId="3B4CC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490" w:type="pct"/>
            <w:noWrap w:val="0"/>
            <w:vAlign w:val="center"/>
          </w:tcPr>
          <w:p w14:paraId="401BF3F7">
            <w:pPr>
              <w:spacing w:line="240" w:lineRule="auto"/>
              <w:ind w:firstLine="0" w:firstLineChars="0"/>
              <w:jc w:val="center"/>
              <w:rPr>
                <w:rFonts w:ascii="宋体" w:hAnsi="宋体" w:cs="宋体"/>
                <w:color w:val="auto"/>
                <w:kern w:val="21"/>
                <w:sz w:val="21"/>
                <w:szCs w:val="21"/>
              </w:rPr>
            </w:pPr>
            <w:r>
              <w:rPr>
                <w:rFonts w:ascii="宋体" w:hAnsi="宋体" w:cs="宋体"/>
                <w:color w:val="auto"/>
                <w:kern w:val="21"/>
                <w:sz w:val="21"/>
                <w:szCs w:val="21"/>
              </w:rPr>
              <w:t>夜间平均等效声级（</w:t>
            </w:r>
            <w:r>
              <w:rPr>
                <w:rFonts w:eastAsia="Times New Roman"/>
                <w:i/>
                <w:iCs/>
                <w:color w:val="auto"/>
                <w:kern w:val="21"/>
                <w:sz w:val="23"/>
                <w:szCs w:val="23"/>
              </w:rPr>
              <w:t>S</w:t>
            </w:r>
            <w:r>
              <w:rPr>
                <w:rFonts w:eastAsia="Times New Roman"/>
                <w:i/>
                <w:iCs/>
                <w:color w:val="auto"/>
                <w:kern w:val="21"/>
                <w:sz w:val="14"/>
                <w:szCs w:val="14"/>
              </w:rPr>
              <w:t>n</w:t>
            </w:r>
            <w:r>
              <w:rPr>
                <w:rFonts w:ascii="宋体" w:hAnsi="宋体" w:cs="宋体"/>
                <w:color w:val="auto"/>
                <w:kern w:val="21"/>
                <w:sz w:val="21"/>
                <w:szCs w:val="21"/>
              </w:rPr>
              <w:t>）</w:t>
            </w:r>
          </w:p>
        </w:tc>
        <w:tc>
          <w:tcPr>
            <w:tcW w:w="770" w:type="pct"/>
            <w:noWrap w:val="0"/>
            <w:vAlign w:val="center"/>
          </w:tcPr>
          <w:p w14:paraId="1BD0093D">
            <w:pPr>
              <w:spacing w:line="240" w:lineRule="auto"/>
              <w:ind w:firstLine="0" w:firstLineChars="0"/>
              <w:jc w:val="center"/>
              <w:rPr>
                <w:rFonts w:eastAsia="Times New Roman"/>
                <w:color w:val="auto"/>
                <w:kern w:val="21"/>
                <w:sz w:val="21"/>
                <w:szCs w:val="21"/>
              </w:rPr>
            </w:pPr>
            <w:r>
              <w:rPr>
                <w:rFonts w:hint="eastAsia" w:ascii="宋体" w:hAnsi="宋体" w:cs="宋体"/>
                <w:color w:val="auto"/>
                <w:kern w:val="21"/>
                <w:sz w:val="21"/>
                <w:szCs w:val="21"/>
              </w:rPr>
              <w:t>≤</w:t>
            </w:r>
            <w:r>
              <w:rPr>
                <w:rFonts w:eastAsia="Times New Roman"/>
                <w:color w:val="auto"/>
                <w:kern w:val="21"/>
                <w:sz w:val="21"/>
                <w:szCs w:val="21"/>
              </w:rPr>
              <w:t>40.0</w:t>
            </w:r>
          </w:p>
        </w:tc>
        <w:tc>
          <w:tcPr>
            <w:tcW w:w="684" w:type="pct"/>
            <w:noWrap w:val="0"/>
            <w:vAlign w:val="center"/>
          </w:tcPr>
          <w:p w14:paraId="60B42AD5">
            <w:pPr>
              <w:spacing w:line="240" w:lineRule="auto"/>
              <w:ind w:firstLine="0" w:firstLineChars="0"/>
              <w:jc w:val="center"/>
              <w:rPr>
                <w:rFonts w:eastAsia="Times New Roman"/>
                <w:color w:val="auto"/>
                <w:kern w:val="21"/>
                <w:sz w:val="21"/>
                <w:szCs w:val="21"/>
              </w:rPr>
            </w:pPr>
            <w:r>
              <w:rPr>
                <w:rFonts w:eastAsia="Times New Roman"/>
                <w:color w:val="auto"/>
                <w:kern w:val="21"/>
                <w:sz w:val="21"/>
                <w:szCs w:val="21"/>
              </w:rPr>
              <w:t>40.1</w:t>
            </w:r>
            <w:r>
              <w:rPr>
                <w:rFonts w:hint="eastAsia" w:ascii="宋体" w:hAnsi="宋体" w:cs="宋体"/>
                <w:color w:val="auto"/>
                <w:kern w:val="21"/>
                <w:sz w:val="21"/>
                <w:szCs w:val="21"/>
              </w:rPr>
              <w:t>～</w:t>
            </w:r>
            <w:r>
              <w:rPr>
                <w:rFonts w:eastAsia="Times New Roman"/>
                <w:color w:val="auto"/>
                <w:kern w:val="21"/>
                <w:sz w:val="21"/>
                <w:szCs w:val="21"/>
              </w:rPr>
              <w:t>45.0</w:t>
            </w:r>
          </w:p>
        </w:tc>
        <w:tc>
          <w:tcPr>
            <w:tcW w:w="684" w:type="pct"/>
            <w:noWrap w:val="0"/>
            <w:vAlign w:val="center"/>
          </w:tcPr>
          <w:p w14:paraId="1A4B8D9D">
            <w:pPr>
              <w:spacing w:line="240" w:lineRule="auto"/>
              <w:ind w:firstLine="0" w:firstLineChars="0"/>
              <w:jc w:val="center"/>
              <w:rPr>
                <w:rFonts w:eastAsia="Times New Roman"/>
                <w:color w:val="auto"/>
                <w:kern w:val="21"/>
                <w:sz w:val="21"/>
                <w:szCs w:val="21"/>
              </w:rPr>
            </w:pPr>
            <w:r>
              <w:rPr>
                <w:rFonts w:eastAsia="Times New Roman"/>
                <w:color w:val="auto"/>
                <w:kern w:val="21"/>
                <w:sz w:val="21"/>
                <w:szCs w:val="21"/>
              </w:rPr>
              <w:t>45.1</w:t>
            </w:r>
            <w:r>
              <w:rPr>
                <w:rFonts w:hint="eastAsia" w:ascii="宋体" w:hAnsi="宋体" w:cs="宋体"/>
                <w:color w:val="auto"/>
                <w:kern w:val="21"/>
                <w:sz w:val="21"/>
                <w:szCs w:val="21"/>
              </w:rPr>
              <w:t>～</w:t>
            </w:r>
            <w:r>
              <w:rPr>
                <w:rFonts w:eastAsia="Times New Roman"/>
                <w:color w:val="auto"/>
                <w:kern w:val="21"/>
                <w:sz w:val="21"/>
                <w:szCs w:val="21"/>
              </w:rPr>
              <w:t>50.0</w:t>
            </w:r>
          </w:p>
        </w:tc>
        <w:tc>
          <w:tcPr>
            <w:tcW w:w="684" w:type="pct"/>
            <w:noWrap w:val="0"/>
            <w:vAlign w:val="center"/>
          </w:tcPr>
          <w:p w14:paraId="119FA19A">
            <w:pPr>
              <w:spacing w:line="240" w:lineRule="auto"/>
              <w:ind w:firstLine="0" w:firstLineChars="0"/>
              <w:jc w:val="center"/>
              <w:rPr>
                <w:rFonts w:eastAsia="Times New Roman"/>
                <w:color w:val="auto"/>
                <w:kern w:val="21"/>
                <w:sz w:val="21"/>
                <w:szCs w:val="21"/>
              </w:rPr>
            </w:pPr>
            <w:r>
              <w:rPr>
                <w:rFonts w:eastAsia="Times New Roman"/>
                <w:color w:val="auto"/>
                <w:kern w:val="21"/>
                <w:sz w:val="21"/>
                <w:szCs w:val="21"/>
              </w:rPr>
              <w:t>50.1</w:t>
            </w:r>
            <w:r>
              <w:rPr>
                <w:rFonts w:hint="eastAsia" w:ascii="宋体" w:hAnsi="宋体" w:cs="宋体"/>
                <w:color w:val="auto"/>
                <w:kern w:val="21"/>
                <w:sz w:val="21"/>
                <w:szCs w:val="21"/>
              </w:rPr>
              <w:t>～</w:t>
            </w:r>
            <w:r>
              <w:rPr>
                <w:rFonts w:eastAsia="Times New Roman"/>
                <w:color w:val="auto"/>
                <w:kern w:val="21"/>
                <w:sz w:val="21"/>
                <w:szCs w:val="21"/>
              </w:rPr>
              <w:t>55.0</w:t>
            </w:r>
          </w:p>
        </w:tc>
        <w:tc>
          <w:tcPr>
            <w:tcW w:w="685" w:type="pct"/>
            <w:noWrap w:val="0"/>
            <w:vAlign w:val="center"/>
          </w:tcPr>
          <w:p w14:paraId="44FD3950">
            <w:pPr>
              <w:spacing w:line="240" w:lineRule="auto"/>
              <w:ind w:firstLine="0" w:firstLineChars="0"/>
              <w:jc w:val="center"/>
              <w:rPr>
                <w:rFonts w:eastAsia="Times New Roman"/>
                <w:color w:val="auto"/>
                <w:kern w:val="21"/>
                <w:sz w:val="21"/>
                <w:szCs w:val="21"/>
              </w:rPr>
            </w:pPr>
            <w:r>
              <w:rPr>
                <w:rFonts w:ascii="宋体" w:hAnsi="宋体" w:cs="宋体"/>
                <w:color w:val="auto"/>
                <w:kern w:val="21"/>
                <w:sz w:val="21"/>
                <w:szCs w:val="21"/>
              </w:rPr>
              <w:t>＞</w:t>
            </w:r>
            <w:r>
              <w:rPr>
                <w:rFonts w:eastAsia="Times New Roman"/>
                <w:color w:val="auto"/>
                <w:kern w:val="21"/>
                <w:sz w:val="21"/>
                <w:szCs w:val="21"/>
              </w:rPr>
              <w:t>55.0</w:t>
            </w:r>
          </w:p>
        </w:tc>
      </w:tr>
    </w:tbl>
    <w:p w14:paraId="20BF0800">
      <w:pPr>
        <w:ind w:firstLine="471"/>
        <w:rPr>
          <w:rFonts w:hint="eastAsia"/>
          <w:color w:val="auto"/>
          <w:highlight w:val="none"/>
        </w:rPr>
      </w:pPr>
      <w:r>
        <w:rPr>
          <w:rFonts w:hint="eastAsia"/>
          <w:color w:val="auto"/>
          <w:highlight w:val="none"/>
        </w:rPr>
        <w:t>根据表3-1监测结果及上述公式，</w:t>
      </w:r>
      <w:r>
        <w:rPr>
          <w:rFonts w:hint="eastAsia"/>
          <w:color w:val="auto"/>
          <w:highlight w:val="none"/>
          <w:lang w:eastAsia="zh-CN"/>
        </w:rPr>
        <w:t>绥滨县中心城区</w:t>
      </w:r>
      <w:r>
        <w:rPr>
          <w:rFonts w:hint="eastAsia"/>
          <w:color w:val="auto"/>
          <w:highlight w:val="none"/>
        </w:rPr>
        <w:t>区域声环境昼间平均等效声级</w:t>
      </w:r>
      <w:r>
        <w:rPr>
          <w:rFonts w:hint="eastAsia"/>
          <w:color w:val="auto"/>
          <w:highlight w:val="none"/>
          <w:lang w:val="en-US" w:eastAsia="zh-CN"/>
        </w:rPr>
        <w:t>48.4</w:t>
      </w:r>
      <w:r>
        <w:rPr>
          <w:rFonts w:hint="eastAsia"/>
          <w:color w:val="auto"/>
          <w:highlight w:val="none"/>
        </w:rPr>
        <w:t>dB（A），区域声环境质量等级为“</w:t>
      </w:r>
      <w:r>
        <w:rPr>
          <w:rFonts w:hint="eastAsia"/>
          <w:color w:val="auto"/>
          <w:highlight w:val="none"/>
          <w:lang w:val="en-US" w:eastAsia="zh-CN"/>
        </w:rPr>
        <w:t>一</w:t>
      </w:r>
      <w:r>
        <w:rPr>
          <w:rFonts w:hint="eastAsia"/>
          <w:color w:val="auto"/>
          <w:highlight w:val="none"/>
        </w:rPr>
        <w:t>级”，对应评价为“好”；夜间平均等效声级</w:t>
      </w:r>
      <w:r>
        <w:rPr>
          <w:rFonts w:hint="eastAsia"/>
          <w:color w:val="auto"/>
          <w:highlight w:val="none"/>
          <w:lang w:val="en-US" w:eastAsia="zh-CN"/>
        </w:rPr>
        <w:t>44.3</w:t>
      </w:r>
      <w:r>
        <w:rPr>
          <w:rFonts w:hint="eastAsia"/>
          <w:color w:val="auto"/>
          <w:highlight w:val="none"/>
        </w:rPr>
        <w:t>dB（A），区域声环境质量等级为“</w:t>
      </w:r>
      <w:r>
        <w:rPr>
          <w:rFonts w:hint="eastAsia"/>
          <w:color w:val="auto"/>
          <w:highlight w:val="none"/>
          <w:lang w:val="en-US" w:eastAsia="zh-CN"/>
        </w:rPr>
        <w:t>二</w:t>
      </w:r>
      <w:r>
        <w:rPr>
          <w:rFonts w:hint="eastAsia"/>
          <w:color w:val="auto"/>
          <w:highlight w:val="none"/>
        </w:rPr>
        <w:t>级”，对应评价为“</w:t>
      </w:r>
      <w:r>
        <w:rPr>
          <w:rFonts w:hint="eastAsia"/>
          <w:color w:val="auto"/>
          <w:highlight w:val="none"/>
          <w:lang w:val="en-US" w:eastAsia="zh-CN"/>
        </w:rPr>
        <w:t>较</w:t>
      </w:r>
      <w:r>
        <w:rPr>
          <w:rFonts w:hint="eastAsia"/>
          <w:color w:val="auto"/>
          <w:highlight w:val="none"/>
        </w:rPr>
        <w:t>好”。</w:t>
      </w:r>
    </w:p>
    <w:p w14:paraId="2F62F632">
      <w:pPr>
        <w:pStyle w:val="4"/>
        <w:rPr>
          <w:rFonts w:hint="eastAsia"/>
          <w:color w:val="auto"/>
        </w:rPr>
      </w:pPr>
      <w:bookmarkStart w:id="105" w:name="_Toc16541"/>
      <w:r>
        <w:rPr>
          <w:rFonts w:hint="eastAsia"/>
          <w:color w:val="auto"/>
        </w:rPr>
        <w:t>3.7.2</w:t>
      </w:r>
      <w:r>
        <w:rPr>
          <w:rFonts w:hint="eastAsia"/>
          <w:color w:val="auto"/>
          <w:lang w:val="en-US" w:eastAsia="zh-CN"/>
        </w:rPr>
        <w:t xml:space="preserve"> </w:t>
      </w:r>
      <w:r>
        <w:rPr>
          <w:rFonts w:hint="eastAsia"/>
          <w:color w:val="auto"/>
        </w:rPr>
        <w:t>道路交通噪声现状监测与评价</w:t>
      </w:r>
      <w:bookmarkEnd w:id="105"/>
    </w:p>
    <w:p w14:paraId="794B60BC">
      <w:pPr>
        <w:ind w:firstLine="471"/>
        <w:rPr>
          <w:rFonts w:hint="eastAsia"/>
          <w:color w:val="auto"/>
        </w:rPr>
      </w:pPr>
      <w:r>
        <w:rPr>
          <w:rFonts w:hint="eastAsia"/>
          <w:color w:val="auto"/>
        </w:rPr>
        <w:t>（1）道路交通监测点设置</w:t>
      </w:r>
    </w:p>
    <w:p w14:paraId="25B9E6E6">
      <w:pPr>
        <w:ind w:firstLine="471"/>
        <w:rPr>
          <w:rFonts w:hint="eastAsia"/>
          <w:color w:val="auto"/>
        </w:rPr>
      </w:pPr>
      <w:r>
        <w:rPr>
          <w:rFonts w:hint="eastAsia"/>
          <w:color w:val="auto"/>
        </w:rPr>
        <w:t>①道路交通监测点的设置应能反映城市建成区内各类道路（快速路、主干路、次干路等）交通噪声排放特征，能反映不同道路特点（考虑交通类型、交通流量、机动车行驶速度、路面结构、道路宽度、敏感建筑物分布等）交通噪声排放特征。</w:t>
      </w:r>
    </w:p>
    <w:p w14:paraId="505822D0">
      <w:pPr>
        <w:ind w:firstLine="471"/>
        <w:rPr>
          <w:rFonts w:hint="eastAsia"/>
          <w:color w:val="auto"/>
        </w:rPr>
      </w:pPr>
      <w:r>
        <w:rPr>
          <w:rFonts w:hint="eastAsia"/>
          <w:color w:val="auto"/>
        </w:rPr>
        <w:t>②一个测点可代表一条或多条相近的道路。测点选在路段两路口之间，距任一路口的距离大于50m，路段不足100m的选路段中点，测点位于人行道上距路面（含慢车道）20cm处，监测点位高度距地面为1.2m</w:t>
      </w:r>
      <w:r>
        <w:rPr>
          <w:rFonts w:hint="eastAsia"/>
          <w:color w:val="auto"/>
          <w:lang w:val="en-US" w:eastAsia="zh-CN"/>
        </w:rPr>
        <w:t>-</w:t>
      </w:r>
      <w:r>
        <w:rPr>
          <w:rFonts w:hint="eastAsia"/>
          <w:color w:val="auto"/>
        </w:rPr>
        <w:t>6.0m。测点应避开非道路交通源的干扰。</w:t>
      </w:r>
    </w:p>
    <w:p w14:paraId="7A916FE1">
      <w:pPr>
        <w:ind w:firstLine="471"/>
      </w:pPr>
      <w:r>
        <w:rPr>
          <w:rFonts w:hint="eastAsia"/>
          <w:color w:val="auto"/>
        </w:rPr>
        <w:t>③本次监测主要对现有</w:t>
      </w:r>
      <w:r>
        <w:rPr>
          <w:rFonts w:hint="eastAsia"/>
          <w:color w:val="auto"/>
          <w:lang w:val="en-US" w:eastAsia="zh-CN"/>
        </w:rPr>
        <w:t>15</w:t>
      </w:r>
      <w:r>
        <w:rPr>
          <w:rFonts w:hint="eastAsia"/>
          <w:color w:val="auto"/>
        </w:rPr>
        <w:t>条道路共布置</w:t>
      </w:r>
      <w:r>
        <w:rPr>
          <w:rFonts w:hint="eastAsia"/>
          <w:color w:val="auto"/>
          <w:lang w:val="en-US" w:eastAsia="zh-CN"/>
        </w:rPr>
        <w:t>15</w:t>
      </w:r>
      <w:r>
        <w:rPr>
          <w:rFonts w:hint="eastAsia"/>
          <w:color w:val="auto"/>
        </w:rPr>
        <w:t>个监测点</w:t>
      </w:r>
      <w:r>
        <w:rPr>
          <w:rFonts w:hint="eastAsia"/>
          <w:color w:val="auto"/>
          <w:lang w:eastAsia="zh-CN"/>
        </w:rPr>
        <w:t>，道路监测点情况见表</w:t>
      </w:r>
      <w:r>
        <w:rPr>
          <w:rFonts w:hint="eastAsia"/>
          <w:color w:val="auto"/>
          <w:lang w:val="en-US" w:eastAsia="zh-CN"/>
        </w:rPr>
        <w:t>3-3</w:t>
      </w:r>
      <w:r>
        <w:rPr>
          <w:rFonts w:hint="eastAsia"/>
          <w:color w:val="auto"/>
        </w:rPr>
        <w:t>，</w:t>
      </w:r>
      <w:r>
        <w:rPr>
          <w:rFonts w:hint="eastAsia"/>
          <w:color w:val="auto"/>
          <w:lang w:eastAsia="zh-CN"/>
        </w:rPr>
        <w:t>道路交通监测</w:t>
      </w:r>
      <w:r>
        <w:rPr>
          <w:rFonts w:hint="eastAsia"/>
          <w:color w:val="auto"/>
        </w:rPr>
        <w:t>点分布见图3-5</w:t>
      </w:r>
      <w:r>
        <w:rPr>
          <w:rFonts w:hint="eastAsia"/>
          <w:color w:val="auto"/>
          <w:lang w:eastAsia="zh-CN"/>
        </w:rPr>
        <w:t>。</w:t>
      </w:r>
    </w:p>
    <w:p w14:paraId="2366C932">
      <w:pPr>
        <w:pStyle w:val="31"/>
        <w:jc w:val="center"/>
        <w:rPr>
          <w:rFonts w:hint="eastAsia" w:eastAsia="黑体"/>
          <w:color w:val="auto"/>
          <w:lang w:eastAsia="zh-CN"/>
        </w:rPr>
      </w:pPr>
      <w:r>
        <w:rPr>
          <w:rFonts w:hint="eastAsia"/>
          <w:color w:val="auto"/>
        </w:rPr>
        <w:t>表3-</w:t>
      </w:r>
      <w:r>
        <w:rPr>
          <w:rFonts w:hint="eastAsia"/>
          <w:color w:val="auto"/>
          <w:lang w:val="en-US" w:eastAsia="zh-CN"/>
        </w:rPr>
        <w:t xml:space="preserve">3  </w:t>
      </w:r>
      <w:r>
        <w:rPr>
          <w:rFonts w:hint="eastAsia"/>
          <w:color w:val="auto"/>
        </w:rPr>
        <w:t>城市区域</w:t>
      </w:r>
      <w:r>
        <w:rPr>
          <w:rFonts w:hint="eastAsia"/>
          <w:color w:val="auto"/>
          <w:lang w:eastAsia="zh-CN"/>
        </w:rPr>
        <w:t>现有道路情况</w:t>
      </w:r>
    </w:p>
    <w:tbl>
      <w:tblPr>
        <w:tblStyle w:val="19"/>
        <w:tblW w:w="500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066"/>
        <w:gridCol w:w="1552"/>
        <w:gridCol w:w="2577"/>
        <w:gridCol w:w="1551"/>
        <w:gridCol w:w="1579"/>
      </w:tblGrid>
      <w:tr w14:paraId="1B0AD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blHeader/>
        </w:trPr>
        <w:tc>
          <w:tcPr>
            <w:tcW w:w="640" w:type="pct"/>
            <w:noWrap w:val="0"/>
            <w:vAlign w:val="center"/>
          </w:tcPr>
          <w:p w14:paraId="2D69A756">
            <w:pPr>
              <w:pStyle w:val="30"/>
              <w:rPr>
                <w:rFonts w:hint="default" w:ascii="Times New Roman" w:hAnsi="Times New Roman" w:eastAsia="宋体" w:cs="Times New Roman"/>
                <w:b w:val="0"/>
                <w:bCs w:val="0"/>
                <w:color w:val="auto"/>
                <w:spacing w:val="0"/>
                <w:highlight w:val="none"/>
              </w:rPr>
            </w:pPr>
            <w:r>
              <w:rPr>
                <w:rFonts w:hint="default" w:ascii="Times New Roman" w:hAnsi="Times New Roman" w:eastAsia="宋体" w:cs="Times New Roman"/>
                <w:b w:val="0"/>
                <w:bCs w:val="0"/>
                <w:color w:val="auto"/>
                <w:spacing w:val="0"/>
                <w:highlight w:val="none"/>
              </w:rPr>
              <w:t>序号</w:t>
            </w:r>
          </w:p>
        </w:tc>
        <w:tc>
          <w:tcPr>
            <w:tcW w:w="932" w:type="pct"/>
            <w:noWrap w:val="0"/>
            <w:vAlign w:val="center"/>
          </w:tcPr>
          <w:p w14:paraId="7CA4E877">
            <w:pPr>
              <w:pStyle w:val="30"/>
              <w:rPr>
                <w:rFonts w:hint="default" w:ascii="Times New Roman" w:hAnsi="Times New Roman" w:eastAsia="宋体" w:cs="Times New Roman"/>
                <w:b w:val="0"/>
                <w:bCs w:val="0"/>
                <w:color w:val="auto"/>
                <w:spacing w:val="0"/>
                <w:highlight w:val="none"/>
              </w:rPr>
            </w:pPr>
            <w:r>
              <w:rPr>
                <w:rFonts w:hint="default" w:ascii="Times New Roman" w:hAnsi="Times New Roman" w:eastAsia="宋体" w:cs="Times New Roman"/>
                <w:b w:val="0"/>
                <w:bCs w:val="0"/>
                <w:color w:val="auto"/>
                <w:spacing w:val="0"/>
                <w:highlight w:val="none"/>
              </w:rPr>
              <w:t>道路名称</w:t>
            </w:r>
          </w:p>
        </w:tc>
        <w:tc>
          <w:tcPr>
            <w:tcW w:w="1547" w:type="pct"/>
            <w:noWrap w:val="0"/>
            <w:vAlign w:val="center"/>
          </w:tcPr>
          <w:p w14:paraId="522A3D21">
            <w:pPr>
              <w:pStyle w:val="30"/>
              <w:rPr>
                <w:rFonts w:hint="default" w:ascii="Times New Roman" w:hAnsi="Times New Roman" w:eastAsia="宋体" w:cs="Times New Roman"/>
                <w:b w:val="0"/>
                <w:bCs w:val="0"/>
                <w:color w:val="auto"/>
                <w:spacing w:val="0"/>
                <w:highlight w:val="none"/>
              </w:rPr>
            </w:pPr>
            <w:r>
              <w:rPr>
                <w:rFonts w:hint="default" w:ascii="Times New Roman" w:hAnsi="Times New Roman" w:eastAsia="宋体" w:cs="Times New Roman"/>
                <w:b w:val="0"/>
                <w:bCs w:val="0"/>
                <w:color w:val="auto"/>
                <w:spacing w:val="0"/>
                <w:highlight w:val="none"/>
              </w:rPr>
              <w:t>道路起止端</w:t>
            </w:r>
          </w:p>
        </w:tc>
        <w:tc>
          <w:tcPr>
            <w:tcW w:w="931" w:type="pct"/>
            <w:noWrap w:val="0"/>
            <w:vAlign w:val="center"/>
          </w:tcPr>
          <w:p w14:paraId="6015BDB4">
            <w:pPr>
              <w:pStyle w:val="30"/>
              <w:rPr>
                <w:rFonts w:hint="default" w:ascii="Times New Roman" w:hAnsi="Times New Roman" w:eastAsia="宋体" w:cs="Times New Roman"/>
                <w:b w:val="0"/>
                <w:bCs w:val="0"/>
                <w:color w:val="auto"/>
                <w:spacing w:val="0"/>
                <w:highlight w:val="none"/>
              </w:rPr>
            </w:pPr>
            <w:r>
              <w:rPr>
                <w:rFonts w:hint="default" w:ascii="Times New Roman" w:hAnsi="Times New Roman" w:eastAsia="宋体" w:cs="Times New Roman"/>
                <w:b w:val="0"/>
                <w:bCs w:val="0"/>
                <w:color w:val="auto"/>
                <w:spacing w:val="0"/>
                <w:highlight w:val="none"/>
              </w:rPr>
              <w:t>道路性质</w:t>
            </w:r>
          </w:p>
        </w:tc>
        <w:tc>
          <w:tcPr>
            <w:tcW w:w="948" w:type="pct"/>
            <w:noWrap w:val="0"/>
            <w:vAlign w:val="center"/>
          </w:tcPr>
          <w:p w14:paraId="1DC3AEBD">
            <w:pPr>
              <w:pStyle w:val="30"/>
              <w:rPr>
                <w:rFonts w:hint="default" w:ascii="Times New Roman" w:hAnsi="Times New Roman" w:eastAsia="宋体" w:cs="Times New Roman"/>
                <w:b w:val="0"/>
                <w:bCs w:val="0"/>
                <w:color w:val="auto"/>
                <w:spacing w:val="0"/>
                <w:highlight w:val="none"/>
              </w:rPr>
            </w:pPr>
            <w:r>
              <w:rPr>
                <w:rFonts w:hint="default" w:ascii="Times New Roman" w:hAnsi="Times New Roman" w:eastAsia="宋体" w:cs="Times New Roman"/>
                <w:b w:val="0"/>
                <w:bCs w:val="0"/>
                <w:color w:val="auto"/>
                <w:spacing w:val="0"/>
                <w:highlight w:val="none"/>
              </w:rPr>
              <w:t>道路长度（m）</w:t>
            </w:r>
          </w:p>
        </w:tc>
      </w:tr>
      <w:tr w14:paraId="55B06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40" w:type="pct"/>
            <w:noWrap w:val="0"/>
            <w:vAlign w:val="center"/>
          </w:tcPr>
          <w:p w14:paraId="18D01F5F">
            <w:pPr>
              <w:spacing w:line="240" w:lineRule="auto"/>
              <w:ind w:firstLine="0" w:firstLineChars="0"/>
              <w:jc w:val="center"/>
              <w:rPr>
                <w:rFonts w:hint="eastAsia" w:eastAsia="宋体"/>
                <w:color w:val="auto"/>
                <w:spacing w:val="0"/>
                <w:sz w:val="21"/>
                <w:szCs w:val="21"/>
                <w:lang w:val="en-US" w:eastAsia="zh-CN"/>
              </w:rPr>
            </w:pPr>
            <w:r>
              <w:rPr>
                <w:rFonts w:hint="eastAsia"/>
                <w:color w:val="auto"/>
                <w:spacing w:val="0"/>
                <w:sz w:val="21"/>
                <w:szCs w:val="21"/>
              </w:rPr>
              <w:t>1</w:t>
            </w:r>
            <w:r>
              <w:rPr>
                <w:rFonts w:hint="eastAsia"/>
                <w:color w:val="auto"/>
                <w:spacing w:val="0"/>
                <w:sz w:val="21"/>
                <w:szCs w:val="21"/>
                <w:lang w:val="en-US" w:eastAsia="zh-CN"/>
              </w:rPr>
              <w:t>#</w:t>
            </w:r>
          </w:p>
        </w:tc>
        <w:tc>
          <w:tcPr>
            <w:tcW w:w="932" w:type="pct"/>
            <w:noWrap w:val="0"/>
            <w:vAlign w:val="center"/>
          </w:tcPr>
          <w:p w14:paraId="14A4C7FA">
            <w:pPr>
              <w:pStyle w:val="29"/>
              <w:ind w:firstLine="0" w:firstLineChars="0"/>
              <w:rPr>
                <w:rFonts w:hint="default" w:ascii="Times New Roman" w:hAnsi="Times New Roman" w:eastAsia="宋体" w:cs="Times New Roman"/>
                <w:color w:val="auto"/>
                <w:spacing w:val="0"/>
              </w:rPr>
            </w:pPr>
            <w:r>
              <w:rPr>
                <w:rStyle w:val="36"/>
                <w:color w:val="000000"/>
                <w:spacing w:val="0"/>
                <w:lang w:val="en-US" w:eastAsia="zh-CN" w:bidi="ar"/>
              </w:rPr>
              <w:t>松滨大街</w:t>
            </w:r>
          </w:p>
        </w:tc>
        <w:tc>
          <w:tcPr>
            <w:tcW w:w="1547" w:type="pct"/>
            <w:noWrap w:val="0"/>
            <w:vAlign w:val="center"/>
          </w:tcPr>
          <w:p w14:paraId="2991E886">
            <w:pPr>
              <w:pStyle w:val="29"/>
              <w:rPr>
                <w:rFonts w:hint="default"/>
                <w:color w:val="auto"/>
                <w:spacing w:val="0"/>
                <w:sz w:val="21"/>
                <w:szCs w:val="21"/>
              </w:rPr>
            </w:pPr>
            <w:r>
              <w:rPr>
                <w:rFonts w:hint="eastAsia"/>
                <w:color w:val="auto"/>
                <w:spacing w:val="0"/>
                <w:sz w:val="21"/>
                <w:szCs w:val="21"/>
                <w:lang w:val="zh-CN"/>
              </w:rPr>
              <w:t>傲来路</w:t>
            </w:r>
            <w:r>
              <w:rPr>
                <w:rFonts w:hint="default"/>
                <w:color w:val="auto"/>
                <w:spacing w:val="0"/>
                <w:sz w:val="21"/>
                <w:szCs w:val="21"/>
                <w:lang w:val="zh-CN"/>
              </w:rPr>
              <w:t>――</w:t>
            </w:r>
            <w:r>
              <w:rPr>
                <w:rFonts w:hint="eastAsia"/>
                <w:color w:val="auto"/>
                <w:spacing w:val="0"/>
                <w:sz w:val="21"/>
                <w:szCs w:val="21"/>
                <w:lang w:val="zh-CN"/>
              </w:rPr>
              <w:t>东郊路</w:t>
            </w:r>
          </w:p>
        </w:tc>
        <w:tc>
          <w:tcPr>
            <w:tcW w:w="931" w:type="pct"/>
            <w:noWrap w:val="0"/>
            <w:vAlign w:val="center"/>
          </w:tcPr>
          <w:p w14:paraId="0AD6125E">
            <w:pPr>
              <w:spacing w:line="240" w:lineRule="auto"/>
              <w:ind w:firstLine="0" w:firstLineChars="0"/>
              <w:jc w:val="center"/>
              <w:rPr>
                <w:color w:val="auto"/>
                <w:spacing w:val="0"/>
                <w:sz w:val="21"/>
                <w:szCs w:val="21"/>
              </w:rPr>
            </w:pPr>
            <w:r>
              <w:rPr>
                <w:rFonts w:hint="eastAsia"/>
                <w:color w:val="auto"/>
                <w:spacing w:val="0"/>
                <w:sz w:val="21"/>
                <w:szCs w:val="21"/>
              </w:rPr>
              <w:t>城市主干路</w:t>
            </w:r>
          </w:p>
        </w:tc>
        <w:tc>
          <w:tcPr>
            <w:tcW w:w="948" w:type="pct"/>
            <w:noWrap w:val="0"/>
            <w:vAlign w:val="center"/>
          </w:tcPr>
          <w:p w14:paraId="77E58835">
            <w:pPr>
              <w:spacing w:line="240" w:lineRule="auto"/>
              <w:ind w:firstLine="0" w:firstLineChars="0"/>
              <w:jc w:val="center"/>
              <w:rPr>
                <w:rFonts w:hint="default" w:ascii="Times New Roman" w:hAnsi="Times New Roman" w:eastAsia="宋体" w:cs="Times New Roman"/>
                <w:color w:val="auto"/>
                <w:spacing w:val="0"/>
                <w:sz w:val="21"/>
                <w:szCs w:val="21"/>
                <w:lang w:val="en-US"/>
              </w:rPr>
            </w:pPr>
            <w:r>
              <w:rPr>
                <w:rFonts w:hint="eastAsia" w:cs="Times New Roman"/>
                <w:color w:val="auto"/>
                <w:spacing w:val="0"/>
                <w:sz w:val="21"/>
                <w:szCs w:val="21"/>
                <w:lang w:val="en-US" w:eastAsia="zh-CN"/>
              </w:rPr>
              <w:t>5926</w:t>
            </w:r>
          </w:p>
        </w:tc>
      </w:tr>
      <w:tr w14:paraId="0E2611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40" w:type="pct"/>
            <w:noWrap w:val="0"/>
            <w:vAlign w:val="center"/>
          </w:tcPr>
          <w:p w14:paraId="19257576">
            <w:pPr>
              <w:spacing w:line="240" w:lineRule="auto"/>
              <w:ind w:firstLine="0" w:firstLineChars="0"/>
              <w:jc w:val="center"/>
              <w:rPr>
                <w:color w:val="auto"/>
                <w:spacing w:val="0"/>
                <w:sz w:val="21"/>
                <w:szCs w:val="21"/>
              </w:rPr>
            </w:pPr>
            <w:r>
              <w:rPr>
                <w:rFonts w:hint="eastAsia"/>
                <w:color w:val="auto"/>
                <w:spacing w:val="0"/>
                <w:sz w:val="21"/>
                <w:szCs w:val="21"/>
              </w:rPr>
              <w:t>2</w:t>
            </w:r>
            <w:r>
              <w:rPr>
                <w:rFonts w:hint="eastAsia"/>
                <w:color w:val="auto"/>
                <w:spacing w:val="0"/>
                <w:sz w:val="21"/>
                <w:szCs w:val="21"/>
                <w:lang w:val="en-US" w:eastAsia="zh-CN"/>
              </w:rPr>
              <w:t>#</w:t>
            </w:r>
          </w:p>
        </w:tc>
        <w:tc>
          <w:tcPr>
            <w:tcW w:w="932" w:type="pct"/>
            <w:noWrap w:val="0"/>
            <w:vAlign w:val="center"/>
          </w:tcPr>
          <w:p w14:paraId="063C9FA7">
            <w:pPr>
              <w:pStyle w:val="29"/>
              <w:ind w:firstLine="0" w:firstLineChars="0"/>
              <w:rPr>
                <w:rFonts w:hint="default" w:ascii="Times New Roman" w:hAnsi="Times New Roman" w:eastAsia="宋体" w:cs="Times New Roman"/>
                <w:color w:val="auto"/>
                <w:spacing w:val="0"/>
              </w:rPr>
            </w:pPr>
            <w:r>
              <w:rPr>
                <w:rStyle w:val="36"/>
                <w:color w:val="000000"/>
                <w:spacing w:val="0"/>
                <w:lang w:val="en-US" w:eastAsia="zh-CN" w:bidi="ar"/>
              </w:rPr>
              <w:t>红星大街</w:t>
            </w:r>
          </w:p>
        </w:tc>
        <w:tc>
          <w:tcPr>
            <w:tcW w:w="1547" w:type="pct"/>
            <w:noWrap w:val="0"/>
            <w:vAlign w:val="center"/>
          </w:tcPr>
          <w:p w14:paraId="6D288A39">
            <w:pPr>
              <w:pStyle w:val="29"/>
              <w:rPr>
                <w:rFonts w:hint="default"/>
                <w:color w:val="auto"/>
                <w:spacing w:val="0"/>
                <w:sz w:val="21"/>
                <w:szCs w:val="21"/>
              </w:rPr>
            </w:pPr>
            <w:r>
              <w:rPr>
                <w:rFonts w:hint="eastAsia"/>
                <w:color w:val="auto"/>
                <w:spacing w:val="0"/>
                <w:sz w:val="21"/>
                <w:szCs w:val="21"/>
                <w:lang w:val="zh-CN"/>
              </w:rPr>
              <w:t>傲来路</w:t>
            </w:r>
            <w:r>
              <w:rPr>
                <w:rFonts w:hint="default"/>
                <w:color w:val="auto"/>
                <w:spacing w:val="0"/>
                <w:sz w:val="21"/>
                <w:szCs w:val="21"/>
                <w:lang w:val="zh-CN"/>
              </w:rPr>
              <w:t>――</w:t>
            </w:r>
            <w:r>
              <w:rPr>
                <w:rFonts w:hint="eastAsia"/>
                <w:color w:val="auto"/>
                <w:spacing w:val="0"/>
                <w:sz w:val="21"/>
                <w:szCs w:val="21"/>
                <w:lang w:val="zh-CN"/>
              </w:rPr>
              <w:t>通达路</w:t>
            </w:r>
          </w:p>
        </w:tc>
        <w:tc>
          <w:tcPr>
            <w:tcW w:w="931" w:type="pct"/>
            <w:noWrap w:val="0"/>
            <w:vAlign w:val="center"/>
          </w:tcPr>
          <w:p w14:paraId="52CB3727">
            <w:pPr>
              <w:spacing w:line="240" w:lineRule="auto"/>
              <w:ind w:firstLine="0" w:firstLineChars="0"/>
              <w:jc w:val="center"/>
              <w:rPr>
                <w:color w:val="auto"/>
                <w:spacing w:val="0"/>
                <w:sz w:val="21"/>
                <w:szCs w:val="21"/>
              </w:rPr>
            </w:pPr>
            <w:r>
              <w:rPr>
                <w:rFonts w:hint="eastAsia"/>
                <w:color w:val="auto"/>
                <w:spacing w:val="0"/>
                <w:sz w:val="21"/>
                <w:szCs w:val="21"/>
              </w:rPr>
              <w:t>城市主干路</w:t>
            </w:r>
          </w:p>
        </w:tc>
        <w:tc>
          <w:tcPr>
            <w:tcW w:w="948" w:type="pct"/>
            <w:noWrap w:val="0"/>
            <w:vAlign w:val="center"/>
          </w:tcPr>
          <w:p w14:paraId="6576D39D">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cs="Times New Roman"/>
                <w:color w:val="auto"/>
                <w:spacing w:val="0"/>
                <w:sz w:val="21"/>
                <w:szCs w:val="21"/>
                <w:lang w:val="en-US" w:eastAsia="zh-CN"/>
              </w:rPr>
              <w:t>3719</w:t>
            </w:r>
          </w:p>
        </w:tc>
      </w:tr>
      <w:tr w14:paraId="11555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40" w:type="pct"/>
            <w:noWrap w:val="0"/>
            <w:vAlign w:val="center"/>
          </w:tcPr>
          <w:p w14:paraId="2C2BEA44">
            <w:pPr>
              <w:spacing w:line="240" w:lineRule="auto"/>
              <w:ind w:firstLine="0" w:firstLineChars="0"/>
              <w:jc w:val="center"/>
              <w:rPr>
                <w:color w:val="auto"/>
                <w:spacing w:val="0"/>
                <w:sz w:val="21"/>
                <w:szCs w:val="21"/>
              </w:rPr>
            </w:pPr>
            <w:r>
              <w:rPr>
                <w:rFonts w:hint="eastAsia"/>
                <w:color w:val="auto"/>
                <w:spacing w:val="0"/>
                <w:sz w:val="21"/>
                <w:szCs w:val="21"/>
              </w:rPr>
              <w:t>3</w:t>
            </w:r>
            <w:r>
              <w:rPr>
                <w:rFonts w:hint="eastAsia"/>
                <w:color w:val="auto"/>
                <w:spacing w:val="0"/>
                <w:sz w:val="21"/>
                <w:szCs w:val="21"/>
                <w:lang w:val="en-US" w:eastAsia="zh-CN"/>
              </w:rPr>
              <w:t>#</w:t>
            </w:r>
          </w:p>
        </w:tc>
        <w:tc>
          <w:tcPr>
            <w:tcW w:w="932" w:type="pct"/>
            <w:noWrap w:val="0"/>
            <w:vAlign w:val="center"/>
          </w:tcPr>
          <w:p w14:paraId="06DB4A3C">
            <w:pPr>
              <w:pStyle w:val="29"/>
              <w:ind w:firstLine="0" w:firstLineChars="0"/>
              <w:rPr>
                <w:rFonts w:hint="default" w:ascii="Times New Roman" w:hAnsi="Times New Roman" w:eastAsia="宋体" w:cs="Times New Roman"/>
                <w:color w:val="auto"/>
                <w:spacing w:val="0"/>
              </w:rPr>
            </w:pPr>
            <w:r>
              <w:rPr>
                <w:rStyle w:val="36"/>
                <w:color w:val="000000"/>
                <w:spacing w:val="0"/>
                <w:lang w:val="en-US" w:eastAsia="zh-CN" w:bidi="ar"/>
              </w:rPr>
              <w:t>通达</w:t>
            </w:r>
            <w:r>
              <w:rPr>
                <w:rFonts w:hint="eastAsia"/>
                <w:color w:val="auto"/>
                <w:spacing w:val="0"/>
                <w:lang w:val="zh-CN"/>
              </w:rPr>
              <w:t>路</w:t>
            </w:r>
          </w:p>
        </w:tc>
        <w:tc>
          <w:tcPr>
            <w:tcW w:w="1547" w:type="pct"/>
            <w:noWrap w:val="0"/>
            <w:vAlign w:val="center"/>
          </w:tcPr>
          <w:p w14:paraId="558855BD">
            <w:pPr>
              <w:pStyle w:val="29"/>
              <w:rPr>
                <w:rFonts w:hint="default"/>
                <w:color w:val="auto"/>
                <w:spacing w:val="0"/>
                <w:sz w:val="21"/>
                <w:szCs w:val="21"/>
              </w:rPr>
            </w:pPr>
            <w:r>
              <w:rPr>
                <w:rStyle w:val="36"/>
                <w:color w:val="000000"/>
                <w:spacing w:val="0"/>
                <w:sz w:val="21"/>
                <w:szCs w:val="21"/>
                <w:lang w:val="en-US" w:eastAsia="zh-CN" w:bidi="ar"/>
              </w:rPr>
              <w:t>松滨大街</w:t>
            </w:r>
            <w:r>
              <w:rPr>
                <w:color w:val="auto"/>
                <w:spacing w:val="0"/>
                <w:sz w:val="21"/>
                <w:szCs w:val="21"/>
                <w:lang w:val="zh-CN"/>
              </w:rPr>
              <w:t>――</w:t>
            </w:r>
            <w:r>
              <w:rPr>
                <w:rFonts w:hint="eastAsia"/>
                <w:color w:val="auto"/>
                <w:spacing w:val="0"/>
                <w:sz w:val="21"/>
                <w:szCs w:val="21"/>
                <w:lang w:val="zh-CN"/>
              </w:rPr>
              <w:t>大同街</w:t>
            </w:r>
          </w:p>
        </w:tc>
        <w:tc>
          <w:tcPr>
            <w:tcW w:w="931" w:type="pct"/>
            <w:noWrap w:val="0"/>
            <w:vAlign w:val="center"/>
          </w:tcPr>
          <w:p w14:paraId="658016E4">
            <w:pPr>
              <w:spacing w:line="240" w:lineRule="auto"/>
              <w:ind w:firstLine="0" w:firstLineChars="0"/>
              <w:jc w:val="center"/>
              <w:rPr>
                <w:color w:val="auto"/>
                <w:spacing w:val="0"/>
                <w:sz w:val="21"/>
                <w:szCs w:val="21"/>
              </w:rPr>
            </w:pPr>
            <w:r>
              <w:rPr>
                <w:rFonts w:hint="eastAsia"/>
                <w:color w:val="auto"/>
                <w:spacing w:val="0"/>
                <w:sz w:val="21"/>
                <w:szCs w:val="21"/>
              </w:rPr>
              <w:t>城市主干路</w:t>
            </w:r>
          </w:p>
        </w:tc>
        <w:tc>
          <w:tcPr>
            <w:tcW w:w="948" w:type="pct"/>
            <w:noWrap w:val="0"/>
            <w:vAlign w:val="center"/>
          </w:tcPr>
          <w:p w14:paraId="43D95FD3">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cs="Times New Roman"/>
                <w:color w:val="auto"/>
                <w:spacing w:val="0"/>
                <w:sz w:val="21"/>
                <w:szCs w:val="21"/>
                <w:lang w:val="en-US" w:eastAsia="zh-CN"/>
              </w:rPr>
              <w:t>1964</w:t>
            </w:r>
          </w:p>
        </w:tc>
      </w:tr>
      <w:tr w14:paraId="01F7F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40" w:type="pct"/>
            <w:noWrap w:val="0"/>
            <w:vAlign w:val="center"/>
          </w:tcPr>
          <w:p w14:paraId="7A251E10">
            <w:pPr>
              <w:spacing w:line="240" w:lineRule="auto"/>
              <w:ind w:firstLine="0" w:firstLineChars="0"/>
              <w:jc w:val="center"/>
              <w:rPr>
                <w:color w:val="auto"/>
                <w:spacing w:val="0"/>
                <w:sz w:val="21"/>
                <w:szCs w:val="21"/>
              </w:rPr>
            </w:pPr>
            <w:r>
              <w:rPr>
                <w:rFonts w:hint="eastAsia"/>
                <w:color w:val="auto"/>
                <w:spacing w:val="0"/>
                <w:sz w:val="21"/>
                <w:szCs w:val="21"/>
              </w:rPr>
              <w:t>4</w:t>
            </w:r>
            <w:r>
              <w:rPr>
                <w:rFonts w:hint="eastAsia"/>
                <w:color w:val="auto"/>
                <w:spacing w:val="0"/>
                <w:sz w:val="21"/>
                <w:szCs w:val="21"/>
                <w:lang w:val="en-US" w:eastAsia="zh-CN"/>
              </w:rPr>
              <w:t>#</w:t>
            </w:r>
          </w:p>
        </w:tc>
        <w:tc>
          <w:tcPr>
            <w:tcW w:w="932" w:type="pct"/>
            <w:noWrap w:val="0"/>
            <w:vAlign w:val="center"/>
          </w:tcPr>
          <w:p w14:paraId="387A7AE3">
            <w:pPr>
              <w:pStyle w:val="29"/>
              <w:ind w:firstLine="0" w:firstLineChars="0"/>
              <w:rPr>
                <w:rFonts w:hint="default" w:ascii="Times New Roman" w:hAnsi="Times New Roman" w:eastAsia="宋体" w:cs="Times New Roman"/>
                <w:color w:val="auto"/>
                <w:spacing w:val="0"/>
              </w:rPr>
            </w:pPr>
            <w:r>
              <w:rPr>
                <w:rStyle w:val="36"/>
                <w:color w:val="000000"/>
                <w:spacing w:val="0"/>
                <w:lang w:val="en-US" w:eastAsia="zh-CN" w:bidi="ar"/>
              </w:rPr>
              <w:t>振荣大街</w:t>
            </w:r>
          </w:p>
        </w:tc>
        <w:tc>
          <w:tcPr>
            <w:tcW w:w="1547" w:type="pct"/>
            <w:noWrap w:val="0"/>
            <w:vAlign w:val="center"/>
          </w:tcPr>
          <w:p w14:paraId="2DB2DA08">
            <w:pPr>
              <w:pStyle w:val="29"/>
              <w:rPr>
                <w:rFonts w:hint="default"/>
                <w:color w:val="auto"/>
                <w:spacing w:val="0"/>
                <w:sz w:val="21"/>
                <w:szCs w:val="21"/>
              </w:rPr>
            </w:pPr>
            <w:r>
              <w:rPr>
                <w:rFonts w:hint="eastAsia"/>
                <w:color w:val="auto"/>
                <w:spacing w:val="0"/>
                <w:sz w:val="21"/>
                <w:szCs w:val="21"/>
                <w:lang w:val="zh-CN"/>
              </w:rPr>
              <w:t>光辉路</w:t>
            </w:r>
            <w:r>
              <w:rPr>
                <w:rFonts w:hint="default"/>
                <w:color w:val="auto"/>
                <w:spacing w:val="0"/>
                <w:sz w:val="21"/>
                <w:szCs w:val="21"/>
                <w:lang w:val="zh-CN"/>
              </w:rPr>
              <w:t>――</w:t>
            </w:r>
            <w:r>
              <w:rPr>
                <w:rFonts w:hint="eastAsia"/>
                <w:color w:val="auto"/>
                <w:spacing w:val="0"/>
                <w:sz w:val="21"/>
                <w:szCs w:val="21"/>
                <w:lang w:val="zh-CN"/>
              </w:rPr>
              <w:t>东郊路</w:t>
            </w:r>
          </w:p>
        </w:tc>
        <w:tc>
          <w:tcPr>
            <w:tcW w:w="931" w:type="pct"/>
            <w:noWrap w:val="0"/>
            <w:vAlign w:val="center"/>
          </w:tcPr>
          <w:p w14:paraId="14284D66">
            <w:pPr>
              <w:spacing w:line="240" w:lineRule="auto"/>
              <w:ind w:firstLine="0" w:firstLineChars="0"/>
              <w:jc w:val="center"/>
              <w:rPr>
                <w:color w:val="auto"/>
                <w:spacing w:val="0"/>
                <w:sz w:val="21"/>
                <w:szCs w:val="21"/>
              </w:rPr>
            </w:pPr>
            <w:r>
              <w:rPr>
                <w:rFonts w:hint="eastAsia"/>
                <w:color w:val="auto"/>
                <w:spacing w:val="0"/>
                <w:sz w:val="21"/>
                <w:szCs w:val="21"/>
              </w:rPr>
              <w:t>城市主干路</w:t>
            </w:r>
          </w:p>
        </w:tc>
        <w:tc>
          <w:tcPr>
            <w:tcW w:w="948" w:type="pct"/>
            <w:noWrap w:val="0"/>
            <w:vAlign w:val="center"/>
          </w:tcPr>
          <w:p w14:paraId="1AA128D0">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cs="Times New Roman"/>
                <w:color w:val="auto"/>
                <w:spacing w:val="0"/>
                <w:sz w:val="21"/>
                <w:szCs w:val="21"/>
                <w:lang w:val="en-US" w:eastAsia="zh-CN"/>
              </w:rPr>
              <w:t>3002</w:t>
            </w:r>
          </w:p>
        </w:tc>
      </w:tr>
      <w:tr w14:paraId="73967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40" w:type="pct"/>
            <w:noWrap w:val="0"/>
            <w:vAlign w:val="center"/>
          </w:tcPr>
          <w:p w14:paraId="57B9DB7F">
            <w:pPr>
              <w:spacing w:line="240" w:lineRule="auto"/>
              <w:ind w:firstLine="0" w:firstLineChars="0"/>
              <w:jc w:val="center"/>
              <w:rPr>
                <w:color w:val="auto"/>
                <w:spacing w:val="0"/>
                <w:sz w:val="21"/>
                <w:szCs w:val="21"/>
              </w:rPr>
            </w:pPr>
            <w:r>
              <w:rPr>
                <w:rFonts w:hint="eastAsia"/>
                <w:color w:val="auto"/>
                <w:spacing w:val="0"/>
                <w:sz w:val="21"/>
                <w:szCs w:val="21"/>
              </w:rPr>
              <w:t>5</w:t>
            </w:r>
            <w:r>
              <w:rPr>
                <w:rFonts w:hint="eastAsia"/>
                <w:color w:val="auto"/>
                <w:spacing w:val="0"/>
                <w:sz w:val="21"/>
                <w:szCs w:val="21"/>
                <w:lang w:val="en-US" w:eastAsia="zh-CN"/>
              </w:rPr>
              <w:t>#</w:t>
            </w:r>
          </w:p>
        </w:tc>
        <w:tc>
          <w:tcPr>
            <w:tcW w:w="932" w:type="pct"/>
            <w:noWrap w:val="0"/>
            <w:vAlign w:val="center"/>
          </w:tcPr>
          <w:p w14:paraId="76ABE2A2">
            <w:pPr>
              <w:pStyle w:val="29"/>
              <w:ind w:firstLine="0" w:firstLineChars="0"/>
              <w:rPr>
                <w:rFonts w:hint="default" w:ascii="Times New Roman" w:hAnsi="Times New Roman" w:eastAsia="宋体" w:cs="Times New Roman"/>
                <w:color w:val="auto"/>
                <w:spacing w:val="0"/>
              </w:rPr>
            </w:pPr>
            <w:r>
              <w:rPr>
                <w:rStyle w:val="36"/>
                <w:color w:val="000000"/>
                <w:spacing w:val="0"/>
                <w:lang w:val="en-US" w:eastAsia="zh-CN" w:bidi="ar"/>
              </w:rPr>
              <w:t>东环路</w:t>
            </w:r>
          </w:p>
        </w:tc>
        <w:tc>
          <w:tcPr>
            <w:tcW w:w="1547" w:type="pct"/>
            <w:noWrap w:val="0"/>
            <w:vAlign w:val="center"/>
          </w:tcPr>
          <w:p w14:paraId="5547F427">
            <w:pPr>
              <w:pStyle w:val="29"/>
              <w:rPr>
                <w:rFonts w:hint="default"/>
                <w:color w:val="auto"/>
                <w:spacing w:val="0"/>
                <w:sz w:val="21"/>
                <w:szCs w:val="21"/>
              </w:rPr>
            </w:pPr>
            <w:r>
              <w:rPr>
                <w:rFonts w:hint="eastAsia"/>
                <w:color w:val="auto"/>
                <w:spacing w:val="0"/>
                <w:sz w:val="21"/>
                <w:szCs w:val="21"/>
                <w:lang w:val="zh-CN"/>
              </w:rPr>
              <w:t>顺通路</w:t>
            </w:r>
            <w:r>
              <w:rPr>
                <w:rFonts w:hint="default"/>
                <w:color w:val="auto"/>
                <w:spacing w:val="0"/>
                <w:sz w:val="21"/>
                <w:szCs w:val="21"/>
                <w:lang w:val="zh-CN"/>
              </w:rPr>
              <w:t>――</w:t>
            </w:r>
            <w:r>
              <w:rPr>
                <w:rStyle w:val="36"/>
                <w:color w:val="000000"/>
                <w:spacing w:val="0"/>
                <w:sz w:val="21"/>
                <w:szCs w:val="21"/>
                <w:lang w:val="en-US" w:eastAsia="zh-CN" w:bidi="ar"/>
              </w:rPr>
              <w:t>松滨大街</w:t>
            </w:r>
          </w:p>
        </w:tc>
        <w:tc>
          <w:tcPr>
            <w:tcW w:w="931" w:type="pct"/>
            <w:noWrap w:val="0"/>
            <w:vAlign w:val="center"/>
          </w:tcPr>
          <w:p w14:paraId="0AC23423">
            <w:pPr>
              <w:spacing w:line="240" w:lineRule="auto"/>
              <w:ind w:firstLine="0" w:firstLineChars="0"/>
              <w:jc w:val="center"/>
              <w:rPr>
                <w:color w:val="auto"/>
                <w:spacing w:val="0"/>
                <w:sz w:val="21"/>
                <w:szCs w:val="21"/>
              </w:rPr>
            </w:pPr>
            <w:r>
              <w:rPr>
                <w:rFonts w:hint="eastAsia"/>
                <w:color w:val="auto"/>
                <w:spacing w:val="0"/>
                <w:sz w:val="21"/>
                <w:szCs w:val="21"/>
              </w:rPr>
              <w:t>城市主干路</w:t>
            </w:r>
          </w:p>
        </w:tc>
        <w:tc>
          <w:tcPr>
            <w:tcW w:w="948" w:type="pct"/>
            <w:noWrap w:val="0"/>
            <w:vAlign w:val="center"/>
          </w:tcPr>
          <w:p w14:paraId="27A3B9C0">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cs="Times New Roman"/>
                <w:color w:val="auto"/>
                <w:spacing w:val="0"/>
                <w:sz w:val="21"/>
                <w:szCs w:val="21"/>
                <w:lang w:val="en-US" w:eastAsia="zh-CN"/>
              </w:rPr>
              <w:t>1216</w:t>
            </w:r>
          </w:p>
        </w:tc>
      </w:tr>
      <w:tr w14:paraId="5F999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40" w:type="pct"/>
            <w:noWrap w:val="0"/>
            <w:vAlign w:val="center"/>
          </w:tcPr>
          <w:p w14:paraId="28D161E3">
            <w:pPr>
              <w:spacing w:line="240" w:lineRule="auto"/>
              <w:ind w:firstLine="0" w:firstLineChars="0"/>
              <w:jc w:val="center"/>
              <w:rPr>
                <w:color w:val="auto"/>
                <w:spacing w:val="0"/>
                <w:sz w:val="21"/>
                <w:szCs w:val="21"/>
              </w:rPr>
            </w:pPr>
            <w:r>
              <w:rPr>
                <w:rFonts w:hint="eastAsia"/>
                <w:color w:val="auto"/>
                <w:spacing w:val="0"/>
                <w:sz w:val="21"/>
                <w:szCs w:val="21"/>
              </w:rPr>
              <w:t>6</w:t>
            </w:r>
            <w:r>
              <w:rPr>
                <w:rFonts w:hint="eastAsia"/>
                <w:color w:val="auto"/>
                <w:spacing w:val="0"/>
                <w:sz w:val="21"/>
                <w:szCs w:val="21"/>
                <w:lang w:val="en-US" w:eastAsia="zh-CN"/>
              </w:rPr>
              <w:t>#</w:t>
            </w:r>
          </w:p>
        </w:tc>
        <w:tc>
          <w:tcPr>
            <w:tcW w:w="932" w:type="pct"/>
            <w:noWrap w:val="0"/>
            <w:vAlign w:val="center"/>
          </w:tcPr>
          <w:p w14:paraId="34998185">
            <w:pPr>
              <w:pStyle w:val="29"/>
              <w:ind w:firstLine="0" w:firstLineChars="0"/>
              <w:rPr>
                <w:rFonts w:hint="default" w:ascii="Times New Roman" w:hAnsi="Times New Roman" w:eastAsia="宋体" w:cs="Times New Roman"/>
                <w:color w:val="auto"/>
                <w:spacing w:val="0"/>
              </w:rPr>
            </w:pPr>
            <w:r>
              <w:rPr>
                <w:rStyle w:val="36"/>
                <w:color w:val="000000"/>
                <w:spacing w:val="0"/>
                <w:lang w:val="en-US" w:eastAsia="zh-CN" w:bidi="ar"/>
              </w:rPr>
              <w:t>滨北路</w:t>
            </w:r>
          </w:p>
        </w:tc>
        <w:tc>
          <w:tcPr>
            <w:tcW w:w="1547" w:type="pct"/>
            <w:noWrap w:val="0"/>
            <w:vAlign w:val="center"/>
          </w:tcPr>
          <w:p w14:paraId="2FDEC999">
            <w:pPr>
              <w:pStyle w:val="29"/>
              <w:rPr>
                <w:rFonts w:hint="default"/>
                <w:color w:val="auto"/>
                <w:spacing w:val="0"/>
                <w:sz w:val="21"/>
                <w:szCs w:val="21"/>
                <w:highlight w:val="none"/>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北环路</w:t>
            </w:r>
            <w:r>
              <w:rPr>
                <w:rFonts w:hint="default"/>
                <w:color w:val="auto"/>
                <w:spacing w:val="0"/>
                <w:sz w:val="21"/>
                <w:szCs w:val="21"/>
                <w:highlight w:val="none"/>
                <w:lang w:val="zh-CN"/>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松滨大街</w:t>
            </w:r>
          </w:p>
        </w:tc>
        <w:tc>
          <w:tcPr>
            <w:tcW w:w="931" w:type="pct"/>
            <w:noWrap w:val="0"/>
            <w:vAlign w:val="center"/>
          </w:tcPr>
          <w:p w14:paraId="11E7F87A">
            <w:pPr>
              <w:spacing w:line="240" w:lineRule="auto"/>
              <w:ind w:firstLine="0" w:firstLineChars="0"/>
              <w:jc w:val="center"/>
              <w:rPr>
                <w:color w:val="auto"/>
                <w:spacing w:val="0"/>
                <w:sz w:val="21"/>
                <w:szCs w:val="21"/>
              </w:rPr>
            </w:pPr>
            <w:r>
              <w:rPr>
                <w:rFonts w:hint="eastAsia"/>
                <w:color w:val="auto"/>
                <w:spacing w:val="0"/>
                <w:sz w:val="21"/>
                <w:szCs w:val="21"/>
              </w:rPr>
              <w:t>城市主干路</w:t>
            </w:r>
          </w:p>
        </w:tc>
        <w:tc>
          <w:tcPr>
            <w:tcW w:w="948" w:type="pct"/>
            <w:noWrap w:val="0"/>
            <w:vAlign w:val="center"/>
          </w:tcPr>
          <w:p w14:paraId="0CA83683">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cs="Times New Roman"/>
                <w:color w:val="auto"/>
                <w:spacing w:val="0"/>
                <w:sz w:val="21"/>
                <w:szCs w:val="21"/>
                <w:lang w:val="en-US" w:eastAsia="zh-CN"/>
              </w:rPr>
              <w:t>1722</w:t>
            </w:r>
          </w:p>
        </w:tc>
      </w:tr>
      <w:tr w14:paraId="1B1152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40" w:type="pct"/>
            <w:noWrap w:val="0"/>
            <w:vAlign w:val="center"/>
          </w:tcPr>
          <w:p w14:paraId="2F68E7DE">
            <w:pPr>
              <w:spacing w:line="240" w:lineRule="auto"/>
              <w:ind w:firstLine="0" w:firstLineChars="0"/>
              <w:jc w:val="center"/>
              <w:rPr>
                <w:color w:val="auto"/>
                <w:spacing w:val="0"/>
                <w:sz w:val="21"/>
                <w:szCs w:val="21"/>
              </w:rPr>
            </w:pPr>
            <w:r>
              <w:rPr>
                <w:rFonts w:hint="eastAsia"/>
                <w:color w:val="auto"/>
                <w:spacing w:val="0"/>
                <w:sz w:val="21"/>
                <w:szCs w:val="21"/>
              </w:rPr>
              <w:t>7</w:t>
            </w:r>
            <w:r>
              <w:rPr>
                <w:rFonts w:hint="eastAsia"/>
                <w:color w:val="auto"/>
                <w:spacing w:val="0"/>
                <w:sz w:val="21"/>
                <w:szCs w:val="21"/>
                <w:lang w:val="en-US" w:eastAsia="zh-CN"/>
              </w:rPr>
              <w:t>#</w:t>
            </w:r>
          </w:p>
        </w:tc>
        <w:tc>
          <w:tcPr>
            <w:tcW w:w="932" w:type="pct"/>
            <w:noWrap w:val="0"/>
            <w:vAlign w:val="center"/>
          </w:tcPr>
          <w:p w14:paraId="51CDC361">
            <w:pPr>
              <w:pStyle w:val="29"/>
              <w:ind w:firstLine="0" w:firstLineChars="0"/>
              <w:rPr>
                <w:rFonts w:hint="default" w:ascii="Times New Roman" w:hAnsi="Times New Roman" w:eastAsia="宋体" w:cs="Times New Roman"/>
                <w:color w:val="auto"/>
                <w:spacing w:val="0"/>
              </w:rPr>
            </w:pPr>
            <w:r>
              <w:rPr>
                <w:rStyle w:val="36"/>
                <w:color w:val="000000"/>
                <w:spacing w:val="0"/>
                <w:lang w:val="en-US" w:eastAsia="zh-CN" w:bidi="ar"/>
              </w:rPr>
              <w:t>西环路</w:t>
            </w:r>
          </w:p>
        </w:tc>
        <w:tc>
          <w:tcPr>
            <w:tcW w:w="1547" w:type="pct"/>
            <w:noWrap w:val="0"/>
            <w:vAlign w:val="center"/>
          </w:tcPr>
          <w:p w14:paraId="7F5FFE7C">
            <w:pPr>
              <w:pStyle w:val="29"/>
              <w:rPr>
                <w:rFonts w:hint="default"/>
                <w:color w:val="auto"/>
                <w:spacing w:val="0"/>
                <w:sz w:val="21"/>
                <w:szCs w:val="21"/>
                <w:highlight w:val="none"/>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红星大街</w:t>
            </w:r>
            <w:r>
              <w:rPr>
                <w:rFonts w:hint="default"/>
                <w:color w:val="auto"/>
                <w:spacing w:val="0"/>
                <w:sz w:val="21"/>
                <w:szCs w:val="21"/>
                <w:highlight w:val="none"/>
                <w:lang w:val="zh-CN"/>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松滨大街</w:t>
            </w:r>
          </w:p>
        </w:tc>
        <w:tc>
          <w:tcPr>
            <w:tcW w:w="931" w:type="pct"/>
            <w:noWrap w:val="0"/>
            <w:vAlign w:val="center"/>
          </w:tcPr>
          <w:p w14:paraId="2244D554">
            <w:pPr>
              <w:spacing w:line="240" w:lineRule="auto"/>
              <w:ind w:firstLine="0" w:firstLineChars="0"/>
              <w:jc w:val="center"/>
              <w:rPr>
                <w:color w:val="auto"/>
                <w:spacing w:val="0"/>
                <w:sz w:val="21"/>
                <w:szCs w:val="21"/>
              </w:rPr>
            </w:pPr>
            <w:r>
              <w:rPr>
                <w:rFonts w:hint="eastAsia"/>
                <w:color w:val="auto"/>
                <w:spacing w:val="0"/>
                <w:sz w:val="21"/>
                <w:szCs w:val="21"/>
              </w:rPr>
              <w:t>城市主干路</w:t>
            </w:r>
          </w:p>
        </w:tc>
        <w:tc>
          <w:tcPr>
            <w:tcW w:w="948" w:type="pct"/>
            <w:noWrap w:val="0"/>
            <w:vAlign w:val="center"/>
          </w:tcPr>
          <w:p w14:paraId="25099C5F">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cs="Times New Roman"/>
                <w:color w:val="auto"/>
                <w:spacing w:val="0"/>
                <w:sz w:val="21"/>
                <w:szCs w:val="21"/>
                <w:lang w:val="en-US" w:eastAsia="zh-CN"/>
              </w:rPr>
              <w:t>834</w:t>
            </w:r>
          </w:p>
        </w:tc>
      </w:tr>
      <w:tr w14:paraId="0FA60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40" w:type="pct"/>
            <w:noWrap w:val="0"/>
            <w:vAlign w:val="center"/>
          </w:tcPr>
          <w:p w14:paraId="6074029B">
            <w:pPr>
              <w:spacing w:line="240" w:lineRule="auto"/>
              <w:ind w:firstLine="0" w:firstLineChars="0"/>
              <w:jc w:val="center"/>
              <w:rPr>
                <w:color w:val="auto"/>
                <w:spacing w:val="0"/>
                <w:sz w:val="21"/>
                <w:szCs w:val="21"/>
              </w:rPr>
            </w:pPr>
            <w:r>
              <w:rPr>
                <w:rFonts w:hint="eastAsia"/>
                <w:color w:val="auto"/>
                <w:spacing w:val="0"/>
                <w:sz w:val="21"/>
                <w:szCs w:val="21"/>
              </w:rPr>
              <w:t>8</w:t>
            </w:r>
            <w:r>
              <w:rPr>
                <w:rFonts w:hint="eastAsia"/>
                <w:color w:val="auto"/>
                <w:spacing w:val="0"/>
                <w:sz w:val="21"/>
                <w:szCs w:val="21"/>
                <w:lang w:val="en-US" w:eastAsia="zh-CN"/>
              </w:rPr>
              <w:t>#</w:t>
            </w:r>
          </w:p>
        </w:tc>
        <w:tc>
          <w:tcPr>
            <w:tcW w:w="932" w:type="pct"/>
            <w:noWrap w:val="0"/>
            <w:vAlign w:val="center"/>
          </w:tcPr>
          <w:p w14:paraId="0EC4AE35">
            <w:pPr>
              <w:pStyle w:val="29"/>
              <w:ind w:firstLine="0" w:firstLineChars="0"/>
              <w:rPr>
                <w:rFonts w:hint="default" w:ascii="Times New Roman" w:hAnsi="Times New Roman" w:eastAsia="宋体" w:cs="Times New Roman"/>
                <w:color w:val="auto"/>
                <w:spacing w:val="0"/>
              </w:rPr>
            </w:pPr>
            <w:r>
              <w:rPr>
                <w:rStyle w:val="36"/>
                <w:color w:val="000000"/>
                <w:spacing w:val="0"/>
                <w:lang w:val="en-US" w:eastAsia="zh-CN" w:bidi="ar"/>
              </w:rPr>
              <w:t>振兴大街</w:t>
            </w:r>
          </w:p>
        </w:tc>
        <w:tc>
          <w:tcPr>
            <w:tcW w:w="1547" w:type="pct"/>
            <w:noWrap w:val="0"/>
            <w:vAlign w:val="center"/>
          </w:tcPr>
          <w:p w14:paraId="72860E2C">
            <w:pPr>
              <w:pStyle w:val="29"/>
              <w:rPr>
                <w:rFonts w:hint="default"/>
                <w:color w:val="auto"/>
                <w:spacing w:val="0"/>
                <w:sz w:val="21"/>
                <w:szCs w:val="21"/>
                <w:highlight w:val="none"/>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红星大街</w:t>
            </w:r>
            <w:r>
              <w:rPr>
                <w:color w:val="auto"/>
                <w:spacing w:val="0"/>
                <w:sz w:val="21"/>
                <w:szCs w:val="21"/>
                <w:highlight w:val="none"/>
                <w:lang w:val="zh-CN"/>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东辉路</w:t>
            </w:r>
          </w:p>
        </w:tc>
        <w:tc>
          <w:tcPr>
            <w:tcW w:w="931" w:type="pct"/>
            <w:noWrap w:val="0"/>
            <w:vAlign w:val="center"/>
          </w:tcPr>
          <w:p w14:paraId="0E7A19C2">
            <w:pPr>
              <w:spacing w:line="240" w:lineRule="auto"/>
              <w:ind w:firstLine="0" w:firstLineChars="0"/>
              <w:jc w:val="center"/>
              <w:rPr>
                <w:color w:val="auto"/>
                <w:spacing w:val="0"/>
                <w:sz w:val="21"/>
                <w:szCs w:val="21"/>
              </w:rPr>
            </w:pPr>
            <w:r>
              <w:rPr>
                <w:rFonts w:hint="eastAsia"/>
                <w:color w:val="auto"/>
                <w:spacing w:val="0"/>
                <w:sz w:val="21"/>
                <w:szCs w:val="21"/>
              </w:rPr>
              <w:t>城市</w:t>
            </w:r>
            <w:r>
              <w:rPr>
                <w:rFonts w:hint="eastAsia"/>
                <w:color w:val="auto"/>
                <w:spacing w:val="0"/>
                <w:sz w:val="21"/>
                <w:szCs w:val="21"/>
                <w:lang w:eastAsia="zh-CN"/>
              </w:rPr>
              <w:t>次</w:t>
            </w:r>
            <w:r>
              <w:rPr>
                <w:rFonts w:hint="eastAsia"/>
                <w:color w:val="auto"/>
                <w:spacing w:val="0"/>
                <w:sz w:val="21"/>
                <w:szCs w:val="21"/>
              </w:rPr>
              <w:t>干路</w:t>
            </w:r>
          </w:p>
        </w:tc>
        <w:tc>
          <w:tcPr>
            <w:tcW w:w="948" w:type="pct"/>
            <w:noWrap w:val="0"/>
            <w:vAlign w:val="center"/>
          </w:tcPr>
          <w:p w14:paraId="7A6B38EC">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cs="Times New Roman"/>
                <w:color w:val="auto"/>
                <w:spacing w:val="0"/>
                <w:sz w:val="21"/>
                <w:szCs w:val="21"/>
                <w:lang w:val="en-US" w:eastAsia="zh-CN"/>
              </w:rPr>
              <w:t>3224</w:t>
            </w:r>
          </w:p>
        </w:tc>
      </w:tr>
      <w:tr w14:paraId="1434C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40" w:type="pct"/>
            <w:noWrap w:val="0"/>
            <w:vAlign w:val="center"/>
          </w:tcPr>
          <w:p w14:paraId="1033C5CE">
            <w:pPr>
              <w:spacing w:line="240" w:lineRule="auto"/>
              <w:ind w:firstLine="0" w:firstLineChars="0"/>
              <w:jc w:val="center"/>
              <w:rPr>
                <w:color w:val="auto"/>
                <w:spacing w:val="0"/>
                <w:sz w:val="21"/>
                <w:szCs w:val="21"/>
              </w:rPr>
            </w:pPr>
            <w:r>
              <w:rPr>
                <w:rFonts w:hint="eastAsia"/>
                <w:color w:val="auto"/>
                <w:spacing w:val="0"/>
                <w:sz w:val="21"/>
                <w:szCs w:val="21"/>
              </w:rPr>
              <w:t>9</w:t>
            </w:r>
            <w:r>
              <w:rPr>
                <w:rFonts w:hint="eastAsia"/>
                <w:color w:val="auto"/>
                <w:spacing w:val="0"/>
                <w:sz w:val="21"/>
                <w:szCs w:val="21"/>
                <w:lang w:val="en-US" w:eastAsia="zh-CN"/>
              </w:rPr>
              <w:t>#</w:t>
            </w:r>
          </w:p>
        </w:tc>
        <w:tc>
          <w:tcPr>
            <w:tcW w:w="932" w:type="pct"/>
            <w:noWrap w:val="0"/>
            <w:vAlign w:val="center"/>
          </w:tcPr>
          <w:p w14:paraId="1888D584">
            <w:pPr>
              <w:pStyle w:val="29"/>
              <w:ind w:firstLine="0" w:firstLineChars="0"/>
              <w:rPr>
                <w:rFonts w:hint="default" w:ascii="Times New Roman" w:hAnsi="Times New Roman" w:eastAsia="宋体" w:cs="Times New Roman"/>
                <w:color w:val="auto"/>
                <w:spacing w:val="0"/>
              </w:rPr>
            </w:pPr>
            <w:r>
              <w:rPr>
                <w:rStyle w:val="36"/>
                <w:color w:val="000000"/>
                <w:spacing w:val="0"/>
                <w:lang w:val="en-US" w:eastAsia="zh-CN" w:bidi="ar"/>
              </w:rPr>
              <w:t>田丰街</w:t>
            </w:r>
          </w:p>
        </w:tc>
        <w:tc>
          <w:tcPr>
            <w:tcW w:w="1547" w:type="pct"/>
            <w:noWrap w:val="0"/>
            <w:vAlign w:val="center"/>
          </w:tcPr>
          <w:p w14:paraId="5FF11E00">
            <w:pPr>
              <w:pStyle w:val="29"/>
              <w:rPr>
                <w:color w:val="auto"/>
                <w:spacing w:val="0"/>
                <w:sz w:val="21"/>
                <w:szCs w:val="21"/>
                <w:highlight w:val="none"/>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近河路</w:t>
            </w:r>
            <w:r>
              <w:rPr>
                <w:rFonts w:hint="default"/>
                <w:color w:val="auto"/>
                <w:spacing w:val="0"/>
                <w:sz w:val="21"/>
                <w:szCs w:val="21"/>
                <w:highlight w:val="none"/>
                <w:lang w:val="zh-CN"/>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通江路</w:t>
            </w:r>
          </w:p>
        </w:tc>
        <w:tc>
          <w:tcPr>
            <w:tcW w:w="931" w:type="pct"/>
            <w:noWrap w:val="0"/>
            <w:vAlign w:val="center"/>
          </w:tcPr>
          <w:p w14:paraId="1BF85453">
            <w:pPr>
              <w:spacing w:line="240" w:lineRule="auto"/>
              <w:ind w:firstLine="0" w:firstLineChars="0"/>
              <w:jc w:val="center"/>
              <w:rPr>
                <w:color w:val="auto"/>
                <w:spacing w:val="0"/>
                <w:sz w:val="21"/>
                <w:szCs w:val="21"/>
              </w:rPr>
            </w:pPr>
            <w:r>
              <w:rPr>
                <w:rFonts w:hint="eastAsia"/>
                <w:color w:val="auto"/>
                <w:spacing w:val="0"/>
                <w:sz w:val="21"/>
                <w:szCs w:val="21"/>
              </w:rPr>
              <w:t>城市</w:t>
            </w:r>
            <w:r>
              <w:rPr>
                <w:rFonts w:hint="eastAsia"/>
                <w:color w:val="auto"/>
                <w:spacing w:val="0"/>
                <w:sz w:val="21"/>
                <w:szCs w:val="21"/>
                <w:lang w:eastAsia="zh-CN"/>
              </w:rPr>
              <w:t>次</w:t>
            </w:r>
            <w:r>
              <w:rPr>
                <w:rFonts w:hint="eastAsia"/>
                <w:color w:val="auto"/>
                <w:spacing w:val="0"/>
                <w:sz w:val="21"/>
                <w:szCs w:val="21"/>
              </w:rPr>
              <w:t>干路</w:t>
            </w:r>
          </w:p>
        </w:tc>
        <w:tc>
          <w:tcPr>
            <w:tcW w:w="948" w:type="pct"/>
            <w:noWrap w:val="0"/>
            <w:vAlign w:val="center"/>
          </w:tcPr>
          <w:p w14:paraId="4AC4C848">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cs="Times New Roman"/>
                <w:color w:val="auto"/>
                <w:spacing w:val="0"/>
                <w:sz w:val="21"/>
                <w:szCs w:val="21"/>
                <w:lang w:val="en-US" w:eastAsia="zh-CN"/>
              </w:rPr>
              <w:t>1775</w:t>
            </w:r>
          </w:p>
        </w:tc>
      </w:tr>
      <w:tr w14:paraId="69E4F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40" w:type="pct"/>
            <w:noWrap w:val="0"/>
            <w:vAlign w:val="center"/>
          </w:tcPr>
          <w:p w14:paraId="47D599D2">
            <w:pPr>
              <w:spacing w:line="240" w:lineRule="auto"/>
              <w:ind w:firstLine="0" w:firstLineChars="0"/>
              <w:jc w:val="center"/>
              <w:rPr>
                <w:color w:val="auto"/>
                <w:spacing w:val="0"/>
                <w:sz w:val="21"/>
                <w:szCs w:val="21"/>
              </w:rPr>
            </w:pPr>
            <w:r>
              <w:rPr>
                <w:rFonts w:hint="eastAsia"/>
                <w:color w:val="auto"/>
                <w:spacing w:val="0"/>
                <w:sz w:val="21"/>
                <w:szCs w:val="21"/>
              </w:rPr>
              <w:t>10</w:t>
            </w:r>
            <w:r>
              <w:rPr>
                <w:rFonts w:hint="eastAsia"/>
                <w:color w:val="auto"/>
                <w:spacing w:val="0"/>
                <w:sz w:val="21"/>
                <w:szCs w:val="21"/>
                <w:lang w:val="en-US" w:eastAsia="zh-CN"/>
              </w:rPr>
              <w:t>#</w:t>
            </w:r>
          </w:p>
        </w:tc>
        <w:tc>
          <w:tcPr>
            <w:tcW w:w="932" w:type="pct"/>
            <w:noWrap w:val="0"/>
            <w:vAlign w:val="center"/>
          </w:tcPr>
          <w:p w14:paraId="5C55A8A0">
            <w:pPr>
              <w:pStyle w:val="29"/>
              <w:ind w:firstLine="0" w:firstLineChars="0"/>
              <w:rPr>
                <w:rFonts w:hint="default" w:ascii="Times New Roman" w:hAnsi="Times New Roman" w:eastAsia="宋体" w:cs="Times New Roman"/>
                <w:color w:val="auto"/>
                <w:spacing w:val="0"/>
              </w:rPr>
            </w:pPr>
            <w:r>
              <w:rPr>
                <w:rStyle w:val="36"/>
                <w:color w:val="000000"/>
                <w:spacing w:val="0"/>
                <w:lang w:val="en-US" w:eastAsia="zh-CN" w:bidi="ar"/>
              </w:rPr>
              <w:t>渡口路</w:t>
            </w:r>
          </w:p>
        </w:tc>
        <w:tc>
          <w:tcPr>
            <w:tcW w:w="1547" w:type="pct"/>
            <w:noWrap w:val="0"/>
            <w:vAlign w:val="center"/>
          </w:tcPr>
          <w:p w14:paraId="3D969FC2">
            <w:pPr>
              <w:pStyle w:val="29"/>
              <w:rPr>
                <w:rFonts w:hint="default"/>
                <w:color w:val="auto"/>
                <w:spacing w:val="0"/>
                <w:sz w:val="21"/>
                <w:szCs w:val="21"/>
                <w:highlight w:val="none"/>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顺通街</w:t>
            </w:r>
            <w:r>
              <w:rPr>
                <w:rFonts w:hint="default"/>
                <w:color w:val="auto"/>
                <w:spacing w:val="0"/>
                <w:sz w:val="21"/>
                <w:szCs w:val="21"/>
                <w:highlight w:val="none"/>
                <w:lang w:val="zh-CN"/>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江滨街</w:t>
            </w:r>
          </w:p>
        </w:tc>
        <w:tc>
          <w:tcPr>
            <w:tcW w:w="931" w:type="pct"/>
            <w:noWrap w:val="0"/>
            <w:vAlign w:val="center"/>
          </w:tcPr>
          <w:p w14:paraId="7FB7BA68">
            <w:pPr>
              <w:spacing w:line="240" w:lineRule="auto"/>
              <w:ind w:firstLine="0" w:firstLineChars="0"/>
              <w:jc w:val="center"/>
              <w:rPr>
                <w:color w:val="auto"/>
                <w:spacing w:val="0"/>
                <w:sz w:val="21"/>
                <w:szCs w:val="21"/>
              </w:rPr>
            </w:pPr>
            <w:r>
              <w:rPr>
                <w:rFonts w:hint="eastAsia"/>
                <w:color w:val="auto"/>
                <w:spacing w:val="0"/>
                <w:sz w:val="21"/>
                <w:szCs w:val="21"/>
              </w:rPr>
              <w:t>城市</w:t>
            </w:r>
            <w:r>
              <w:rPr>
                <w:rFonts w:hint="eastAsia"/>
                <w:color w:val="auto"/>
                <w:spacing w:val="0"/>
                <w:sz w:val="21"/>
                <w:szCs w:val="21"/>
                <w:lang w:eastAsia="zh-CN"/>
              </w:rPr>
              <w:t>次</w:t>
            </w:r>
            <w:r>
              <w:rPr>
                <w:rFonts w:hint="eastAsia"/>
                <w:color w:val="auto"/>
                <w:spacing w:val="0"/>
                <w:sz w:val="21"/>
                <w:szCs w:val="21"/>
              </w:rPr>
              <w:t>干路</w:t>
            </w:r>
          </w:p>
        </w:tc>
        <w:tc>
          <w:tcPr>
            <w:tcW w:w="948" w:type="pct"/>
            <w:noWrap w:val="0"/>
            <w:vAlign w:val="center"/>
          </w:tcPr>
          <w:p w14:paraId="78950F3A">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cs="Times New Roman"/>
                <w:color w:val="auto"/>
                <w:spacing w:val="0"/>
                <w:sz w:val="21"/>
                <w:szCs w:val="21"/>
                <w:lang w:val="en-US" w:eastAsia="zh-CN"/>
              </w:rPr>
              <w:t>2028</w:t>
            </w:r>
          </w:p>
        </w:tc>
      </w:tr>
      <w:tr w14:paraId="3A8FA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40" w:type="pct"/>
            <w:noWrap w:val="0"/>
            <w:vAlign w:val="center"/>
          </w:tcPr>
          <w:p w14:paraId="6C6A9534">
            <w:pPr>
              <w:spacing w:line="240" w:lineRule="auto"/>
              <w:ind w:firstLine="0" w:firstLineChars="0"/>
              <w:jc w:val="center"/>
              <w:rPr>
                <w:color w:val="auto"/>
                <w:spacing w:val="0"/>
                <w:sz w:val="21"/>
                <w:szCs w:val="21"/>
              </w:rPr>
            </w:pPr>
            <w:r>
              <w:rPr>
                <w:rFonts w:hint="eastAsia"/>
                <w:color w:val="auto"/>
                <w:spacing w:val="0"/>
                <w:sz w:val="21"/>
                <w:szCs w:val="21"/>
              </w:rPr>
              <w:t>11</w:t>
            </w:r>
            <w:r>
              <w:rPr>
                <w:rFonts w:hint="eastAsia"/>
                <w:color w:val="auto"/>
                <w:spacing w:val="0"/>
                <w:sz w:val="21"/>
                <w:szCs w:val="21"/>
                <w:lang w:val="en-US" w:eastAsia="zh-CN"/>
              </w:rPr>
              <w:t>#</w:t>
            </w:r>
          </w:p>
        </w:tc>
        <w:tc>
          <w:tcPr>
            <w:tcW w:w="932" w:type="pct"/>
            <w:noWrap w:val="0"/>
            <w:vAlign w:val="center"/>
          </w:tcPr>
          <w:p w14:paraId="2F630E66">
            <w:pPr>
              <w:pStyle w:val="29"/>
              <w:ind w:firstLine="0" w:firstLineChars="0"/>
              <w:rPr>
                <w:rFonts w:hint="default" w:ascii="Times New Roman" w:hAnsi="Times New Roman" w:eastAsia="宋体" w:cs="Times New Roman"/>
                <w:color w:val="auto"/>
                <w:spacing w:val="0"/>
              </w:rPr>
            </w:pPr>
            <w:r>
              <w:rPr>
                <w:rStyle w:val="36"/>
                <w:color w:val="000000"/>
                <w:spacing w:val="0"/>
                <w:lang w:val="en-US" w:eastAsia="zh-CN" w:bidi="ar"/>
              </w:rPr>
              <w:t>东辉路</w:t>
            </w:r>
          </w:p>
        </w:tc>
        <w:tc>
          <w:tcPr>
            <w:tcW w:w="1547" w:type="pct"/>
            <w:noWrap w:val="0"/>
            <w:vAlign w:val="center"/>
          </w:tcPr>
          <w:p w14:paraId="6769B84C">
            <w:pPr>
              <w:pStyle w:val="29"/>
              <w:rPr>
                <w:rFonts w:hint="default"/>
                <w:color w:val="auto"/>
                <w:spacing w:val="0"/>
                <w:sz w:val="21"/>
                <w:szCs w:val="21"/>
                <w:highlight w:val="none"/>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红星东街</w:t>
            </w:r>
            <w:r>
              <w:rPr>
                <w:rFonts w:hint="default"/>
                <w:color w:val="auto"/>
                <w:spacing w:val="0"/>
                <w:sz w:val="21"/>
                <w:szCs w:val="21"/>
                <w:highlight w:val="none"/>
                <w:lang w:val="zh-CN"/>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江滨街</w:t>
            </w:r>
          </w:p>
        </w:tc>
        <w:tc>
          <w:tcPr>
            <w:tcW w:w="931" w:type="pct"/>
            <w:noWrap w:val="0"/>
            <w:vAlign w:val="center"/>
          </w:tcPr>
          <w:p w14:paraId="44D22D1F">
            <w:pPr>
              <w:spacing w:line="240" w:lineRule="auto"/>
              <w:ind w:firstLine="0" w:firstLineChars="0"/>
              <w:jc w:val="center"/>
              <w:rPr>
                <w:color w:val="auto"/>
                <w:spacing w:val="0"/>
                <w:sz w:val="21"/>
                <w:szCs w:val="21"/>
              </w:rPr>
            </w:pPr>
            <w:r>
              <w:rPr>
                <w:rFonts w:hint="eastAsia"/>
                <w:color w:val="auto"/>
                <w:spacing w:val="0"/>
                <w:sz w:val="21"/>
                <w:szCs w:val="21"/>
              </w:rPr>
              <w:t>城市</w:t>
            </w:r>
            <w:r>
              <w:rPr>
                <w:rFonts w:hint="eastAsia"/>
                <w:color w:val="auto"/>
                <w:spacing w:val="0"/>
                <w:sz w:val="21"/>
                <w:szCs w:val="21"/>
                <w:lang w:eastAsia="zh-CN"/>
              </w:rPr>
              <w:t>次</w:t>
            </w:r>
            <w:r>
              <w:rPr>
                <w:rFonts w:hint="eastAsia"/>
                <w:color w:val="auto"/>
                <w:spacing w:val="0"/>
                <w:sz w:val="21"/>
                <w:szCs w:val="21"/>
              </w:rPr>
              <w:t>干路</w:t>
            </w:r>
          </w:p>
        </w:tc>
        <w:tc>
          <w:tcPr>
            <w:tcW w:w="948" w:type="pct"/>
            <w:noWrap w:val="0"/>
            <w:vAlign w:val="center"/>
          </w:tcPr>
          <w:p w14:paraId="43BDD87C">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cs="Times New Roman"/>
                <w:color w:val="auto"/>
                <w:spacing w:val="0"/>
                <w:sz w:val="21"/>
                <w:szCs w:val="21"/>
                <w:lang w:val="en-US" w:eastAsia="zh-CN"/>
              </w:rPr>
              <w:t>1120</w:t>
            </w:r>
          </w:p>
        </w:tc>
      </w:tr>
      <w:tr w14:paraId="56558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40" w:type="pct"/>
            <w:noWrap w:val="0"/>
            <w:vAlign w:val="center"/>
          </w:tcPr>
          <w:p w14:paraId="772A7DB6">
            <w:pPr>
              <w:spacing w:line="240" w:lineRule="auto"/>
              <w:ind w:firstLine="0" w:firstLineChars="0"/>
              <w:jc w:val="center"/>
              <w:rPr>
                <w:color w:val="auto"/>
                <w:spacing w:val="0"/>
                <w:sz w:val="21"/>
                <w:szCs w:val="21"/>
              </w:rPr>
            </w:pPr>
            <w:r>
              <w:rPr>
                <w:rFonts w:hint="eastAsia"/>
                <w:color w:val="auto"/>
                <w:spacing w:val="0"/>
                <w:sz w:val="21"/>
                <w:szCs w:val="21"/>
              </w:rPr>
              <w:t>12</w:t>
            </w:r>
            <w:r>
              <w:rPr>
                <w:rFonts w:hint="eastAsia"/>
                <w:color w:val="auto"/>
                <w:spacing w:val="0"/>
                <w:sz w:val="21"/>
                <w:szCs w:val="21"/>
                <w:lang w:val="en-US" w:eastAsia="zh-CN"/>
              </w:rPr>
              <w:t>#</w:t>
            </w:r>
          </w:p>
        </w:tc>
        <w:tc>
          <w:tcPr>
            <w:tcW w:w="932" w:type="pct"/>
            <w:noWrap w:val="0"/>
            <w:vAlign w:val="center"/>
          </w:tcPr>
          <w:p w14:paraId="33FC9A73">
            <w:pPr>
              <w:pStyle w:val="29"/>
              <w:ind w:firstLine="0" w:firstLineChars="0"/>
              <w:rPr>
                <w:rFonts w:hint="default" w:ascii="Times New Roman" w:hAnsi="Times New Roman" w:eastAsia="宋体" w:cs="Times New Roman"/>
                <w:color w:val="auto"/>
                <w:spacing w:val="0"/>
              </w:rPr>
            </w:pPr>
            <w:r>
              <w:rPr>
                <w:rStyle w:val="36"/>
                <w:color w:val="000000"/>
                <w:spacing w:val="0"/>
                <w:lang w:val="en-US" w:eastAsia="zh-CN" w:bidi="ar"/>
              </w:rPr>
              <w:t>通江路</w:t>
            </w:r>
          </w:p>
        </w:tc>
        <w:tc>
          <w:tcPr>
            <w:tcW w:w="1547" w:type="pct"/>
            <w:noWrap w:val="0"/>
            <w:vAlign w:val="center"/>
          </w:tcPr>
          <w:p w14:paraId="1B73911B">
            <w:pPr>
              <w:pStyle w:val="29"/>
              <w:rPr>
                <w:color w:val="auto"/>
                <w:spacing w:val="0"/>
                <w:sz w:val="21"/>
                <w:szCs w:val="21"/>
                <w:highlight w:val="none"/>
              </w:rPr>
            </w:pPr>
            <w:r>
              <w:rPr>
                <w:rStyle w:val="36"/>
                <w:color w:val="000000"/>
                <w:spacing w:val="0"/>
                <w:sz w:val="21"/>
                <w:szCs w:val="21"/>
                <w:highlight w:val="none"/>
                <w:lang w:val="en-US" w:eastAsia="zh-CN" w:bidi="ar"/>
              </w:rPr>
              <w:t>松滨大街</w:t>
            </w:r>
            <w:r>
              <w:rPr>
                <w:rFonts w:hint="default"/>
                <w:color w:val="auto"/>
                <w:spacing w:val="0"/>
                <w:sz w:val="21"/>
                <w:szCs w:val="21"/>
                <w:highlight w:val="none"/>
                <w:lang w:val="zh-CN"/>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江堤路</w:t>
            </w:r>
          </w:p>
        </w:tc>
        <w:tc>
          <w:tcPr>
            <w:tcW w:w="931" w:type="pct"/>
            <w:noWrap w:val="0"/>
            <w:vAlign w:val="center"/>
          </w:tcPr>
          <w:p w14:paraId="549C7F49">
            <w:pPr>
              <w:spacing w:line="240" w:lineRule="auto"/>
              <w:ind w:firstLine="0" w:firstLineChars="0"/>
              <w:jc w:val="center"/>
              <w:rPr>
                <w:color w:val="auto"/>
                <w:spacing w:val="0"/>
                <w:sz w:val="21"/>
                <w:szCs w:val="21"/>
              </w:rPr>
            </w:pPr>
            <w:r>
              <w:rPr>
                <w:rFonts w:hint="eastAsia"/>
                <w:color w:val="auto"/>
                <w:spacing w:val="0"/>
                <w:sz w:val="21"/>
                <w:szCs w:val="21"/>
              </w:rPr>
              <w:t>城市</w:t>
            </w:r>
            <w:r>
              <w:rPr>
                <w:rFonts w:hint="eastAsia"/>
                <w:color w:val="auto"/>
                <w:spacing w:val="0"/>
                <w:sz w:val="21"/>
                <w:szCs w:val="21"/>
                <w:lang w:eastAsia="zh-CN"/>
              </w:rPr>
              <w:t>次</w:t>
            </w:r>
            <w:r>
              <w:rPr>
                <w:rFonts w:hint="eastAsia"/>
                <w:color w:val="auto"/>
                <w:spacing w:val="0"/>
                <w:sz w:val="21"/>
                <w:szCs w:val="21"/>
              </w:rPr>
              <w:t>干路</w:t>
            </w:r>
          </w:p>
        </w:tc>
        <w:tc>
          <w:tcPr>
            <w:tcW w:w="948" w:type="pct"/>
            <w:noWrap w:val="0"/>
            <w:vAlign w:val="center"/>
          </w:tcPr>
          <w:p w14:paraId="05E2F61B">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cs="Times New Roman"/>
                <w:color w:val="auto"/>
                <w:spacing w:val="0"/>
                <w:sz w:val="21"/>
                <w:szCs w:val="21"/>
                <w:lang w:val="en-US" w:eastAsia="zh-CN"/>
              </w:rPr>
              <w:t>492</w:t>
            </w:r>
          </w:p>
        </w:tc>
      </w:tr>
      <w:tr w14:paraId="6D4A0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40" w:type="pct"/>
            <w:noWrap w:val="0"/>
            <w:vAlign w:val="center"/>
          </w:tcPr>
          <w:p w14:paraId="0D3749D5">
            <w:pPr>
              <w:spacing w:line="240" w:lineRule="auto"/>
              <w:ind w:firstLine="0" w:firstLineChars="0"/>
              <w:jc w:val="center"/>
              <w:rPr>
                <w:color w:val="auto"/>
                <w:spacing w:val="0"/>
                <w:sz w:val="21"/>
                <w:szCs w:val="21"/>
              </w:rPr>
            </w:pPr>
            <w:r>
              <w:rPr>
                <w:rFonts w:hint="eastAsia"/>
                <w:color w:val="auto"/>
                <w:spacing w:val="0"/>
                <w:sz w:val="21"/>
                <w:szCs w:val="21"/>
              </w:rPr>
              <w:t>13</w:t>
            </w:r>
            <w:r>
              <w:rPr>
                <w:rFonts w:hint="eastAsia"/>
                <w:color w:val="auto"/>
                <w:spacing w:val="0"/>
                <w:sz w:val="21"/>
                <w:szCs w:val="21"/>
                <w:lang w:val="en-US" w:eastAsia="zh-CN"/>
              </w:rPr>
              <w:t>#</w:t>
            </w:r>
          </w:p>
        </w:tc>
        <w:tc>
          <w:tcPr>
            <w:tcW w:w="932" w:type="pct"/>
            <w:noWrap w:val="0"/>
            <w:vAlign w:val="center"/>
          </w:tcPr>
          <w:p w14:paraId="60212067">
            <w:pPr>
              <w:pStyle w:val="29"/>
              <w:ind w:firstLine="0" w:firstLineChars="0"/>
              <w:rPr>
                <w:rFonts w:hint="default" w:ascii="Times New Roman" w:hAnsi="Times New Roman" w:eastAsia="宋体" w:cs="Times New Roman"/>
                <w:color w:val="auto"/>
                <w:spacing w:val="0"/>
              </w:rPr>
            </w:pPr>
            <w:r>
              <w:rPr>
                <w:rStyle w:val="36"/>
                <w:color w:val="000000"/>
                <w:spacing w:val="0"/>
                <w:lang w:val="en-US" w:eastAsia="zh-CN" w:bidi="ar"/>
              </w:rPr>
              <w:t>向阳路</w:t>
            </w:r>
          </w:p>
        </w:tc>
        <w:tc>
          <w:tcPr>
            <w:tcW w:w="1547" w:type="pct"/>
            <w:noWrap w:val="0"/>
            <w:vAlign w:val="center"/>
          </w:tcPr>
          <w:p w14:paraId="2F2E8D6F">
            <w:pPr>
              <w:pStyle w:val="29"/>
              <w:rPr>
                <w:rFonts w:hint="default"/>
                <w:color w:val="auto"/>
                <w:spacing w:val="0"/>
                <w:sz w:val="21"/>
                <w:szCs w:val="21"/>
                <w:highlight w:val="none"/>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红星大街</w:t>
            </w:r>
            <w:r>
              <w:rPr>
                <w:rFonts w:hint="default"/>
                <w:color w:val="auto"/>
                <w:spacing w:val="0"/>
                <w:sz w:val="21"/>
                <w:szCs w:val="21"/>
                <w:highlight w:val="none"/>
                <w:lang w:val="zh-CN"/>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江堤路</w:t>
            </w:r>
          </w:p>
        </w:tc>
        <w:tc>
          <w:tcPr>
            <w:tcW w:w="931" w:type="pct"/>
            <w:noWrap w:val="0"/>
            <w:vAlign w:val="center"/>
          </w:tcPr>
          <w:p w14:paraId="4A6C8DD7">
            <w:pPr>
              <w:spacing w:line="240" w:lineRule="auto"/>
              <w:ind w:firstLine="0" w:firstLineChars="0"/>
              <w:jc w:val="center"/>
              <w:rPr>
                <w:color w:val="auto"/>
                <w:spacing w:val="0"/>
                <w:sz w:val="21"/>
                <w:szCs w:val="21"/>
              </w:rPr>
            </w:pPr>
            <w:r>
              <w:rPr>
                <w:rFonts w:hint="eastAsia"/>
                <w:color w:val="auto"/>
                <w:spacing w:val="0"/>
                <w:sz w:val="21"/>
                <w:szCs w:val="21"/>
              </w:rPr>
              <w:t>城市</w:t>
            </w:r>
            <w:r>
              <w:rPr>
                <w:rFonts w:hint="eastAsia"/>
                <w:color w:val="auto"/>
                <w:spacing w:val="0"/>
                <w:sz w:val="21"/>
                <w:szCs w:val="21"/>
                <w:lang w:eastAsia="zh-CN"/>
              </w:rPr>
              <w:t>次</w:t>
            </w:r>
            <w:r>
              <w:rPr>
                <w:rFonts w:hint="eastAsia"/>
                <w:color w:val="auto"/>
                <w:spacing w:val="0"/>
                <w:sz w:val="21"/>
                <w:szCs w:val="21"/>
              </w:rPr>
              <w:t>干路</w:t>
            </w:r>
          </w:p>
        </w:tc>
        <w:tc>
          <w:tcPr>
            <w:tcW w:w="948" w:type="pct"/>
            <w:noWrap w:val="0"/>
            <w:vAlign w:val="center"/>
          </w:tcPr>
          <w:p w14:paraId="04627714">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cs="Times New Roman"/>
                <w:color w:val="auto"/>
                <w:spacing w:val="0"/>
                <w:sz w:val="21"/>
                <w:szCs w:val="21"/>
                <w:lang w:val="en-US" w:eastAsia="zh-CN"/>
              </w:rPr>
              <w:t>1554</w:t>
            </w:r>
          </w:p>
        </w:tc>
      </w:tr>
      <w:tr w14:paraId="06100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40" w:type="pct"/>
            <w:noWrap w:val="0"/>
            <w:vAlign w:val="center"/>
          </w:tcPr>
          <w:p w14:paraId="7D6305D7">
            <w:pPr>
              <w:spacing w:line="240" w:lineRule="auto"/>
              <w:ind w:firstLine="0" w:firstLineChars="0"/>
              <w:jc w:val="center"/>
              <w:rPr>
                <w:color w:val="auto"/>
                <w:spacing w:val="0"/>
                <w:sz w:val="21"/>
                <w:szCs w:val="21"/>
              </w:rPr>
            </w:pPr>
            <w:r>
              <w:rPr>
                <w:rFonts w:hint="eastAsia"/>
                <w:color w:val="auto"/>
                <w:spacing w:val="0"/>
                <w:sz w:val="21"/>
                <w:szCs w:val="21"/>
              </w:rPr>
              <w:t>14</w:t>
            </w:r>
            <w:r>
              <w:rPr>
                <w:rFonts w:hint="eastAsia"/>
                <w:color w:val="auto"/>
                <w:spacing w:val="0"/>
                <w:sz w:val="21"/>
                <w:szCs w:val="21"/>
                <w:lang w:val="en-US" w:eastAsia="zh-CN"/>
              </w:rPr>
              <w:t>#</w:t>
            </w:r>
          </w:p>
        </w:tc>
        <w:tc>
          <w:tcPr>
            <w:tcW w:w="932" w:type="pct"/>
            <w:noWrap w:val="0"/>
            <w:vAlign w:val="center"/>
          </w:tcPr>
          <w:p w14:paraId="3CE2F893">
            <w:pPr>
              <w:pStyle w:val="29"/>
              <w:ind w:firstLine="0" w:firstLineChars="0"/>
              <w:rPr>
                <w:rFonts w:hint="default" w:ascii="Times New Roman" w:hAnsi="Times New Roman" w:eastAsia="宋体" w:cs="Times New Roman"/>
                <w:color w:val="auto"/>
                <w:spacing w:val="0"/>
              </w:rPr>
            </w:pPr>
            <w:r>
              <w:rPr>
                <w:rStyle w:val="36"/>
                <w:color w:val="000000"/>
                <w:spacing w:val="0"/>
                <w:lang w:val="en-US" w:eastAsia="zh-CN" w:bidi="ar"/>
              </w:rPr>
              <w:t>奋斗路</w:t>
            </w:r>
          </w:p>
        </w:tc>
        <w:tc>
          <w:tcPr>
            <w:tcW w:w="1547" w:type="pct"/>
            <w:noWrap w:val="0"/>
            <w:vAlign w:val="center"/>
          </w:tcPr>
          <w:p w14:paraId="34C07F79">
            <w:pPr>
              <w:pStyle w:val="29"/>
              <w:rPr>
                <w:rFonts w:hint="default"/>
                <w:color w:val="auto"/>
                <w:spacing w:val="0"/>
                <w:sz w:val="21"/>
                <w:szCs w:val="21"/>
                <w:highlight w:val="none"/>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红星大街</w:t>
            </w:r>
            <w:r>
              <w:rPr>
                <w:rFonts w:hint="default"/>
                <w:color w:val="auto"/>
                <w:spacing w:val="0"/>
                <w:sz w:val="21"/>
                <w:szCs w:val="21"/>
                <w:highlight w:val="none"/>
                <w:lang w:val="zh-CN"/>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田丰街</w:t>
            </w:r>
          </w:p>
        </w:tc>
        <w:tc>
          <w:tcPr>
            <w:tcW w:w="931" w:type="pct"/>
            <w:noWrap w:val="0"/>
            <w:vAlign w:val="center"/>
          </w:tcPr>
          <w:p w14:paraId="0655A85A">
            <w:pPr>
              <w:spacing w:line="240" w:lineRule="auto"/>
              <w:ind w:firstLine="0" w:firstLineChars="0"/>
              <w:jc w:val="center"/>
              <w:rPr>
                <w:color w:val="auto"/>
                <w:spacing w:val="0"/>
                <w:sz w:val="21"/>
                <w:szCs w:val="21"/>
              </w:rPr>
            </w:pPr>
            <w:r>
              <w:rPr>
                <w:rFonts w:hint="eastAsia"/>
                <w:color w:val="auto"/>
                <w:spacing w:val="0"/>
                <w:sz w:val="21"/>
                <w:szCs w:val="21"/>
              </w:rPr>
              <w:t>城市</w:t>
            </w:r>
            <w:r>
              <w:rPr>
                <w:rFonts w:hint="eastAsia"/>
                <w:color w:val="auto"/>
                <w:spacing w:val="0"/>
                <w:sz w:val="21"/>
                <w:szCs w:val="21"/>
                <w:lang w:eastAsia="zh-CN"/>
              </w:rPr>
              <w:t>次</w:t>
            </w:r>
            <w:r>
              <w:rPr>
                <w:rFonts w:hint="eastAsia"/>
                <w:color w:val="auto"/>
                <w:spacing w:val="0"/>
                <w:sz w:val="21"/>
                <w:szCs w:val="21"/>
              </w:rPr>
              <w:t>干路</w:t>
            </w:r>
          </w:p>
        </w:tc>
        <w:tc>
          <w:tcPr>
            <w:tcW w:w="948" w:type="pct"/>
            <w:noWrap w:val="0"/>
            <w:vAlign w:val="center"/>
          </w:tcPr>
          <w:p w14:paraId="39D72490">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cs="Times New Roman"/>
                <w:color w:val="auto"/>
                <w:spacing w:val="0"/>
                <w:sz w:val="21"/>
                <w:szCs w:val="21"/>
                <w:lang w:val="en-US" w:eastAsia="zh-CN"/>
              </w:rPr>
              <w:t>1254</w:t>
            </w:r>
          </w:p>
        </w:tc>
      </w:tr>
      <w:tr w14:paraId="749AF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40" w:type="pct"/>
            <w:noWrap w:val="0"/>
            <w:vAlign w:val="center"/>
          </w:tcPr>
          <w:p w14:paraId="577F8114">
            <w:pPr>
              <w:spacing w:line="240" w:lineRule="auto"/>
              <w:ind w:firstLine="0" w:firstLineChars="0"/>
              <w:jc w:val="center"/>
              <w:rPr>
                <w:color w:val="auto"/>
                <w:spacing w:val="0"/>
                <w:sz w:val="21"/>
                <w:szCs w:val="21"/>
              </w:rPr>
            </w:pPr>
            <w:r>
              <w:rPr>
                <w:rFonts w:hint="eastAsia"/>
                <w:color w:val="auto"/>
                <w:spacing w:val="0"/>
                <w:sz w:val="21"/>
                <w:szCs w:val="21"/>
              </w:rPr>
              <w:t>15</w:t>
            </w:r>
            <w:r>
              <w:rPr>
                <w:rFonts w:hint="eastAsia"/>
                <w:color w:val="auto"/>
                <w:spacing w:val="0"/>
                <w:sz w:val="21"/>
                <w:szCs w:val="21"/>
                <w:lang w:val="en-US" w:eastAsia="zh-CN"/>
              </w:rPr>
              <w:t>#</w:t>
            </w:r>
          </w:p>
        </w:tc>
        <w:tc>
          <w:tcPr>
            <w:tcW w:w="932" w:type="pct"/>
            <w:noWrap w:val="0"/>
            <w:vAlign w:val="center"/>
          </w:tcPr>
          <w:p w14:paraId="5F87EB1C">
            <w:pPr>
              <w:pStyle w:val="29"/>
              <w:ind w:firstLine="0" w:firstLineChars="0"/>
              <w:rPr>
                <w:rFonts w:hint="default" w:ascii="Times New Roman" w:hAnsi="Times New Roman" w:eastAsia="宋体" w:cs="Times New Roman"/>
                <w:color w:val="auto"/>
                <w:spacing w:val="0"/>
              </w:rPr>
            </w:pPr>
            <w:r>
              <w:rPr>
                <w:rStyle w:val="36"/>
                <w:color w:val="000000"/>
                <w:spacing w:val="0"/>
                <w:lang w:val="en-US" w:eastAsia="zh-CN" w:bidi="ar"/>
              </w:rPr>
              <w:t>近河路</w:t>
            </w:r>
          </w:p>
        </w:tc>
        <w:tc>
          <w:tcPr>
            <w:tcW w:w="1547" w:type="pct"/>
            <w:noWrap w:val="0"/>
            <w:vAlign w:val="center"/>
          </w:tcPr>
          <w:p w14:paraId="49A1BD57">
            <w:pPr>
              <w:pStyle w:val="29"/>
              <w:rPr>
                <w:rFonts w:hint="default" w:ascii="Times New Roman" w:hAnsi="Times New Roman" w:eastAsia="宋体" w:cs="Times New Roman"/>
                <w:color w:val="auto"/>
                <w:spacing w:val="0"/>
                <w:sz w:val="21"/>
                <w:szCs w:val="21"/>
                <w:highlight w:val="none"/>
              </w:rPr>
            </w:pPr>
            <w:r>
              <w:rPr>
                <w:rStyle w:val="36"/>
                <w:color w:val="000000"/>
                <w:spacing w:val="0"/>
                <w:sz w:val="21"/>
                <w:szCs w:val="21"/>
                <w:highlight w:val="none"/>
                <w:lang w:val="en-US" w:eastAsia="zh-CN" w:bidi="ar"/>
              </w:rPr>
              <w:t>松滨大街</w:t>
            </w:r>
            <w:r>
              <w:rPr>
                <w:rFonts w:hint="eastAsia" w:ascii="Times New Roman" w:hAnsi="Times New Roman" w:eastAsia="宋体" w:cs="Times New Roman"/>
                <w:color w:val="auto"/>
                <w:spacing w:val="0"/>
                <w:sz w:val="21"/>
                <w:szCs w:val="21"/>
                <w:highlight w:val="none"/>
                <w:lang w:val="en-US" w:eastAsia="zh-CN"/>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江堤路</w:t>
            </w:r>
          </w:p>
        </w:tc>
        <w:tc>
          <w:tcPr>
            <w:tcW w:w="931" w:type="pct"/>
            <w:noWrap w:val="0"/>
            <w:vAlign w:val="center"/>
          </w:tcPr>
          <w:p w14:paraId="7D39EA60">
            <w:pPr>
              <w:spacing w:line="240" w:lineRule="auto"/>
              <w:ind w:firstLine="0" w:firstLineChars="0"/>
              <w:jc w:val="center"/>
              <w:rPr>
                <w:rFonts w:hint="default" w:ascii="Times New Roman" w:hAnsi="Times New Roman" w:eastAsia="宋体" w:cs="Times New Roman"/>
                <w:color w:val="auto"/>
                <w:spacing w:val="0"/>
              </w:rPr>
            </w:pPr>
            <w:r>
              <w:rPr>
                <w:rFonts w:hint="eastAsia"/>
                <w:color w:val="auto"/>
                <w:spacing w:val="0"/>
                <w:sz w:val="21"/>
                <w:szCs w:val="21"/>
              </w:rPr>
              <w:t>城市</w:t>
            </w:r>
            <w:r>
              <w:rPr>
                <w:rFonts w:hint="eastAsia"/>
                <w:color w:val="auto"/>
                <w:spacing w:val="0"/>
                <w:sz w:val="21"/>
                <w:szCs w:val="21"/>
                <w:lang w:eastAsia="zh-CN"/>
              </w:rPr>
              <w:t>次</w:t>
            </w:r>
            <w:r>
              <w:rPr>
                <w:rFonts w:hint="eastAsia"/>
                <w:color w:val="auto"/>
                <w:spacing w:val="0"/>
                <w:sz w:val="21"/>
                <w:szCs w:val="21"/>
              </w:rPr>
              <w:t>干路</w:t>
            </w:r>
          </w:p>
        </w:tc>
        <w:tc>
          <w:tcPr>
            <w:tcW w:w="948" w:type="pct"/>
            <w:noWrap w:val="0"/>
            <w:vAlign w:val="center"/>
          </w:tcPr>
          <w:p w14:paraId="519AD4F1">
            <w:pPr>
              <w:spacing w:line="240" w:lineRule="auto"/>
              <w:ind w:firstLine="0" w:firstLineChars="0"/>
              <w:jc w:val="center"/>
              <w:rPr>
                <w:rFonts w:hint="default" w:ascii="Times New Roman" w:hAnsi="Times New Roman" w:eastAsia="宋体" w:cs="Times New Roman"/>
                <w:color w:val="auto"/>
                <w:spacing w:val="0"/>
                <w:sz w:val="21"/>
                <w:szCs w:val="21"/>
                <w:lang w:val="en-US" w:eastAsia="zh-CN"/>
              </w:rPr>
            </w:pPr>
            <w:r>
              <w:rPr>
                <w:rFonts w:hint="eastAsia" w:cs="Times New Roman"/>
                <w:color w:val="auto"/>
                <w:spacing w:val="0"/>
                <w:sz w:val="21"/>
                <w:szCs w:val="21"/>
                <w:lang w:val="en-US" w:eastAsia="zh-CN"/>
              </w:rPr>
              <w:t>488</w:t>
            </w:r>
          </w:p>
        </w:tc>
      </w:tr>
    </w:tbl>
    <w:p w14:paraId="066CC5FA">
      <w:pPr>
        <w:ind w:firstLine="471"/>
        <w:rPr>
          <w:rFonts w:hint="eastAsia"/>
          <w:color w:val="auto"/>
          <w:lang w:eastAsia="zh-CN"/>
        </w:rPr>
      </w:pPr>
    </w:p>
    <w:p w14:paraId="7B12D8CC">
      <w:pPr>
        <w:ind w:firstLine="471"/>
        <w:rPr>
          <w:rFonts w:hint="eastAsia"/>
          <w:color w:val="auto"/>
          <w:lang w:eastAsia="zh-CN"/>
        </w:rPr>
        <w:sectPr>
          <w:pgSz w:w="11906" w:h="16838"/>
          <w:pgMar w:top="1440" w:right="1803" w:bottom="1440" w:left="1803" w:header="794" w:footer="992" w:gutter="0"/>
          <w:pgBorders>
            <w:top w:val="none" w:sz="0" w:space="0"/>
            <w:left w:val="none" w:sz="0" w:space="0"/>
            <w:bottom w:val="none" w:sz="0" w:space="0"/>
            <w:right w:val="none" w:sz="0" w:space="0"/>
          </w:pgBorders>
          <w:pgNumType w:fmt="numberInDash"/>
          <w:cols w:space="720" w:num="1"/>
          <w:rtlGutter w:val="0"/>
          <w:docGrid w:type="linesAndChars" w:linePitch="347" w:charSpace="-874"/>
        </w:sectPr>
      </w:pPr>
    </w:p>
    <w:p w14:paraId="3AD60680">
      <w:pPr>
        <w:ind w:left="0" w:leftChars="0" w:firstLine="0" w:firstLineChars="0"/>
        <w:jc w:val="both"/>
        <w:rPr>
          <w:rFonts w:hint="eastAsia" w:eastAsia="宋体"/>
          <w:color w:val="auto"/>
          <w:lang w:eastAsia="zh-CN"/>
        </w:rPr>
      </w:pPr>
      <w:r>
        <w:rPr>
          <w:rFonts w:hint="eastAsia" w:eastAsia="宋体"/>
          <w:color w:val="auto"/>
          <w:lang w:eastAsia="zh-CN"/>
        </w:rPr>
        <w:drawing>
          <wp:inline distT="0" distB="0" distL="114300" distR="114300">
            <wp:extent cx="8856980" cy="3983355"/>
            <wp:effectExtent l="0" t="0" r="12700" b="9525"/>
            <wp:docPr id="11" name="图片 11" descr="道路交通监测布点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道路交通监测布点图"/>
                    <pic:cNvPicPr>
                      <a:picLocks noChangeAspect="1"/>
                    </pic:cNvPicPr>
                  </pic:nvPicPr>
                  <pic:blipFill>
                    <a:blip r:embed="rId24"/>
                    <a:stretch>
                      <a:fillRect/>
                    </a:stretch>
                  </pic:blipFill>
                  <pic:spPr>
                    <a:xfrm>
                      <a:off x="0" y="0"/>
                      <a:ext cx="8856980" cy="3983355"/>
                    </a:xfrm>
                    <a:prstGeom prst="rect">
                      <a:avLst/>
                    </a:prstGeom>
                  </pic:spPr>
                </pic:pic>
              </a:graphicData>
            </a:graphic>
          </wp:inline>
        </w:drawing>
      </w:r>
    </w:p>
    <w:p w14:paraId="268ABF14">
      <w:pPr>
        <w:pStyle w:val="31"/>
        <w:rPr>
          <w:rFonts w:hint="eastAsia" w:ascii="Times New Roman" w:hAnsi="Times New Roman" w:eastAsia="黑体" w:cs="Times New Roman"/>
          <w:color w:val="auto"/>
          <w:highlight w:val="none"/>
          <w:lang w:eastAsia="zh-CN"/>
        </w:rPr>
      </w:pPr>
      <w:r>
        <w:rPr>
          <w:rFonts w:hint="eastAsia" w:ascii="Times New Roman" w:hAnsi="Times New Roman" w:cs="Times New Roman"/>
          <w:color w:val="auto"/>
          <w:highlight w:val="none"/>
        </w:rPr>
        <w:t>图3-5</w:t>
      </w:r>
      <w:r>
        <w:rPr>
          <w:rFonts w:hint="eastAsia" w:cs="Times New Roman"/>
          <w:color w:val="auto"/>
          <w:highlight w:val="none"/>
          <w:lang w:val="en-US" w:eastAsia="zh-CN"/>
        </w:rPr>
        <w:t xml:space="preserve">  </w:t>
      </w:r>
      <w:r>
        <w:rPr>
          <w:rFonts w:hint="eastAsia" w:ascii="Times New Roman" w:hAnsi="Times New Roman" w:cs="Times New Roman"/>
          <w:color w:val="auto"/>
          <w:highlight w:val="none"/>
        </w:rPr>
        <w:t>道路交通监测布点图</w:t>
      </w:r>
    </w:p>
    <w:p w14:paraId="4EF165CA">
      <w:pPr>
        <w:ind w:firstLine="471"/>
        <w:rPr>
          <w:rFonts w:hint="eastAsia"/>
          <w:color w:val="auto"/>
        </w:rPr>
        <w:sectPr>
          <w:pgSz w:w="16838" w:h="11906" w:orient="landscape"/>
          <w:pgMar w:top="1803" w:right="1440" w:bottom="1803" w:left="1440" w:header="794" w:footer="992" w:gutter="0"/>
          <w:pgBorders>
            <w:top w:val="none" w:sz="0" w:space="0"/>
            <w:left w:val="none" w:sz="0" w:space="0"/>
            <w:bottom w:val="none" w:sz="0" w:space="0"/>
            <w:right w:val="none" w:sz="0" w:space="0"/>
          </w:pgBorders>
          <w:pgNumType w:fmt="numberInDash"/>
          <w:cols w:space="0" w:num="1"/>
          <w:rtlGutter w:val="0"/>
          <w:docGrid w:type="linesAndChars" w:linePitch="360" w:charSpace="-874"/>
        </w:sectPr>
      </w:pPr>
    </w:p>
    <w:p w14:paraId="6484B24A">
      <w:pPr>
        <w:ind w:firstLine="471"/>
        <w:rPr>
          <w:rFonts w:hint="eastAsia"/>
          <w:color w:val="auto"/>
        </w:rPr>
      </w:pPr>
      <w:r>
        <w:rPr>
          <w:rFonts w:hint="eastAsia"/>
          <w:color w:val="auto"/>
        </w:rPr>
        <w:t>（2）道路交通监测的频次、时间与测量</w:t>
      </w:r>
    </w:p>
    <w:p w14:paraId="5F48AE78">
      <w:pPr>
        <w:ind w:firstLine="471"/>
        <w:rPr>
          <w:rFonts w:hint="eastAsia"/>
          <w:color w:val="auto"/>
        </w:rPr>
      </w:pPr>
      <w:r>
        <w:rPr>
          <w:rFonts w:hint="eastAsia"/>
          <w:color w:val="auto"/>
        </w:rPr>
        <w:t>①监测项目为L</w:t>
      </w:r>
      <w:r>
        <w:rPr>
          <w:rFonts w:hint="eastAsia"/>
          <w:color w:val="auto"/>
          <w:vertAlign w:val="subscript"/>
        </w:rPr>
        <w:t>90</w:t>
      </w:r>
      <w:r>
        <w:rPr>
          <w:rFonts w:hint="eastAsia"/>
          <w:color w:val="auto"/>
        </w:rPr>
        <w:t>、L</w:t>
      </w:r>
      <w:r>
        <w:rPr>
          <w:rFonts w:hint="eastAsia"/>
          <w:color w:val="auto"/>
          <w:vertAlign w:val="subscript"/>
        </w:rPr>
        <w:t>50</w:t>
      </w:r>
      <w:r>
        <w:rPr>
          <w:rFonts w:hint="eastAsia"/>
          <w:color w:val="auto"/>
        </w:rPr>
        <w:t>、L</w:t>
      </w:r>
      <w:r>
        <w:rPr>
          <w:rFonts w:hint="eastAsia"/>
          <w:color w:val="auto"/>
          <w:vertAlign w:val="subscript"/>
        </w:rPr>
        <w:t>10</w:t>
      </w:r>
      <w:r>
        <w:rPr>
          <w:rFonts w:hint="eastAsia"/>
          <w:color w:val="auto"/>
        </w:rPr>
        <w:t>、Leq，每个道路交通测点测量20min的等效声级Leq，并记录车流信息并折算成小时车流量。</w:t>
      </w:r>
    </w:p>
    <w:p w14:paraId="3BAF7CA4">
      <w:pPr>
        <w:ind w:firstLine="471"/>
        <w:rPr>
          <w:rFonts w:hint="eastAsia"/>
          <w:color w:val="auto"/>
        </w:rPr>
      </w:pPr>
      <w:r>
        <w:rPr>
          <w:rFonts w:hint="eastAsia"/>
          <w:color w:val="auto"/>
        </w:rPr>
        <w:t>②每个监测点位在监测日期范围内共监测两次，昼间监测1次，监测时段为8</w:t>
      </w:r>
      <w:r>
        <w:rPr>
          <w:rFonts w:hint="eastAsia"/>
          <w:color w:val="auto"/>
          <w:lang w:eastAsia="zh-CN"/>
        </w:rPr>
        <w:t>:</w:t>
      </w:r>
      <w:r>
        <w:rPr>
          <w:rFonts w:hint="eastAsia"/>
          <w:color w:val="auto"/>
        </w:rPr>
        <w:t>00～22</w:t>
      </w:r>
      <w:r>
        <w:rPr>
          <w:rFonts w:hint="eastAsia"/>
          <w:color w:val="auto"/>
          <w:lang w:eastAsia="zh-CN"/>
        </w:rPr>
        <w:t>:</w:t>
      </w:r>
      <w:r>
        <w:rPr>
          <w:rFonts w:hint="eastAsia"/>
          <w:color w:val="auto"/>
        </w:rPr>
        <w:t>00；夜间监测1次，监测时段为22</w:t>
      </w:r>
      <w:r>
        <w:rPr>
          <w:rFonts w:hint="eastAsia"/>
          <w:color w:val="auto"/>
          <w:lang w:eastAsia="zh-CN"/>
        </w:rPr>
        <w:t>:</w:t>
      </w:r>
      <w:r>
        <w:rPr>
          <w:rFonts w:hint="eastAsia"/>
          <w:color w:val="auto"/>
        </w:rPr>
        <w:t>00～6</w:t>
      </w:r>
      <w:r>
        <w:rPr>
          <w:rFonts w:hint="eastAsia"/>
          <w:color w:val="auto"/>
          <w:lang w:eastAsia="zh-CN"/>
        </w:rPr>
        <w:t>:</w:t>
      </w:r>
      <w:r>
        <w:rPr>
          <w:rFonts w:hint="eastAsia"/>
          <w:color w:val="auto"/>
        </w:rPr>
        <w:t>00。</w:t>
      </w:r>
    </w:p>
    <w:p w14:paraId="39871B42">
      <w:pPr>
        <w:ind w:firstLine="471"/>
        <w:rPr>
          <w:rFonts w:hint="eastAsia"/>
          <w:color w:val="auto"/>
        </w:rPr>
      </w:pPr>
      <w:r>
        <w:rPr>
          <w:rFonts w:hint="eastAsia"/>
          <w:color w:val="auto"/>
        </w:rPr>
        <w:t>（3）道路交通噪声监测结果与评价</w:t>
      </w:r>
    </w:p>
    <w:p w14:paraId="36EEF9AC">
      <w:pPr>
        <w:ind w:firstLine="471"/>
        <w:rPr>
          <w:rFonts w:hint="eastAsia"/>
          <w:color w:val="auto"/>
          <w:highlight w:val="none"/>
        </w:rPr>
      </w:pPr>
      <w:r>
        <w:rPr>
          <w:rFonts w:hint="eastAsia"/>
          <w:color w:val="auto"/>
        </w:rPr>
        <w:t>①</w:t>
      </w:r>
      <w:r>
        <w:rPr>
          <w:rFonts w:hint="eastAsia"/>
          <w:color w:val="auto"/>
          <w:lang w:eastAsia="zh-CN"/>
        </w:rPr>
        <w:t>绥滨县中心城区</w:t>
      </w:r>
      <w:r>
        <w:rPr>
          <w:rFonts w:hint="eastAsia"/>
          <w:color w:val="auto"/>
        </w:rPr>
        <w:t>道路交通噪声监测数据统计结果见</w:t>
      </w:r>
      <w:r>
        <w:rPr>
          <w:rFonts w:hint="eastAsia"/>
          <w:color w:val="auto"/>
          <w:highlight w:val="none"/>
        </w:rPr>
        <w:t>表3-3。</w:t>
      </w:r>
    </w:p>
    <w:p w14:paraId="4A454C34">
      <w:pPr>
        <w:pStyle w:val="31"/>
        <w:rPr>
          <w:rFonts w:hint="eastAsia"/>
          <w:color w:val="auto"/>
          <w:highlight w:val="none"/>
        </w:rPr>
      </w:pPr>
      <w:r>
        <w:rPr>
          <w:rFonts w:hint="eastAsia"/>
          <w:color w:val="auto"/>
          <w:highlight w:val="none"/>
        </w:rPr>
        <w:t>表3-3</w:t>
      </w:r>
      <w:r>
        <w:rPr>
          <w:rFonts w:hint="eastAsia"/>
          <w:color w:val="auto"/>
          <w:highlight w:val="none"/>
          <w:lang w:val="en-US" w:eastAsia="zh-CN"/>
        </w:rPr>
        <w:t xml:space="preserve">  </w:t>
      </w:r>
      <w:r>
        <w:rPr>
          <w:rFonts w:hint="eastAsia"/>
          <w:color w:val="auto"/>
          <w:highlight w:val="none"/>
        </w:rPr>
        <w:t>道路交通声环境现状监测结果</w:t>
      </w:r>
      <w:r>
        <w:rPr>
          <w:rFonts w:hint="eastAsia"/>
          <w:color w:val="auto"/>
          <w:highlight w:val="none"/>
          <w:lang w:val="en-US" w:eastAsia="zh-CN"/>
        </w:rPr>
        <w:t xml:space="preserve">  </w:t>
      </w:r>
      <w:r>
        <w:rPr>
          <w:rFonts w:hint="eastAsia"/>
          <w:color w:val="auto"/>
          <w:highlight w:val="none"/>
        </w:rPr>
        <w:t>单位：dB（A）</w:t>
      </w:r>
    </w:p>
    <w:tbl>
      <w:tblPr>
        <w:tblStyle w:val="19"/>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83"/>
        <w:gridCol w:w="1739"/>
        <w:gridCol w:w="1421"/>
        <w:gridCol w:w="1421"/>
        <w:gridCol w:w="1421"/>
        <w:gridCol w:w="1426"/>
      </w:tblGrid>
      <w:tr w14:paraId="57D95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blHeader/>
        </w:trPr>
        <w:tc>
          <w:tcPr>
            <w:tcW w:w="636" w:type="pct"/>
            <w:noWrap w:val="0"/>
            <w:vAlign w:val="center"/>
          </w:tcPr>
          <w:p w14:paraId="52039E33">
            <w:pPr>
              <w:pStyle w:val="3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编号</w:t>
            </w:r>
          </w:p>
        </w:tc>
        <w:tc>
          <w:tcPr>
            <w:tcW w:w="1021" w:type="pct"/>
            <w:noWrap w:val="0"/>
            <w:vAlign w:val="center"/>
          </w:tcPr>
          <w:p w14:paraId="4B21D5AE">
            <w:pPr>
              <w:pStyle w:val="3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监测时间</w:t>
            </w:r>
          </w:p>
        </w:tc>
        <w:tc>
          <w:tcPr>
            <w:tcW w:w="834" w:type="pct"/>
            <w:noWrap w:val="0"/>
            <w:vAlign w:val="center"/>
          </w:tcPr>
          <w:p w14:paraId="5D16FA6B">
            <w:pPr>
              <w:pStyle w:val="3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Leq</w:t>
            </w:r>
          </w:p>
        </w:tc>
        <w:tc>
          <w:tcPr>
            <w:tcW w:w="834" w:type="pct"/>
            <w:noWrap w:val="0"/>
            <w:vAlign w:val="center"/>
          </w:tcPr>
          <w:p w14:paraId="6C18BF0D">
            <w:pPr>
              <w:pStyle w:val="3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L</w:t>
            </w:r>
            <w:r>
              <w:rPr>
                <w:rFonts w:hint="default" w:ascii="Times New Roman" w:hAnsi="Times New Roman" w:cs="Times New Roman" w:eastAsiaTheme="minorEastAsia"/>
                <w:color w:val="auto"/>
                <w:vertAlign w:val="subscript"/>
              </w:rPr>
              <w:t>10</w:t>
            </w:r>
          </w:p>
        </w:tc>
        <w:tc>
          <w:tcPr>
            <w:tcW w:w="834" w:type="pct"/>
            <w:noWrap w:val="0"/>
            <w:vAlign w:val="center"/>
          </w:tcPr>
          <w:p w14:paraId="6A5A7C40">
            <w:pPr>
              <w:pStyle w:val="3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L</w:t>
            </w:r>
            <w:r>
              <w:rPr>
                <w:rFonts w:hint="default" w:ascii="Times New Roman" w:hAnsi="Times New Roman" w:cs="Times New Roman" w:eastAsiaTheme="minorEastAsia"/>
                <w:color w:val="auto"/>
                <w:vertAlign w:val="subscript"/>
              </w:rPr>
              <w:t>50</w:t>
            </w:r>
          </w:p>
        </w:tc>
        <w:tc>
          <w:tcPr>
            <w:tcW w:w="837" w:type="pct"/>
            <w:noWrap w:val="0"/>
            <w:vAlign w:val="center"/>
          </w:tcPr>
          <w:p w14:paraId="19E60AF5">
            <w:pPr>
              <w:pStyle w:val="3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L</w:t>
            </w:r>
            <w:r>
              <w:rPr>
                <w:rFonts w:hint="default" w:ascii="Times New Roman" w:hAnsi="Times New Roman" w:cs="Times New Roman" w:eastAsiaTheme="minorEastAsia"/>
                <w:color w:val="auto"/>
                <w:vertAlign w:val="subscript"/>
              </w:rPr>
              <w:t>90</w:t>
            </w:r>
          </w:p>
        </w:tc>
      </w:tr>
      <w:tr w14:paraId="5A30B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restart"/>
            <w:noWrap w:val="0"/>
            <w:vAlign w:val="center"/>
          </w:tcPr>
          <w:p w14:paraId="19A3EB14">
            <w:pPr>
              <w:widowControl/>
              <w:spacing w:line="240" w:lineRule="auto"/>
              <w:ind w:firstLine="0" w:firstLineChars="0"/>
              <w:jc w:val="center"/>
              <w:textAlignment w:val="center"/>
              <w:rPr>
                <w:color w:val="auto"/>
                <w:sz w:val="21"/>
                <w:szCs w:val="21"/>
              </w:rPr>
            </w:pPr>
            <w:r>
              <w:rPr>
                <w:color w:val="auto"/>
                <w:kern w:val="0"/>
                <w:sz w:val="21"/>
                <w:szCs w:val="21"/>
                <w:lang w:bidi="ar"/>
              </w:rPr>
              <w:t>1#</w:t>
            </w:r>
          </w:p>
        </w:tc>
        <w:tc>
          <w:tcPr>
            <w:tcW w:w="1021" w:type="pct"/>
            <w:noWrap w:val="0"/>
            <w:vAlign w:val="center"/>
          </w:tcPr>
          <w:p w14:paraId="54C4924A">
            <w:pPr>
              <w:widowControl/>
              <w:spacing w:line="240" w:lineRule="auto"/>
              <w:ind w:firstLine="0" w:firstLineChars="0"/>
              <w:jc w:val="center"/>
              <w:textAlignment w:val="center"/>
              <w:rPr>
                <w:color w:val="auto"/>
                <w:sz w:val="21"/>
                <w:szCs w:val="21"/>
              </w:rPr>
            </w:pPr>
            <w:r>
              <w:rPr>
                <w:color w:val="auto"/>
                <w:kern w:val="0"/>
                <w:sz w:val="21"/>
                <w:szCs w:val="21"/>
                <w:lang w:bidi="ar"/>
              </w:rPr>
              <w:t>昼间</w:t>
            </w:r>
          </w:p>
        </w:tc>
        <w:tc>
          <w:tcPr>
            <w:tcW w:w="834" w:type="pct"/>
            <w:noWrap/>
            <w:vAlign w:val="center"/>
          </w:tcPr>
          <w:p w14:paraId="427855A1">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w:t>
            </w:r>
            <w:r>
              <w:rPr>
                <w:rFonts w:hint="eastAsia" w:cs="Times New Roman"/>
                <w:color w:val="auto"/>
                <w:kern w:val="0"/>
                <w:sz w:val="21"/>
                <w:szCs w:val="21"/>
                <w:lang w:val="en-US" w:eastAsia="zh-CN" w:bidi="ar"/>
              </w:rPr>
              <w:t>7</w:t>
            </w:r>
          </w:p>
        </w:tc>
        <w:tc>
          <w:tcPr>
            <w:tcW w:w="834" w:type="pct"/>
            <w:noWrap/>
            <w:vAlign w:val="center"/>
          </w:tcPr>
          <w:p w14:paraId="48B77148">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bidi="ar"/>
              </w:rPr>
            </w:pPr>
            <w:r>
              <w:rPr>
                <w:rFonts w:hint="eastAsia" w:cs="Times New Roman"/>
                <w:color w:val="auto"/>
                <w:kern w:val="0"/>
                <w:sz w:val="21"/>
                <w:szCs w:val="21"/>
                <w:lang w:val="en-US" w:eastAsia="zh-CN" w:bidi="ar"/>
              </w:rPr>
              <w:t>70</w:t>
            </w:r>
          </w:p>
        </w:tc>
        <w:tc>
          <w:tcPr>
            <w:tcW w:w="834" w:type="pct"/>
            <w:noWrap/>
            <w:vAlign w:val="center"/>
          </w:tcPr>
          <w:p w14:paraId="60BB9108">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56</w:t>
            </w:r>
          </w:p>
        </w:tc>
        <w:tc>
          <w:tcPr>
            <w:tcW w:w="837" w:type="pct"/>
            <w:noWrap/>
            <w:vAlign w:val="center"/>
          </w:tcPr>
          <w:p w14:paraId="78EA5520">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48</w:t>
            </w:r>
          </w:p>
        </w:tc>
      </w:tr>
      <w:tr w14:paraId="6F619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continue"/>
            <w:noWrap w:val="0"/>
            <w:vAlign w:val="center"/>
          </w:tcPr>
          <w:p w14:paraId="3CC30E36">
            <w:pPr>
              <w:widowControl/>
              <w:spacing w:line="240" w:lineRule="auto"/>
              <w:ind w:firstLine="0" w:firstLineChars="0"/>
              <w:jc w:val="center"/>
              <w:rPr>
                <w:color w:val="auto"/>
                <w:sz w:val="21"/>
                <w:szCs w:val="21"/>
              </w:rPr>
            </w:pPr>
          </w:p>
        </w:tc>
        <w:tc>
          <w:tcPr>
            <w:tcW w:w="1021" w:type="pct"/>
            <w:noWrap w:val="0"/>
            <w:vAlign w:val="center"/>
          </w:tcPr>
          <w:p w14:paraId="4C834BA2">
            <w:pPr>
              <w:widowControl/>
              <w:spacing w:line="240" w:lineRule="auto"/>
              <w:ind w:firstLine="0" w:firstLineChars="0"/>
              <w:jc w:val="center"/>
              <w:textAlignment w:val="center"/>
              <w:rPr>
                <w:color w:val="auto"/>
                <w:sz w:val="21"/>
                <w:szCs w:val="21"/>
              </w:rPr>
            </w:pPr>
            <w:r>
              <w:rPr>
                <w:color w:val="auto"/>
                <w:kern w:val="0"/>
                <w:sz w:val="21"/>
                <w:szCs w:val="21"/>
                <w:lang w:bidi="ar"/>
              </w:rPr>
              <w:t>夜间</w:t>
            </w:r>
          </w:p>
        </w:tc>
        <w:tc>
          <w:tcPr>
            <w:tcW w:w="834" w:type="pct"/>
            <w:noWrap/>
            <w:vAlign w:val="center"/>
          </w:tcPr>
          <w:p w14:paraId="077DEA3B">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4</w:t>
            </w:r>
          </w:p>
        </w:tc>
        <w:tc>
          <w:tcPr>
            <w:tcW w:w="834" w:type="pct"/>
            <w:noWrap/>
            <w:vAlign w:val="center"/>
          </w:tcPr>
          <w:p w14:paraId="2EC2357D">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cs="Times New Roman"/>
                <w:color w:val="auto"/>
                <w:kern w:val="0"/>
                <w:sz w:val="21"/>
                <w:szCs w:val="21"/>
                <w:lang w:val="en-US" w:eastAsia="zh-CN" w:bidi="ar"/>
              </w:rPr>
              <w:t>8</w:t>
            </w:r>
          </w:p>
        </w:tc>
        <w:tc>
          <w:tcPr>
            <w:tcW w:w="834" w:type="pct"/>
            <w:noWrap/>
            <w:vAlign w:val="center"/>
          </w:tcPr>
          <w:p w14:paraId="034AC0E3">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53</w:t>
            </w:r>
          </w:p>
        </w:tc>
        <w:tc>
          <w:tcPr>
            <w:tcW w:w="837" w:type="pct"/>
            <w:noWrap/>
            <w:vAlign w:val="center"/>
          </w:tcPr>
          <w:p w14:paraId="67944440">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49</w:t>
            </w:r>
          </w:p>
        </w:tc>
      </w:tr>
      <w:tr w14:paraId="7C999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restart"/>
            <w:noWrap w:val="0"/>
            <w:vAlign w:val="center"/>
          </w:tcPr>
          <w:p w14:paraId="0BA0CF96">
            <w:pPr>
              <w:widowControl/>
              <w:spacing w:line="240" w:lineRule="auto"/>
              <w:ind w:firstLine="0" w:firstLineChars="0"/>
              <w:jc w:val="center"/>
              <w:textAlignment w:val="center"/>
              <w:rPr>
                <w:color w:val="auto"/>
                <w:sz w:val="21"/>
                <w:szCs w:val="21"/>
              </w:rPr>
            </w:pPr>
            <w:r>
              <w:rPr>
                <w:color w:val="auto"/>
                <w:kern w:val="0"/>
                <w:sz w:val="21"/>
                <w:szCs w:val="21"/>
                <w:lang w:bidi="ar"/>
              </w:rPr>
              <w:t>2#</w:t>
            </w:r>
          </w:p>
        </w:tc>
        <w:tc>
          <w:tcPr>
            <w:tcW w:w="1021" w:type="pct"/>
            <w:noWrap w:val="0"/>
            <w:vAlign w:val="center"/>
          </w:tcPr>
          <w:p w14:paraId="49EC2802">
            <w:pPr>
              <w:widowControl/>
              <w:spacing w:line="240" w:lineRule="auto"/>
              <w:ind w:firstLine="0" w:firstLineChars="0"/>
              <w:jc w:val="center"/>
              <w:textAlignment w:val="center"/>
              <w:rPr>
                <w:color w:val="auto"/>
                <w:sz w:val="21"/>
                <w:szCs w:val="21"/>
              </w:rPr>
            </w:pPr>
            <w:r>
              <w:rPr>
                <w:color w:val="auto"/>
                <w:kern w:val="0"/>
                <w:sz w:val="21"/>
                <w:szCs w:val="21"/>
                <w:lang w:bidi="ar"/>
              </w:rPr>
              <w:t>昼间</w:t>
            </w:r>
          </w:p>
        </w:tc>
        <w:tc>
          <w:tcPr>
            <w:tcW w:w="834" w:type="pct"/>
            <w:noWrap/>
            <w:vAlign w:val="center"/>
          </w:tcPr>
          <w:p w14:paraId="4FCF80CC">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w:t>
            </w:r>
            <w:r>
              <w:rPr>
                <w:rFonts w:hint="eastAsia" w:cs="Times New Roman"/>
                <w:color w:val="auto"/>
                <w:kern w:val="0"/>
                <w:sz w:val="21"/>
                <w:szCs w:val="21"/>
                <w:lang w:val="en-US" w:eastAsia="zh-CN" w:bidi="ar"/>
              </w:rPr>
              <w:t>8</w:t>
            </w:r>
          </w:p>
        </w:tc>
        <w:tc>
          <w:tcPr>
            <w:tcW w:w="834" w:type="pct"/>
            <w:noWrap/>
            <w:vAlign w:val="center"/>
          </w:tcPr>
          <w:p w14:paraId="6639F79D">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bidi="ar"/>
              </w:rPr>
            </w:pPr>
            <w:r>
              <w:rPr>
                <w:rFonts w:hint="eastAsia" w:ascii="Times New Roman" w:hAnsi="Times New Roman" w:eastAsia="宋体" w:cs="Times New Roman"/>
                <w:color w:val="auto"/>
                <w:kern w:val="0"/>
                <w:sz w:val="21"/>
                <w:szCs w:val="21"/>
                <w:lang w:val="en-US" w:eastAsia="zh-CN" w:bidi="ar"/>
              </w:rPr>
              <w:t>70</w:t>
            </w:r>
          </w:p>
        </w:tc>
        <w:tc>
          <w:tcPr>
            <w:tcW w:w="834" w:type="pct"/>
            <w:noWrap/>
            <w:vAlign w:val="center"/>
          </w:tcPr>
          <w:p w14:paraId="3BFD9BDA">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59</w:t>
            </w:r>
          </w:p>
        </w:tc>
        <w:tc>
          <w:tcPr>
            <w:tcW w:w="837" w:type="pct"/>
            <w:noWrap/>
            <w:vAlign w:val="center"/>
          </w:tcPr>
          <w:p w14:paraId="1EE5FA76">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52</w:t>
            </w:r>
          </w:p>
        </w:tc>
      </w:tr>
      <w:tr w14:paraId="46BF2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continue"/>
            <w:noWrap w:val="0"/>
            <w:vAlign w:val="center"/>
          </w:tcPr>
          <w:p w14:paraId="00974765">
            <w:pPr>
              <w:widowControl/>
              <w:spacing w:line="240" w:lineRule="auto"/>
              <w:ind w:firstLine="0" w:firstLineChars="0"/>
              <w:jc w:val="center"/>
              <w:rPr>
                <w:color w:val="auto"/>
                <w:sz w:val="21"/>
                <w:szCs w:val="21"/>
              </w:rPr>
            </w:pPr>
          </w:p>
        </w:tc>
        <w:tc>
          <w:tcPr>
            <w:tcW w:w="1021" w:type="pct"/>
            <w:noWrap w:val="0"/>
            <w:vAlign w:val="center"/>
          </w:tcPr>
          <w:p w14:paraId="0E62223C">
            <w:pPr>
              <w:widowControl/>
              <w:spacing w:line="240" w:lineRule="auto"/>
              <w:ind w:firstLine="0" w:firstLineChars="0"/>
              <w:jc w:val="center"/>
              <w:textAlignment w:val="center"/>
              <w:rPr>
                <w:color w:val="auto"/>
                <w:sz w:val="21"/>
                <w:szCs w:val="21"/>
              </w:rPr>
            </w:pPr>
            <w:r>
              <w:rPr>
                <w:color w:val="auto"/>
                <w:kern w:val="0"/>
                <w:sz w:val="21"/>
                <w:szCs w:val="21"/>
                <w:lang w:bidi="ar"/>
              </w:rPr>
              <w:t>夜间</w:t>
            </w:r>
          </w:p>
        </w:tc>
        <w:tc>
          <w:tcPr>
            <w:tcW w:w="834" w:type="pct"/>
            <w:noWrap/>
            <w:vAlign w:val="center"/>
          </w:tcPr>
          <w:p w14:paraId="5D247EEC">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52</w:t>
            </w:r>
          </w:p>
        </w:tc>
        <w:tc>
          <w:tcPr>
            <w:tcW w:w="834" w:type="pct"/>
            <w:noWrap/>
            <w:vAlign w:val="center"/>
          </w:tcPr>
          <w:p w14:paraId="4CF7A7CA">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54</w:t>
            </w:r>
          </w:p>
        </w:tc>
        <w:tc>
          <w:tcPr>
            <w:tcW w:w="834" w:type="pct"/>
            <w:noWrap/>
            <w:vAlign w:val="center"/>
          </w:tcPr>
          <w:p w14:paraId="0971B820">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52</w:t>
            </w:r>
          </w:p>
        </w:tc>
        <w:tc>
          <w:tcPr>
            <w:tcW w:w="837" w:type="pct"/>
            <w:noWrap/>
            <w:vAlign w:val="center"/>
          </w:tcPr>
          <w:p w14:paraId="40BF2917">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50</w:t>
            </w:r>
          </w:p>
        </w:tc>
      </w:tr>
      <w:tr w14:paraId="0AE1A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restart"/>
            <w:noWrap w:val="0"/>
            <w:vAlign w:val="center"/>
          </w:tcPr>
          <w:p w14:paraId="3CB53EFE">
            <w:pPr>
              <w:widowControl/>
              <w:spacing w:line="240" w:lineRule="auto"/>
              <w:ind w:firstLine="0" w:firstLineChars="0"/>
              <w:jc w:val="center"/>
              <w:textAlignment w:val="center"/>
              <w:rPr>
                <w:color w:val="auto"/>
                <w:sz w:val="21"/>
                <w:szCs w:val="21"/>
              </w:rPr>
            </w:pPr>
            <w:r>
              <w:rPr>
                <w:color w:val="auto"/>
                <w:kern w:val="0"/>
                <w:sz w:val="21"/>
                <w:szCs w:val="21"/>
                <w:lang w:bidi="ar"/>
              </w:rPr>
              <w:t>3#</w:t>
            </w:r>
          </w:p>
        </w:tc>
        <w:tc>
          <w:tcPr>
            <w:tcW w:w="1021" w:type="pct"/>
            <w:noWrap w:val="0"/>
            <w:vAlign w:val="center"/>
          </w:tcPr>
          <w:p w14:paraId="7D2E8E98">
            <w:pPr>
              <w:widowControl/>
              <w:spacing w:line="240" w:lineRule="auto"/>
              <w:ind w:firstLine="0" w:firstLineChars="0"/>
              <w:jc w:val="center"/>
              <w:textAlignment w:val="center"/>
              <w:rPr>
                <w:color w:val="auto"/>
                <w:sz w:val="21"/>
                <w:szCs w:val="21"/>
              </w:rPr>
            </w:pPr>
            <w:r>
              <w:rPr>
                <w:color w:val="auto"/>
                <w:kern w:val="0"/>
                <w:sz w:val="21"/>
                <w:szCs w:val="21"/>
                <w:lang w:bidi="ar"/>
              </w:rPr>
              <w:t>昼间</w:t>
            </w:r>
          </w:p>
        </w:tc>
        <w:tc>
          <w:tcPr>
            <w:tcW w:w="834" w:type="pct"/>
            <w:noWrap/>
            <w:vAlign w:val="center"/>
          </w:tcPr>
          <w:p w14:paraId="6A28FBC9">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68</w:t>
            </w:r>
          </w:p>
        </w:tc>
        <w:tc>
          <w:tcPr>
            <w:tcW w:w="834" w:type="pct"/>
            <w:noWrap/>
            <w:vAlign w:val="center"/>
          </w:tcPr>
          <w:p w14:paraId="606D1A6F">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72</w:t>
            </w:r>
          </w:p>
        </w:tc>
        <w:tc>
          <w:tcPr>
            <w:tcW w:w="834" w:type="pct"/>
            <w:noWrap/>
            <w:vAlign w:val="center"/>
          </w:tcPr>
          <w:p w14:paraId="1DA7A1D1">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68</w:t>
            </w:r>
          </w:p>
        </w:tc>
        <w:tc>
          <w:tcPr>
            <w:tcW w:w="837" w:type="pct"/>
            <w:noWrap/>
            <w:vAlign w:val="center"/>
          </w:tcPr>
          <w:p w14:paraId="76EB8EEC">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64</w:t>
            </w:r>
          </w:p>
        </w:tc>
      </w:tr>
      <w:tr w14:paraId="04DFDB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continue"/>
            <w:noWrap w:val="0"/>
            <w:vAlign w:val="center"/>
          </w:tcPr>
          <w:p w14:paraId="2A2E0FE7">
            <w:pPr>
              <w:widowControl/>
              <w:spacing w:line="240" w:lineRule="auto"/>
              <w:ind w:firstLine="0" w:firstLineChars="0"/>
              <w:jc w:val="center"/>
              <w:rPr>
                <w:color w:val="auto"/>
                <w:sz w:val="21"/>
                <w:szCs w:val="21"/>
              </w:rPr>
            </w:pPr>
          </w:p>
        </w:tc>
        <w:tc>
          <w:tcPr>
            <w:tcW w:w="1021" w:type="pct"/>
            <w:noWrap w:val="0"/>
            <w:vAlign w:val="center"/>
          </w:tcPr>
          <w:p w14:paraId="55FF9BC5">
            <w:pPr>
              <w:widowControl/>
              <w:spacing w:line="240" w:lineRule="auto"/>
              <w:ind w:firstLine="0" w:firstLineChars="0"/>
              <w:jc w:val="center"/>
              <w:textAlignment w:val="center"/>
              <w:rPr>
                <w:color w:val="auto"/>
                <w:sz w:val="21"/>
                <w:szCs w:val="21"/>
              </w:rPr>
            </w:pPr>
            <w:r>
              <w:rPr>
                <w:color w:val="auto"/>
                <w:kern w:val="0"/>
                <w:sz w:val="21"/>
                <w:szCs w:val="21"/>
                <w:lang w:bidi="ar"/>
              </w:rPr>
              <w:t>夜间</w:t>
            </w:r>
          </w:p>
        </w:tc>
        <w:tc>
          <w:tcPr>
            <w:tcW w:w="834" w:type="pct"/>
            <w:noWrap/>
            <w:vAlign w:val="center"/>
          </w:tcPr>
          <w:p w14:paraId="5F738FBE">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50</w:t>
            </w:r>
          </w:p>
        </w:tc>
        <w:tc>
          <w:tcPr>
            <w:tcW w:w="834" w:type="pct"/>
            <w:noWrap/>
            <w:vAlign w:val="center"/>
          </w:tcPr>
          <w:p w14:paraId="078C705A">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55</w:t>
            </w:r>
          </w:p>
        </w:tc>
        <w:tc>
          <w:tcPr>
            <w:tcW w:w="834" w:type="pct"/>
            <w:noWrap/>
            <w:vAlign w:val="center"/>
          </w:tcPr>
          <w:p w14:paraId="631902DC">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50</w:t>
            </w:r>
          </w:p>
        </w:tc>
        <w:tc>
          <w:tcPr>
            <w:tcW w:w="837" w:type="pct"/>
            <w:noWrap/>
            <w:vAlign w:val="center"/>
          </w:tcPr>
          <w:p w14:paraId="2E2FEFEC">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45</w:t>
            </w:r>
          </w:p>
        </w:tc>
      </w:tr>
      <w:tr w14:paraId="41918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restart"/>
            <w:noWrap w:val="0"/>
            <w:vAlign w:val="center"/>
          </w:tcPr>
          <w:p w14:paraId="49774E04">
            <w:pPr>
              <w:widowControl/>
              <w:spacing w:line="240" w:lineRule="auto"/>
              <w:ind w:firstLine="0" w:firstLineChars="0"/>
              <w:jc w:val="center"/>
              <w:textAlignment w:val="center"/>
              <w:rPr>
                <w:color w:val="auto"/>
                <w:sz w:val="21"/>
                <w:szCs w:val="21"/>
              </w:rPr>
            </w:pPr>
            <w:r>
              <w:rPr>
                <w:color w:val="auto"/>
                <w:kern w:val="0"/>
                <w:sz w:val="21"/>
                <w:szCs w:val="21"/>
                <w:lang w:bidi="ar"/>
              </w:rPr>
              <w:t>4#</w:t>
            </w:r>
          </w:p>
        </w:tc>
        <w:tc>
          <w:tcPr>
            <w:tcW w:w="1021" w:type="pct"/>
            <w:noWrap w:val="0"/>
            <w:vAlign w:val="center"/>
          </w:tcPr>
          <w:p w14:paraId="76331DD8">
            <w:pPr>
              <w:widowControl/>
              <w:spacing w:line="240" w:lineRule="auto"/>
              <w:ind w:firstLine="0" w:firstLineChars="0"/>
              <w:jc w:val="center"/>
              <w:textAlignment w:val="center"/>
              <w:rPr>
                <w:color w:val="auto"/>
                <w:sz w:val="21"/>
                <w:szCs w:val="21"/>
              </w:rPr>
            </w:pPr>
            <w:r>
              <w:rPr>
                <w:color w:val="auto"/>
                <w:kern w:val="0"/>
                <w:sz w:val="21"/>
                <w:szCs w:val="21"/>
                <w:lang w:bidi="ar"/>
              </w:rPr>
              <w:t>昼间</w:t>
            </w:r>
          </w:p>
        </w:tc>
        <w:tc>
          <w:tcPr>
            <w:tcW w:w="834" w:type="pct"/>
            <w:noWrap/>
            <w:vAlign w:val="center"/>
          </w:tcPr>
          <w:p w14:paraId="284656F9">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67</w:t>
            </w:r>
          </w:p>
        </w:tc>
        <w:tc>
          <w:tcPr>
            <w:tcW w:w="834" w:type="pct"/>
            <w:noWrap/>
            <w:vAlign w:val="center"/>
          </w:tcPr>
          <w:p w14:paraId="37C4930E">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69</w:t>
            </w:r>
          </w:p>
        </w:tc>
        <w:tc>
          <w:tcPr>
            <w:tcW w:w="834" w:type="pct"/>
            <w:noWrap/>
            <w:vAlign w:val="center"/>
          </w:tcPr>
          <w:p w14:paraId="76173128">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9</w:t>
            </w:r>
          </w:p>
        </w:tc>
        <w:tc>
          <w:tcPr>
            <w:tcW w:w="837" w:type="pct"/>
            <w:noWrap/>
            <w:vAlign w:val="center"/>
          </w:tcPr>
          <w:p w14:paraId="7854E358">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7</w:t>
            </w:r>
          </w:p>
        </w:tc>
      </w:tr>
      <w:tr w14:paraId="76571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continue"/>
            <w:noWrap w:val="0"/>
            <w:vAlign w:val="center"/>
          </w:tcPr>
          <w:p w14:paraId="1A8A25CF">
            <w:pPr>
              <w:widowControl/>
              <w:spacing w:line="240" w:lineRule="auto"/>
              <w:ind w:firstLine="0" w:firstLineChars="0"/>
              <w:jc w:val="center"/>
              <w:rPr>
                <w:color w:val="auto"/>
                <w:sz w:val="21"/>
                <w:szCs w:val="21"/>
              </w:rPr>
            </w:pPr>
          </w:p>
        </w:tc>
        <w:tc>
          <w:tcPr>
            <w:tcW w:w="1021" w:type="pct"/>
            <w:noWrap w:val="0"/>
            <w:vAlign w:val="center"/>
          </w:tcPr>
          <w:p w14:paraId="63B29DD9">
            <w:pPr>
              <w:widowControl/>
              <w:spacing w:line="240" w:lineRule="auto"/>
              <w:ind w:firstLine="0" w:firstLineChars="0"/>
              <w:jc w:val="center"/>
              <w:textAlignment w:val="center"/>
              <w:rPr>
                <w:color w:val="auto"/>
                <w:sz w:val="21"/>
                <w:szCs w:val="21"/>
              </w:rPr>
            </w:pPr>
            <w:r>
              <w:rPr>
                <w:color w:val="auto"/>
                <w:kern w:val="0"/>
                <w:sz w:val="21"/>
                <w:szCs w:val="21"/>
                <w:lang w:bidi="ar"/>
              </w:rPr>
              <w:t>夜间</w:t>
            </w:r>
          </w:p>
        </w:tc>
        <w:tc>
          <w:tcPr>
            <w:tcW w:w="834" w:type="pct"/>
            <w:noWrap/>
            <w:vAlign w:val="center"/>
          </w:tcPr>
          <w:p w14:paraId="5818ED12">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53</w:t>
            </w:r>
          </w:p>
        </w:tc>
        <w:tc>
          <w:tcPr>
            <w:tcW w:w="834" w:type="pct"/>
            <w:noWrap/>
            <w:vAlign w:val="center"/>
          </w:tcPr>
          <w:p w14:paraId="5DF80AB9">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8</w:t>
            </w:r>
          </w:p>
        </w:tc>
        <w:tc>
          <w:tcPr>
            <w:tcW w:w="834" w:type="pct"/>
            <w:noWrap/>
            <w:vAlign w:val="center"/>
          </w:tcPr>
          <w:p w14:paraId="7B5FB3CB">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53</w:t>
            </w:r>
          </w:p>
        </w:tc>
        <w:tc>
          <w:tcPr>
            <w:tcW w:w="837" w:type="pct"/>
            <w:noWrap/>
            <w:vAlign w:val="center"/>
          </w:tcPr>
          <w:p w14:paraId="3531DA23">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48</w:t>
            </w:r>
          </w:p>
        </w:tc>
      </w:tr>
      <w:tr w14:paraId="60CFA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restart"/>
            <w:noWrap w:val="0"/>
            <w:vAlign w:val="center"/>
          </w:tcPr>
          <w:p w14:paraId="0EFEDF6F">
            <w:pPr>
              <w:widowControl/>
              <w:spacing w:line="240" w:lineRule="auto"/>
              <w:ind w:firstLine="0" w:firstLineChars="0"/>
              <w:jc w:val="center"/>
              <w:textAlignment w:val="center"/>
              <w:rPr>
                <w:color w:val="auto"/>
                <w:sz w:val="21"/>
                <w:szCs w:val="21"/>
              </w:rPr>
            </w:pPr>
            <w:r>
              <w:rPr>
                <w:color w:val="auto"/>
                <w:kern w:val="0"/>
                <w:sz w:val="21"/>
                <w:szCs w:val="21"/>
                <w:lang w:bidi="ar"/>
              </w:rPr>
              <w:t>5#</w:t>
            </w:r>
          </w:p>
        </w:tc>
        <w:tc>
          <w:tcPr>
            <w:tcW w:w="1021" w:type="pct"/>
            <w:noWrap w:val="0"/>
            <w:vAlign w:val="center"/>
          </w:tcPr>
          <w:p w14:paraId="7C45598A">
            <w:pPr>
              <w:widowControl/>
              <w:spacing w:line="240" w:lineRule="auto"/>
              <w:ind w:firstLine="0" w:firstLineChars="0"/>
              <w:jc w:val="center"/>
              <w:textAlignment w:val="center"/>
              <w:rPr>
                <w:color w:val="auto"/>
                <w:sz w:val="21"/>
                <w:szCs w:val="21"/>
              </w:rPr>
            </w:pPr>
            <w:r>
              <w:rPr>
                <w:color w:val="auto"/>
                <w:kern w:val="0"/>
                <w:sz w:val="21"/>
                <w:szCs w:val="21"/>
                <w:lang w:bidi="ar"/>
              </w:rPr>
              <w:t>昼间</w:t>
            </w:r>
          </w:p>
        </w:tc>
        <w:tc>
          <w:tcPr>
            <w:tcW w:w="834" w:type="pct"/>
            <w:noWrap/>
            <w:vAlign w:val="center"/>
          </w:tcPr>
          <w:p w14:paraId="7A2E5DD7">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5</w:t>
            </w:r>
          </w:p>
        </w:tc>
        <w:tc>
          <w:tcPr>
            <w:tcW w:w="834" w:type="pct"/>
            <w:noWrap/>
            <w:vAlign w:val="center"/>
          </w:tcPr>
          <w:p w14:paraId="4C7768F6">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5</w:t>
            </w:r>
          </w:p>
        </w:tc>
        <w:tc>
          <w:tcPr>
            <w:tcW w:w="834" w:type="pct"/>
            <w:noWrap/>
            <w:vAlign w:val="center"/>
          </w:tcPr>
          <w:p w14:paraId="10514B61">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52</w:t>
            </w:r>
          </w:p>
        </w:tc>
        <w:tc>
          <w:tcPr>
            <w:tcW w:w="837" w:type="pct"/>
            <w:noWrap/>
            <w:vAlign w:val="center"/>
          </w:tcPr>
          <w:p w14:paraId="59F58C85">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50</w:t>
            </w:r>
          </w:p>
        </w:tc>
      </w:tr>
      <w:tr w14:paraId="36B2E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continue"/>
            <w:noWrap w:val="0"/>
            <w:vAlign w:val="center"/>
          </w:tcPr>
          <w:p w14:paraId="486E5B34">
            <w:pPr>
              <w:widowControl/>
              <w:spacing w:line="240" w:lineRule="auto"/>
              <w:ind w:firstLine="0" w:firstLineChars="0"/>
              <w:jc w:val="center"/>
              <w:rPr>
                <w:color w:val="auto"/>
                <w:sz w:val="21"/>
                <w:szCs w:val="21"/>
              </w:rPr>
            </w:pPr>
          </w:p>
        </w:tc>
        <w:tc>
          <w:tcPr>
            <w:tcW w:w="1021" w:type="pct"/>
            <w:noWrap w:val="0"/>
            <w:vAlign w:val="center"/>
          </w:tcPr>
          <w:p w14:paraId="383B8FF8">
            <w:pPr>
              <w:widowControl/>
              <w:spacing w:line="240" w:lineRule="auto"/>
              <w:ind w:firstLine="0" w:firstLineChars="0"/>
              <w:jc w:val="center"/>
              <w:textAlignment w:val="center"/>
              <w:rPr>
                <w:color w:val="auto"/>
                <w:sz w:val="21"/>
                <w:szCs w:val="21"/>
              </w:rPr>
            </w:pPr>
            <w:r>
              <w:rPr>
                <w:color w:val="auto"/>
                <w:kern w:val="0"/>
                <w:sz w:val="21"/>
                <w:szCs w:val="21"/>
                <w:lang w:bidi="ar"/>
              </w:rPr>
              <w:t>夜间</w:t>
            </w:r>
          </w:p>
        </w:tc>
        <w:tc>
          <w:tcPr>
            <w:tcW w:w="834" w:type="pct"/>
            <w:noWrap/>
            <w:vAlign w:val="center"/>
          </w:tcPr>
          <w:p w14:paraId="77D996A7">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1</w:t>
            </w:r>
          </w:p>
        </w:tc>
        <w:tc>
          <w:tcPr>
            <w:tcW w:w="834" w:type="pct"/>
            <w:noWrap/>
            <w:vAlign w:val="center"/>
          </w:tcPr>
          <w:p w14:paraId="585510F0">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54</w:t>
            </w:r>
          </w:p>
        </w:tc>
        <w:tc>
          <w:tcPr>
            <w:tcW w:w="834" w:type="pct"/>
            <w:noWrap/>
            <w:vAlign w:val="center"/>
          </w:tcPr>
          <w:p w14:paraId="2C93D7E4">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1</w:t>
            </w:r>
          </w:p>
        </w:tc>
        <w:tc>
          <w:tcPr>
            <w:tcW w:w="837" w:type="pct"/>
            <w:noWrap/>
            <w:vAlign w:val="center"/>
          </w:tcPr>
          <w:p w14:paraId="7E625CC8">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4</w:t>
            </w:r>
            <w:r>
              <w:rPr>
                <w:rFonts w:hint="eastAsia" w:cs="Times New Roman"/>
                <w:color w:val="auto"/>
                <w:kern w:val="0"/>
                <w:sz w:val="21"/>
                <w:szCs w:val="21"/>
                <w:lang w:val="en-US" w:eastAsia="zh-CN" w:bidi="ar"/>
              </w:rPr>
              <w:t>7</w:t>
            </w:r>
          </w:p>
        </w:tc>
      </w:tr>
      <w:tr w14:paraId="72CCDC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restart"/>
            <w:noWrap w:val="0"/>
            <w:vAlign w:val="center"/>
          </w:tcPr>
          <w:p w14:paraId="41DAC2D0">
            <w:pPr>
              <w:widowControl/>
              <w:spacing w:line="240" w:lineRule="auto"/>
              <w:ind w:firstLine="0" w:firstLineChars="0"/>
              <w:jc w:val="center"/>
              <w:textAlignment w:val="center"/>
              <w:rPr>
                <w:color w:val="auto"/>
                <w:sz w:val="21"/>
                <w:szCs w:val="21"/>
              </w:rPr>
            </w:pPr>
            <w:r>
              <w:rPr>
                <w:color w:val="auto"/>
                <w:kern w:val="0"/>
                <w:sz w:val="21"/>
                <w:szCs w:val="21"/>
                <w:lang w:bidi="ar"/>
              </w:rPr>
              <w:t>6#</w:t>
            </w:r>
          </w:p>
        </w:tc>
        <w:tc>
          <w:tcPr>
            <w:tcW w:w="1021" w:type="pct"/>
            <w:noWrap w:val="0"/>
            <w:vAlign w:val="center"/>
          </w:tcPr>
          <w:p w14:paraId="5D89BFF8">
            <w:pPr>
              <w:widowControl/>
              <w:spacing w:line="240" w:lineRule="auto"/>
              <w:ind w:firstLine="0" w:firstLineChars="0"/>
              <w:jc w:val="center"/>
              <w:textAlignment w:val="center"/>
              <w:rPr>
                <w:color w:val="auto"/>
                <w:sz w:val="21"/>
                <w:szCs w:val="21"/>
              </w:rPr>
            </w:pPr>
            <w:r>
              <w:rPr>
                <w:color w:val="auto"/>
                <w:kern w:val="0"/>
                <w:sz w:val="21"/>
                <w:szCs w:val="21"/>
                <w:lang w:bidi="ar"/>
              </w:rPr>
              <w:t>昼间</w:t>
            </w:r>
          </w:p>
        </w:tc>
        <w:tc>
          <w:tcPr>
            <w:tcW w:w="834" w:type="pct"/>
            <w:noWrap/>
            <w:vAlign w:val="center"/>
          </w:tcPr>
          <w:p w14:paraId="4B56584F">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w:t>
            </w:r>
            <w:r>
              <w:rPr>
                <w:rFonts w:hint="eastAsia" w:cs="Times New Roman"/>
                <w:color w:val="auto"/>
                <w:kern w:val="0"/>
                <w:sz w:val="21"/>
                <w:szCs w:val="21"/>
                <w:lang w:val="en-US" w:eastAsia="zh-CN" w:bidi="ar"/>
              </w:rPr>
              <w:t>3</w:t>
            </w:r>
          </w:p>
        </w:tc>
        <w:tc>
          <w:tcPr>
            <w:tcW w:w="834" w:type="pct"/>
            <w:noWrap/>
            <w:vAlign w:val="center"/>
          </w:tcPr>
          <w:p w14:paraId="5F87FA32">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65</w:t>
            </w:r>
          </w:p>
        </w:tc>
        <w:tc>
          <w:tcPr>
            <w:tcW w:w="834" w:type="pct"/>
            <w:noWrap/>
            <w:vAlign w:val="center"/>
          </w:tcPr>
          <w:p w14:paraId="7EBA05E9">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6</w:t>
            </w:r>
          </w:p>
        </w:tc>
        <w:tc>
          <w:tcPr>
            <w:tcW w:w="837" w:type="pct"/>
            <w:noWrap/>
            <w:vAlign w:val="center"/>
          </w:tcPr>
          <w:p w14:paraId="3BFDBCD4">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51</w:t>
            </w:r>
          </w:p>
        </w:tc>
      </w:tr>
      <w:tr w14:paraId="40FBA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continue"/>
            <w:noWrap w:val="0"/>
            <w:vAlign w:val="center"/>
          </w:tcPr>
          <w:p w14:paraId="62D57953">
            <w:pPr>
              <w:widowControl/>
              <w:spacing w:line="240" w:lineRule="auto"/>
              <w:ind w:firstLine="0" w:firstLineChars="0"/>
              <w:jc w:val="center"/>
              <w:rPr>
                <w:color w:val="auto"/>
                <w:sz w:val="21"/>
                <w:szCs w:val="21"/>
              </w:rPr>
            </w:pPr>
          </w:p>
        </w:tc>
        <w:tc>
          <w:tcPr>
            <w:tcW w:w="1021" w:type="pct"/>
            <w:noWrap w:val="0"/>
            <w:vAlign w:val="center"/>
          </w:tcPr>
          <w:p w14:paraId="0FFFF5EE">
            <w:pPr>
              <w:widowControl/>
              <w:spacing w:line="240" w:lineRule="auto"/>
              <w:ind w:firstLine="0" w:firstLineChars="0"/>
              <w:jc w:val="center"/>
              <w:textAlignment w:val="center"/>
              <w:rPr>
                <w:color w:val="auto"/>
                <w:sz w:val="21"/>
                <w:szCs w:val="21"/>
              </w:rPr>
            </w:pPr>
            <w:r>
              <w:rPr>
                <w:color w:val="auto"/>
                <w:kern w:val="0"/>
                <w:sz w:val="21"/>
                <w:szCs w:val="21"/>
                <w:lang w:bidi="ar"/>
              </w:rPr>
              <w:t>夜间</w:t>
            </w:r>
          </w:p>
        </w:tc>
        <w:tc>
          <w:tcPr>
            <w:tcW w:w="1421" w:type="dxa"/>
            <w:noWrap/>
            <w:vAlign w:val="center"/>
          </w:tcPr>
          <w:p w14:paraId="0DF7D9C7">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2</w:t>
            </w:r>
          </w:p>
        </w:tc>
        <w:tc>
          <w:tcPr>
            <w:tcW w:w="1421" w:type="dxa"/>
            <w:noWrap/>
            <w:vAlign w:val="center"/>
          </w:tcPr>
          <w:p w14:paraId="5DBDF7FD">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54</w:t>
            </w:r>
          </w:p>
        </w:tc>
        <w:tc>
          <w:tcPr>
            <w:tcW w:w="1421" w:type="dxa"/>
            <w:noWrap/>
            <w:vAlign w:val="center"/>
          </w:tcPr>
          <w:p w14:paraId="092E8930">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2</w:t>
            </w:r>
          </w:p>
        </w:tc>
        <w:tc>
          <w:tcPr>
            <w:tcW w:w="1426" w:type="dxa"/>
            <w:noWrap/>
            <w:vAlign w:val="center"/>
          </w:tcPr>
          <w:p w14:paraId="1B263052">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bidi="ar"/>
              </w:rPr>
            </w:pPr>
            <w:r>
              <w:rPr>
                <w:rFonts w:hint="eastAsia" w:cs="Times New Roman"/>
                <w:color w:val="auto"/>
                <w:kern w:val="0"/>
                <w:sz w:val="21"/>
                <w:szCs w:val="21"/>
                <w:lang w:val="en-US" w:eastAsia="zh-CN" w:bidi="ar"/>
              </w:rPr>
              <w:t>50</w:t>
            </w:r>
          </w:p>
        </w:tc>
      </w:tr>
      <w:tr w14:paraId="0B220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restart"/>
            <w:noWrap w:val="0"/>
            <w:vAlign w:val="center"/>
          </w:tcPr>
          <w:p w14:paraId="75D677D6">
            <w:pPr>
              <w:widowControl/>
              <w:spacing w:line="240" w:lineRule="auto"/>
              <w:ind w:firstLine="0" w:firstLineChars="0"/>
              <w:jc w:val="center"/>
              <w:textAlignment w:val="center"/>
              <w:rPr>
                <w:color w:val="auto"/>
                <w:sz w:val="21"/>
                <w:szCs w:val="21"/>
              </w:rPr>
            </w:pPr>
            <w:r>
              <w:rPr>
                <w:color w:val="auto"/>
                <w:kern w:val="0"/>
                <w:sz w:val="21"/>
                <w:szCs w:val="21"/>
                <w:lang w:bidi="ar"/>
              </w:rPr>
              <w:t>7#</w:t>
            </w:r>
          </w:p>
        </w:tc>
        <w:tc>
          <w:tcPr>
            <w:tcW w:w="1021" w:type="pct"/>
            <w:noWrap w:val="0"/>
            <w:vAlign w:val="center"/>
          </w:tcPr>
          <w:p w14:paraId="2A43829F">
            <w:pPr>
              <w:widowControl/>
              <w:spacing w:line="240" w:lineRule="auto"/>
              <w:ind w:firstLine="0" w:firstLineChars="0"/>
              <w:jc w:val="center"/>
              <w:textAlignment w:val="center"/>
              <w:rPr>
                <w:color w:val="auto"/>
                <w:sz w:val="21"/>
                <w:szCs w:val="21"/>
              </w:rPr>
            </w:pPr>
            <w:r>
              <w:rPr>
                <w:color w:val="auto"/>
                <w:kern w:val="0"/>
                <w:sz w:val="21"/>
                <w:szCs w:val="21"/>
                <w:lang w:bidi="ar"/>
              </w:rPr>
              <w:t>昼间</w:t>
            </w:r>
          </w:p>
        </w:tc>
        <w:tc>
          <w:tcPr>
            <w:tcW w:w="834" w:type="pct"/>
            <w:noWrap/>
            <w:vAlign w:val="center"/>
          </w:tcPr>
          <w:p w14:paraId="526EBAC5">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bidi="ar"/>
              </w:rPr>
            </w:pPr>
            <w:r>
              <w:rPr>
                <w:rFonts w:hint="eastAsia" w:ascii="Times New Roman" w:hAnsi="Times New Roman" w:eastAsia="宋体" w:cs="Times New Roman"/>
                <w:color w:val="auto"/>
                <w:kern w:val="0"/>
                <w:sz w:val="21"/>
                <w:szCs w:val="21"/>
                <w:lang w:val="en-US" w:eastAsia="zh-CN" w:bidi="ar"/>
              </w:rPr>
              <w:t>6</w:t>
            </w:r>
            <w:r>
              <w:rPr>
                <w:rFonts w:hint="eastAsia" w:cs="Times New Roman"/>
                <w:color w:val="auto"/>
                <w:kern w:val="0"/>
                <w:sz w:val="21"/>
                <w:szCs w:val="21"/>
                <w:lang w:val="en-US" w:eastAsia="zh-CN" w:bidi="ar"/>
              </w:rPr>
              <w:t>7</w:t>
            </w:r>
          </w:p>
        </w:tc>
        <w:tc>
          <w:tcPr>
            <w:tcW w:w="834" w:type="pct"/>
            <w:noWrap/>
            <w:vAlign w:val="center"/>
          </w:tcPr>
          <w:p w14:paraId="0F4C4270">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70</w:t>
            </w:r>
          </w:p>
        </w:tc>
        <w:tc>
          <w:tcPr>
            <w:tcW w:w="834" w:type="pct"/>
            <w:noWrap/>
            <w:vAlign w:val="center"/>
          </w:tcPr>
          <w:p w14:paraId="2FBC7289">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61</w:t>
            </w:r>
          </w:p>
        </w:tc>
        <w:tc>
          <w:tcPr>
            <w:tcW w:w="837" w:type="pct"/>
            <w:noWrap/>
            <w:vAlign w:val="center"/>
          </w:tcPr>
          <w:p w14:paraId="7E2A09C4">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58</w:t>
            </w:r>
          </w:p>
        </w:tc>
      </w:tr>
      <w:tr w14:paraId="1F8D4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continue"/>
            <w:noWrap w:val="0"/>
            <w:vAlign w:val="center"/>
          </w:tcPr>
          <w:p w14:paraId="69DC7748">
            <w:pPr>
              <w:widowControl/>
              <w:spacing w:line="240" w:lineRule="auto"/>
              <w:ind w:firstLine="0" w:firstLineChars="0"/>
              <w:jc w:val="center"/>
              <w:rPr>
                <w:color w:val="auto"/>
                <w:sz w:val="21"/>
                <w:szCs w:val="21"/>
              </w:rPr>
            </w:pPr>
          </w:p>
        </w:tc>
        <w:tc>
          <w:tcPr>
            <w:tcW w:w="1021" w:type="pct"/>
            <w:noWrap w:val="0"/>
            <w:vAlign w:val="center"/>
          </w:tcPr>
          <w:p w14:paraId="0ECF65A5">
            <w:pPr>
              <w:widowControl/>
              <w:spacing w:line="240" w:lineRule="auto"/>
              <w:ind w:firstLine="0" w:firstLineChars="0"/>
              <w:jc w:val="center"/>
              <w:textAlignment w:val="center"/>
              <w:rPr>
                <w:color w:val="auto"/>
                <w:sz w:val="21"/>
                <w:szCs w:val="21"/>
              </w:rPr>
            </w:pPr>
            <w:r>
              <w:rPr>
                <w:color w:val="auto"/>
                <w:kern w:val="0"/>
                <w:sz w:val="21"/>
                <w:szCs w:val="21"/>
                <w:lang w:bidi="ar"/>
              </w:rPr>
              <w:t>夜间</w:t>
            </w:r>
          </w:p>
        </w:tc>
        <w:tc>
          <w:tcPr>
            <w:tcW w:w="1421" w:type="dxa"/>
            <w:noWrap/>
            <w:vAlign w:val="center"/>
          </w:tcPr>
          <w:p w14:paraId="2421F8E2">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53</w:t>
            </w:r>
          </w:p>
        </w:tc>
        <w:tc>
          <w:tcPr>
            <w:tcW w:w="1421" w:type="dxa"/>
            <w:noWrap/>
            <w:vAlign w:val="center"/>
          </w:tcPr>
          <w:p w14:paraId="7BD25B51">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56</w:t>
            </w:r>
          </w:p>
        </w:tc>
        <w:tc>
          <w:tcPr>
            <w:tcW w:w="1421" w:type="dxa"/>
            <w:noWrap/>
            <w:vAlign w:val="center"/>
          </w:tcPr>
          <w:p w14:paraId="6322C602">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53</w:t>
            </w:r>
          </w:p>
        </w:tc>
        <w:tc>
          <w:tcPr>
            <w:tcW w:w="1426" w:type="dxa"/>
            <w:noWrap/>
            <w:vAlign w:val="center"/>
          </w:tcPr>
          <w:p w14:paraId="31DF7794">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1</w:t>
            </w:r>
          </w:p>
        </w:tc>
      </w:tr>
      <w:tr w14:paraId="0C918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restart"/>
            <w:noWrap w:val="0"/>
            <w:vAlign w:val="center"/>
          </w:tcPr>
          <w:p w14:paraId="346C166E">
            <w:pPr>
              <w:widowControl/>
              <w:spacing w:line="240" w:lineRule="auto"/>
              <w:ind w:firstLine="0" w:firstLineChars="0"/>
              <w:jc w:val="center"/>
              <w:textAlignment w:val="center"/>
              <w:rPr>
                <w:color w:val="auto"/>
                <w:sz w:val="21"/>
                <w:szCs w:val="21"/>
              </w:rPr>
            </w:pPr>
            <w:r>
              <w:rPr>
                <w:color w:val="auto"/>
                <w:kern w:val="0"/>
                <w:sz w:val="21"/>
                <w:szCs w:val="21"/>
                <w:lang w:bidi="ar"/>
              </w:rPr>
              <w:t>8#</w:t>
            </w:r>
          </w:p>
        </w:tc>
        <w:tc>
          <w:tcPr>
            <w:tcW w:w="1021" w:type="pct"/>
            <w:noWrap w:val="0"/>
            <w:vAlign w:val="center"/>
          </w:tcPr>
          <w:p w14:paraId="6C9FBA71">
            <w:pPr>
              <w:widowControl/>
              <w:spacing w:line="240" w:lineRule="auto"/>
              <w:ind w:firstLine="0" w:firstLineChars="0"/>
              <w:jc w:val="center"/>
              <w:textAlignment w:val="center"/>
              <w:rPr>
                <w:color w:val="auto"/>
                <w:sz w:val="21"/>
                <w:szCs w:val="21"/>
              </w:rPr>
            </w:pPr>
            <w:r>
              <w:rPr>
                <w:color w:val="auto"/>
                <w:kern w:val="0"/>
                <w:sz w:val="21"/>
                <w:szCs w:val="21"/>
                <w:lang w:bidi="ar"/>
              </w:rPr>
              <w:t>昼间</w:t>
            </w:r>
          </w:p>
        </w:tc>
        <w:tc>
          <w:tcPr>
            <w:tcW w:w="834" w:type="pct"/>
            <w:noWrap/>
            <w:vAlign w:val="center"/>
          </w:tcPr>
          <w:p w14:paraId="69C4FF13">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w:t>
            </w:r>
            <w:r>
              <w:rPr>
                <w:rFonts w:hint="eastAsia" w:cs="Times New Roman"/>
                <w:color w:val="auto"/>
                <w:kern w:val="0"/>
                <w:sz w:val="21"/>
                <w:szCs w:val="21"/>
                <w:lang w:val="en-US" w:eastAsia="zh-CN" w:bidi="ar"/>
              </w:rPr>
              <w:t>5</w:t>
            </w:r>
          </w:p>
        </w:tc>
        <w:tc>
          <w:tcPr>
            <w:tcW w:w="834" w:type="pct"/>
            <w:noWrap/>
            <w:vAlign w:val="center"/>
          </w:tcPr>
          <w:p w14:paraId="1EFBE1AD">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67</w:t>
            </w:r>
          </w:p>
        </w:tc>
        <w:tc>
          <w:tcPr>
            <w:tcW w:w="834" w:type="pct"/>
            <w:noWrap/>
            <w:vAlign w:val="center"/>
          </w:tcPr>
          <w:p w14:paraId="6599EFE4">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w:t>
            </w:r>
            <w:r>
              <w:rPr>
                <w:rFonts w:hint="eastAsia" w:cs="Times New Roman"/>
                <w:color w:val="auto"/>
                <w:kern w:val="0"/>
                <w:sz w:val="21"/>
                <w:szCs w:val="21"/>
                <w:lang w:val="en-US" w:eastAsia="zh-CN" w:bidi="ar"/>
              </w:rPr>
              <w:t>2</w:t>
            </w:r>
          </w:p>
        </w:tc>
        <w:tc>
          <w:tcPr>
            <w:tcW w:w="837" w:type="pct"/>
            <w:noWrap/>
            <w:vAlign w:val="center"/>
          </w:tcPr>
          <w:p w14:paraId="08FCE023">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58</w:t>
            </w:r>
          </w:p>
        </w:tc>
      </w:tr>
      <w:tr w14:paraId="42BDC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continue"/>
            <w:noWrap w:val="0"/>
            <w:vAlign w:val="center"/>
          </w:tcPr>
          <w:p w14:paraId="4C8FE1A7">
            <w:pPr>
              <w:widowControl/>
              <w:spacing w:line="240" w:lineRule="auto"/>
              <w:ind w:firstLine="0" w:firstLineChars="0"/>
              <w:jc w:val="center"/>
              <w:rPr>
                <w:color w:val="auto"/>
                <w:sz w:val="21"/>
                <w:szCs w:val="21"/>
              </w:rPr>
            </w:pPr>
          </w:p>
        </w:tc>
        <w:tc>
          <w:tcPr>
            <w:tcW w:w="1021" w:type="pct"/>
            <w:noWrap w:val="0"/>
            <w:vAlign w:val="center"/>
          </w:tcPr>
          <w:p w14:paraId="3834241D">
            <w:pPr>
              <w:widowControl/>
              <w:spacing w:line="240" w:lineRule="auto"/>
              <w:ind w:firstLine="0" w:firstLineChars="0"/>
              <w:jc w:val="center"/>
              <w:textAlignment w:val="center"/>
              <w:rPr>
                <w:color w:val="auto"/>
                <w:sz w:val="21"/>
                <w:szCs w:val="21"/>
              </w:rPr>
            </w:pPr>
            <w:r>
              <w:rPr>
                <w:color w:val="auto"/>
                <w:kern w:val="0"/>
                <w:sz w:val="21"/>
                <w:szCs w:val="21"/>
                <w:lang w:bidi="ar"/>
              </w:rPr>
              <w:t>夜间</w:t>
            </w:r>
          </w:p>
        </w:tc>
        <w:tc>
          <w:tcPr>
            <w:tcW w:w="1421" w:type="dxa"/>
            <w:noWrap/>
            <w:vAlign w:val="center"/>
          </w:tcPr>
          <w:p w14:paraId="6CC75453">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52</w:t>
            </w:r>
          </w:p>
        </w:tc>
        <w:tc>
          <w:tcPr>
            <w:tcW w:w="1421" w:type="dxa"/>
            <w:noWrap/>
            <w:vAlign w:val="center"/>
          </w:tcPr>
          <w:p w14:paraId="5956944A">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7</w:t>
            </w:r>
          </w:p>
        </w:tc>
        <w:tc>
          <w:tcPr>
            <w:tcW w:w="1421" w:type="dxa"/>
            <w:noWrap/>
            <w:vAlign w:val="center"/>
          </w:tcPr>
          <w:p w14:paraId="06E20256">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52</w:t>
            </w:r>
          </w:p>
        </w:tc>
        <w:tc>
          <w:tcPr>
            <w:tcW w:w="1426" w:type="dxa"/>
            <w:noWrap/>
            <w:vAlign w:val="center"/>
          </w:tcPr>
          <w:p w14:paraId="31DBF876">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4</w:t>
            </w:r>
            <w:r>
              <w:rPr>
                <w:rFonts w:hint="eastAsia" w:cs="Times New Roman"/>
                <w:color w:val="auto"/>
                <w:kern w:val="0"/>
                <w:sz w:val="21"/>
                <w:szCs w:val="21"/>
                <w:lang w:val="en-US" w:eastAsia="zh-CN" w:bidi="ar"/>
              </w:rPr>
              <w:t>8</w:t>
            </w:r>
          </w:p>
        </w:tc>
      </w:tr>
      <w:tr w14:paraId="017D9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restart"/>
            <w:noWrap w:val="0"/>
            <w:vAlign w:val="center"/>
          </w:tcPr>
          <w:p w14:paraId="758687B1">
            <w:pPr>
              <w:widowControl/>
              <w:spacing w:line="240" w:lineRule="auto"/>
              <w:ind w:firstLine="0" w:firstLineChars="0"/>
              <w:jc w:val="center"/>
              <w:textAlignment w:val="center"/>
              <w:rPr>
                <w:color w:val="auto"/>
                <w:sz w:val="21"/>
                <w:szCs w:val="21"/>
              </w:rPr>
            </w:pPr>
            <w:r>
              <w:rPr>
                <w:color w:val="auto"/>
                <w:kern w:val="0"/>
                <w:sz w:val="21"/>
                <w:szCs w:val="21"/>
                <w:lang w:bidi="ar"/>
              </w:rPr>
              <w:t>9#</w:t>
            </w:r>
          </w:p>
        </w:tc>
        <w:tc>
          <w:tcPr>
            <w:tcW w:w="1021" w:type="pct"/>
            <w:noWrap w:val="0"/>
            <w:vAlign w:val="center"/>
          </w:tcPr>
          <w:p w14:paraId="2B7896FD">
            <w:pPr>
              <w:widowControl/>
              <w:spacing w:line="240" w:lineRule="auto"/>
              <w:ind w:firstLine="0" w:firstLineChars="0"/>
              <w:jc w:val="center"/>
              <w:textAlignment w:val="center"/>
              <w:rPr>
                <w:color w:val="auto"/>
                <w:sz w:val="21"/>
                <w:szCs w:val="21"/>
              </w:rPr>
            </w:pPr>
            <w:r>
              <w:rPr>
                <w:color w:val="auto"/>
                <w:kern w:val="0"/>
                <w:sz w:val="21"/>
                <w:szCs w:val="21"/>
                <w:lang w:bidi="ar"/>
              </w:rPr>
              <w:t>昼间</w:t>
            </w:r>
          </w:p>
        </w:tc>
        <w:tc>
          <w:tcPr>
            <w:tcW w:w="834" w:type="pct"/>
            <w:noWrap/>
            <w:vAlign w:val="center"/>
          </w:tcPr>
          <w:p w14:paraId="57020344">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66</w:t>
            </w:r>
          </w:p>
        </w:tc>
        <w:tc>
          <w:tcPr>
            <w:tcW w:w="834" w:type="pct"/>
            <w:noWrap/>
            <w:vAlign w:val="center"/>
          </w:tcPr>
          <w:p w14:paraId="1FFBB954">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70</w:t>
            </w:r>
          </w:p>
        </w:tc>
        <w:tc>
          <w:tcPr>
            <w:tcW w:w="834" w:type="pct"/>
            <w:noWrap/>
            <w:vAlign w:val="center"/>
          </w:tcPr>
          <w:p w14:paraId="407104E0">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w:t>
            </w:r>
            <w:r>
              <w:rPr>
                <w:rFonts w:hint="eastAsia" w:cs="Times New Roman"/>
                <w:color w:val="auto"/>
                <w:kern w:val="0"/>
                <w:sz w:val="21"/>
                <w:szCs w:val="21"/>
                <w:lang w:val="en-US" w:eastAsia="zh-CN" w:bidi="ar"/>
              </w:rPr>
              <w:t>3</w:t>
            </w:r>
          </w:p>
        </w:tc>
        <w:tc>
          <w:tcPr>
            <w:tcW w:w="837" w:type="pct"/>
            <w:noWrap/>
            <w:vAlign w:val="center"/>
          </w:tcPr>
          <w:p w14:paraId="16477E9B">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58</w:t>
            </w:r>
          </w:p>
        </w:tc>
      </w:tr>
      <w:tr w14:paraId="37747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continue"/>
            <w:noWrap w:val="0"/>
            <w:vAlign w:val="center"/>
          </w:tcPr>
          <w:p w14:paraId="7551B542">
            <w:pPr>
              <w:widowControl/>
              <w:spacing w:line="240" w:lineRule="auto"/>
              <w:ind w:firstLine="0" w:firstLineChars="0"/>
              <w:jc w:val="center"/>
              <w:rPr>
                <w:color w:val="auto"/>
                <w:sz w:val="21"/>
                <w:szCs w:val="21"/>
              </w:rPr>
            </w:pPr>
          </w:p>
        </w:tc>
        <w:tc>
          <w:tcPr>
            <w:tcW w:w="1021" w:type="pct"/>
            <w:noWrap w:val="0"/>
            <w:vAlign w:val="center"/>
          </w:tcPr>
          <w:p w14:paraId="4CBEA65D">
            <w:pPr>
              <w:widowControl/>
              <w:spacing w:line="240" w:lineRule="auto"/>
              <w:ind w:firstLine="0" w:firstLineChars="0"/>
              <w:jc w:val="center"/>
              <w:textAlignment w:val="center"/>
              <w:rPr>
                <w:color w:val="auto"/>
                <w:sz w:val="21"/>
                <w:szCs w:val="21"/>
              </w:rPr>
            </w:pPr>
            <w:r>
              <w:rPr>
                <w:color w:val="auto"/>
                <w:kern w:val="0"/>
                <w:sz w:val="21"/>
                <w:szCs w:val="21"/>
                <w:lang w:bidi="ar"/>
              </w:rPr>
              <w:t>夜间</w:t>
            </w:r>
          </w:p>
        </w:tc>
        <w:tc>
          <w:tcPr>
            <w:tcW w:w="1421" w:type="dxa"/>
            <w:noWrap/>
            <w:vAlign w:val="center"/>
          </w:tcPr>
          <w:p w14:paraId="3F6AFEC1">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2</w:t>
            </w:r>
          </w:p>
        </w:tc>
        <w:tc>
          <w:tcPr>
            <w:tcW w:w="1421" w:type="dxa"/>
            <w:noWrap/>
            <w:vAlign w:val="center"/>
          </w:tcPr>
          <w:p w14:paraId="4A1ABC07">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56</w:t>
            </w:r>
          </w:p>
        </w:tc>
        <w:tc>
          <w:tcPr>
            <w:tcW w:w="1421" w:type="dxa"/>
            <w:noWrap/>
            <w:vAlign w:val="center"/>
          </w:tcPr>
          <w:p w14:paraId="6AD3D767">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2</w:t>
            </w:r>
          </w:p>
        </w:tc>
        <w:tc>
          <w:tcPr>
            <w:tcW w:w="1426" w:type="dxa"/>
            <w:noWrap/>
            <w:vAlign w:val="center"/>
          </w:tcPr>
          <w:p w14:paraId="660DDB27">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4</w:t>
            </w:r>
            <w:r>
              <w:rPr>
                <w:rFonts w:hint="eastAsia" w:cs="Times New Roman"/>
                <w:color w:val="auto"/>
                <w:kern w:val="0"/>
                <w:sz w:val="21"/>
                <w:szCs w:val="21"/>
                <w:lang w:val="en-US" w:eastAsia="zh-CN" w:bidi="ar"/>
              </w:rPr>
              <w:t>8</w:t>
            </w:r>
          </w:p>
        </w:tc>
      </w:tr>
      <w:tr w14:paraId="63D1A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restart"/>
            <w:noWrap w:val="0"/>
            <w:vAlign w:val="center"/>
          </w:tcPr>
          <w:p w14:paraId="6F9EAD25">
            <w:pPr>
              <w:widowControl/>
              <w:spacing w:line="240" w:lineRule="auto"/>
              <w:ind w:firstLine="0" w:firstLineChars="0"/>
              <w:jc w:val="center"/>
              <w:textAlignment w:val="center"/>
              <w:rPr>
                <w:color w:val="auto"/>
                <w:sz w:val="21"/>
                <w:szCs w:val="21"/>
              </w:rPr>
            </w:pPr>
            <w:r>
              <w:rPr>
                <w:color w:val="auto"/>
                <w:kern w:val="0"/>
                <w:sz w:val="21"/>
                <w:szCs w:val="21"/>
                <w:lang w:bidi="ar"/>
              </w:rPr>
              <w:t>10#</w:t>
            </w:r>
          </w:p>
        </w:tc>
        <w:tc>
          <w:tcPr>
            <w:tcW w:w="1021" w:type="pct"/>
            <w:noWrap w:val="0"/>
            <w:vAlign w:val="center"/>
          </w:tcPr>
          <w:p w14:paraId="69860364">
            <w:pPr>
              <w:widowControl/>
              <w:spacing w:line="240" w:lineRule="auto"/>
              <w:ind w:firstLine="0" w:firstLineChars="0"/>
              <w:jc w:val="center"/>
              <w:textAlignment w:val="center"/>
              <w:rPr>
                <w:color w:val="auto"/>
                <w:sz w:val="21"/>
                <w:szCs w:val="21"/>
              </w:rPr>
            </w:pPr>
            <w:r>
              <w:rPr>
                <w:color w:val="auto"/>
                <w:kern w:val="0"/>
                <w:sz w:val="21"/>
                <w:szCs w:val="21"/>
                <w:lang w:bidi="ar"/>
              </w:rPr>
              <w:t>昼间</w:t>
            </w:r>
          </w:p>
        </w:tc>
        <w:tc>
          <w:tcPr>
            <w:tcW w:w="834" w:type="pct"/>
            <w:noWrap/>
            <w:vAlign w:val="center"/>
          </w:tcPr>
          <w:p w14:paraId="271772EB">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61</w:t>
            </w:r>
          </w:p>
        </w:tc>
        <w:tc>
          <w:tcPr>
            <w:tcW w:w="834" w:type="pct"/>
            <w:noWrap/>
            <w:vAlign w:val="center"/>
          </w:tcPr>
          <w:p w14:paraId="44BB5FCB">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w:t>
            </w:r>
            <w:r>
              <w:rPr>
                <w:rFonts w:hint="eastAsia" w:cs="Times New Roman"/>
                <w:color w:val="auto"/>
                <w:kern w:val="0"/>
                <w:sz w:val="21"/>
                <w:szCs w:val="21"/>
                <w:lang w:val="en-US" w:eastAsia="zh-CN" w:bidi="ar"/>
              </w:rPr>
              <w:t>1</w:t>
            </w:r>
          </w:p>
        </w:tc>
        <w:tc>
          <w:tcPr>
            <w:tcW w:w="834" w:type="pct"/>
            <w:noWrap/>
            <w:vAlign w:val="center"/>
          </w:tcPr>
          <w:p w14:paraId="7FE0A14E">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58</w:t>
            </w:r>
          </w:p>
        </w:tc>
        <w:tc>
          <w:tcPr>
            <w:tcW w:w="837" w:type="pct"/>
            <w:noWrap/>
            <w:vAlign w:val="center"/>
          </w:tcPr>
          <w:p w14:paraId="45E6DB1B">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57</w:t>
            </w:r>
          </w:p>
        </w:tc>
      </w:tr>
      <w:tr w14:paraId="653AE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continue"/>
            <w:noWrap w:val="0"/>
            <w:vAlign w:val="center"/>
          </w:tcPr>
          <w:p w14:paraId="663464FC">
            <w:pPr>
              <w:widowControl/>
              <w:spacing w:line="240" w:lineRule="auto"/>
              <w:ind w:firstLine="0" w:firstLineChars="0"/>
              <w:jc w:val="center"/>
              <w:rPr>
                <w:color w:val="auto"/>
                <w:sz w:val="21"/>
                <w:szCs w:val="21"/>
              </w:rPr>
            </w:pPr>
          </w:p>
        </w:tc>
        <w:tc>
          <w:tcPr>
            <w:tcW w:w="1021" w:type="pct"/>
            <w:noWrap w:val="0"/>
            <w:vAlign w:val="center"/>
          </w:tcPr>
          <w:p w14:paraId="3F540971">
            <w:pPr>
              <w:widowControl/>
              <w:spacing w:line="240" w:lineRule="auto"/>
              <w:ind w:firstLine="0" w:firstLineChars="0"/>
              <w:jc w:val="center"/>
              <w:textAlignment w:val="center"/>
              <w:rPr>
                <w:color w:val="auto"/>
                <w:sz w:val="21"/>
                <w:szCs w:val="21"/>
              </w:rPr>
            </w:pPr>
            <w:r>
              <w:rPr>
                <w:color w:val="auto"/>
                <w:kern w:val="0"/>
                <w:sz w:val="21"/>
                <w:szCs w:val="21"/>
                <w:lang w:bidi="ar"/>
              </w:rPr>
              <w:t>夜间</w:t>
            </w:r>
          </w:p>
        </w:tc>
        <w:tc>
          <w:tcPr>
            <w:tcW w:w="1421" w:type="dxa"/>
            <w:noWrap/>
            <w:vAlign w:val="center"/>
          </w:tcPr>
          <w:p w14:paraId="01A3E3F7">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5</w:t>
            </w:r>
          </w:p>
        </w:tc>
        <w:tc>
          <w:tcPr>
            <w:tcW w:w="1421" w:type="dxa"/>
            <w:noWrap/>
            <w:vAlign w:val="center"/>
          </w:tcPr>
          <w:p w14:paraId="301AD2EA">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w:t>
            </w:r>
            <w:r>
              <w:rPr>
                <w:rFonts w:hint="eastAsia" w:cs="Times New Roman"/>
                <w:color w:val="auto"/>
                <w:kern w:val="0"/>
                <w:sz w:val="21"/>
                <w:szCs w:val="21"/>
                <w:lang w:val="en-US" w:eastAsia="zh-CN" w:bidi="ar"/>
              </w:rPr>
              <w:t>1</w:t>
            </w:r>
          </w:p>
        </w:tc>
        <w:tc>
          <w:tcPr>
            <w:tcW w:w="1421" w:type="dxa"/>
            <w:noWrap/>
            <w:vAlign w:val="center"/>
          </w:tcPr>
          <w:p w14:paraId="0D757284">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5</w:t>
            </w:r>
          </w:p>
        </w:tc>
        <w:tc>
          <w:tcPr>
            <w:tcW w:w="1426" w:type="dxa"/>
            <w:noWrap/>
            <w:vAlign w:val="center"/>
          </w:tcPr>
          <w:p w14:paraId="71DDF0AD">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4</w:t>
            </w:r>
            <w:r>
              <w:rPr>
                <w:rFonts w:hint="eastAsia" w:cs="Times New Roman"/>
                <w:color w:val="auto"/>
                <w:kern w:val="0"/>
                <w:sz w:val="21"/>
                <w:szCs w:val="21"/>
                <w:lang w:val="en-US" w:eastAsia="zh-CN" w:bidi="ar"/>
              </w:rPr>
              <w:t>9</w:t>
            </w:r>
          </w:p>
        </w:tc>
      </w:tr>
      <w:tr w14:paraId="07B68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restart"/>
            <w:noWrap w:val="0"/>
            <w:vAlign w:val="center"/>
          </w:tcPr>
          <w:p w14:paraId="0B9DAD50">
            <w:pPr>
              <w:widowControl/>
              <w:spacing w:line="240" w:lineRule="auto"/>
              <w:ind w:firstLine="0" w:firstLineChars="0"/>
              <w:jc w:val="center"/>
              <w:textAlignment w:val="center"/>
              <w:rPr>
                <w:color w:val="auto"/>
                <w:sz w:val="21"/>
                <w:szCs w:val="21"/>
              </w:rPr>
            </w:pPr>
            <w:r>
              <w:rPr>
                <w:color w:val="auto"/>
                <w:kern w:val="0"/>
                <w:sz w:val="21"/>
                <w:szCs w:val="21"/>
                <w:lang w:bidi="ar"/>
              </w:rPr>
              <w:t>11#</w:t>
            </w:r>
          </w:p>
        </w:tc>
        <w:tc>
          <w:tcPr>
            <w:tcW w:w="1021" w:type="pct"/>
            <w:noWrap w:val="0"/>
            <w:vAlign w:val="center"/>
          </w:tcPr>
          <w:p w14:paraId="693BCD34">
            <w:pPr>
              <w:widowControl/>
              <w:spacing w:line="240" w:lineRule="auto"/>
              <w:ind w:firstLine="0" w:firstLineChars="0"/>
              <w:jc w:val="center"/>
              <w:textAlignment w:val="center"/>
              <w:rPr>
                <w:color w:val="auto"/>
                <w:sz w:val="21"/>
                <w:szCs w:val="21"/>
              </w:rPr>
            </w:pPr>
            <w:r>
              <w:rPr>
                <w:color w:val="auto"/>
                <w:kern w:val="0"/>
                <w:sz w:val="21"/>
                <w:szCs w:val="21"/>
                <w:lang w:bidi="ar"/>
              </w:rPr>
              <w:t>昼间</w:t>
            </w:r>
          </w:p>
        </w:tc>
        <w:tc>
          <w:tcPr>
            <w:tcW w:w="834" w:type="pct"/>
            <w:noWrap/>
            <w:vAlign w:val="center"/>
          </w:tcPr>
          <w:p w14:paraId="7ADB48FF">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w:t>
            </w:r>
            <w:r>
              <w:rPr>
                <w:rFonts w:hint="eastAsia" w:cs="Times New Roman"/>
                <w:color w:val="auto"/>
                <w:kern w:val="0"/>
                <w:sz w:val="21"/>
                <w:szCs w:val="21"/>
                <w:lang w:val="en-US" w:eastAsia="zh-CN" w:bidi="ar"/>
              </w:rPr>
              <w:t>5</w:t>
            </w:r>
          </w:p>
        </w:tc>
        <w:tc>
          <w:tcPr>
            <w:tcW w:w="834" w:type="pct"/>
            <w:noWrap/>
            <w:vAlign w:val="center"/>
          </w:tcPr>
          <w:p w14:paraId="2F6F18D1">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bidi="ar"/>
              </w:rPr>
            </w:pPr>
            <w:r>
              <w:rPr>
                <w:rFonts w:hint="eastAsia" w:cs="Times New Roman"/>
                <w:color w:val="auto"/>
                <w:kern w:val="0"/>
                <w:sz w:val="21"/>
                <w:szCs w:val="21"/>
                <w:lang w:val="en-US" w:eastAsia="zh-CN" w:bidi="ar"/>
              </w:rPr>
              <w:t>72</w:t>
            </w:r>
          </w:p>
        </w:tc>
        <w:tc>
          <w:tcPr>
            <w:tcW w:w="834" w:type="pct"/>
            <w:noWrap/>
            <w:vAlign w:val="center"/>
          </w:tcPr>
          <w:p w14:paraId="26842B21">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bidi="ar"/>
              </w:rPr>
            </w:pPr>
            <w:r>
              <w:rPr>
                <w:rFonts w:hint="eastAsia" w:cs="Times New Roman"/>
                <w:color w:val="auto"/>
                <w:kern w:val="0"/>
                <w:sz w:val="21"/>
                <w:szCs w:val="21"/>
                <w:lang w:val="en-US" w:eastAsia="zh-CN" w:bidi="ar"/>
              </w:rPr>
              <w:t>64</w:t>
            </w:r>
          </w:p>
        </w:tc>
        <w:tc>
          <w:tcPr>
            <w:tcW w:w="837" w:type="pct"/>
            <w:noWrap/>
            <w:vAlign w:val="center"/>
          </w:tcPr>
          <w:p w14:paraId="7EA225F1">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bidi="ar"/>
              </w:rPr>
            </w:pPr>
            <w:r>
              <w:rPr>
                <w:rFonts w:hint="eastAsia" w:cs="Times New Roman"/>
                <w:color w:val="auto"/>
                <w:kern w:val="0"/>
                <w:sz w:val="21"/>
                <w:szCs w:val="21"/>
                <w:lang w:val="en-US" w:eastAsia="zh-CN" w:bidi="ar"/>
              </w:rPr>
              <w:t>58</w:t>
            </w:r>
          </w:p>
        </w:tc>
      </w:tr>
      <w:tr w14:paraId="6DD18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continue"/>
            <w:noWrap w:val="0"/>
            <w:vAlign w:val="center"/>
          </w:tcPr>
          <w:p w14:paraId="1592154D">
            <w:pPr>
              <w:widowControl/>
              <w:spacing w:line="240" w:lineRule="auto"/>
              <w:ind w:firstLine="0" w:firstLineChars="0"/>
              <w:jc w:val="center"/>
              <w:rPr>
                <w:color w:val="auto"/>
                <w:sz w:val="21"/>
                <w:szCs w:val="21"/>
              </w:rPr>
            </w:pPr>
          </w:p>
        </w:tc>
        <w:tc>
          <w:tcPr>
            <w:tcW w:w="1021" w:type="pct"/>
            <w:noWrap w:val="0"/>
            <w:vAlign w:val="center"/>
          </w:tcPr>
          <w:p w14:paraId="07306CA3">
            <w:pPr>
              <w:widowControl/>
              <w:spacing w:line="240" w:lineRule="auto"/>
              <w:ind w:firstLine="0" w:firstLineChars="0"/>
              <w:jc w:val="center"/>
              <w:textAlignment w:val="center"/>
              <w:rPr>
                <w:color w:val="auto"/>
                <w:sz w:val="21"/>
                <w:szCs w:val="21"/>
              </w:rPr>
            </w:pPr>
            <w:r>
              <w:rPr>
                <w:color w:val="auto"/>
                <w:kern w:val="0"/>
                <w:sz w:val="21"/>
                <w:szCs w:val="21"/>
                <w:lang w:bidi="ar"/>
              </w:rPr>
              <w:t>夜间</w:t>
            </w:r>
          </w:p>
        </w:tc>
        <w:tc>
          <w:tcPr>
            <w:tcW w:w="1421" w:type="dxa"/>
            <w:noWrap/>
            <w:vAlign w:val="center"/>
          </w:tcPr>
          <w:p w14:paraId="3398A076">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53</w:t>
            </w:r>
          </w:p>
        </w:tc>
        <w:tc>
          <w:tcPr>
            <w:tcW w:w="1421" w:type="dxa"/>
            <w:noWrap/>
            <w:vAlign w:val="center"/>
          </w:tcPr>
          <w:p w14:paraId="7263E6A1">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9</w:t>
            </w:r>
          </w:p>
        </w:tc>
        <w:tc>
          <w:tcPr>
            <w:tcW w:w="1421" w:type="dxa"/>
            <w:noWrap/>
            <w:vAlign w:val="center"/>
          </w:tcPr>
          <w:p w14:paraId="4F5F5BB9">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3</w:t>
            </w:r>
          </w:p>
        </w:tc>
        <w:tc>
          <w:tcPr>
            <w:tcW w:w="1426" w:type="dxa"/>
            <w:noWrap/>
            <w:vAlign w:val="center"/>
          </w:tcPr>
          <w:p w14:paraId="2249D029">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47</w:t>
            </w:r>
          </w:p>
        </w:tc>
      </w:tr>
      <w:tr w14:paraId="5309C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restart"/>
            <w:noWrap w:val="0"/>
            <w:vAlign w:val="center"/>
          </w:tcPr>
          <w:p w14:paraId="7621080F">
            <w:pPr>
              <w:widowControl/>
              <w:spacing w:line="240" w:lineRule="auto"/>
              <w:ind w:firstLine="0" w:firstLineChars="0"/>
              <w:jc w:val="center"/>
              <w:textAlignment w:val="center"/>
              <w:rPr>
                <w:color w:val="auto"/>
                <w:sz w:val="21"/>
                <w:szCs w:val="21"/>
              </w:rPr>
            </w:pPr>
            <w:r>
              <w:rPr>
                <w:color w:val="auto"/>
                <w:kern w:val="0"/>
                <w:sz w:val="21"/>
                <w:szCs w:val="21"/>
                <w:lang w:bidi="ar"/>
              </w:rPr>
              <w:t>12#</w:t>
            </w:r>
          </w:p>
        </w:tc>
        <w:tc>
          <w:tcPr>
            <w:tcW w:w="1021" w:type="pct"/>
            <w:noWrap w:val="0"/>
            <w:vAlign w:val="center"/>
          </w:tcPr>
          <w:p w14:paraId="5B7D158F">
            <w:pPr>
              <w:widowControl/>
              <w:spacing w:line="240" w:lineRule="auto"/>
              <w:ind w:firstLine="0" w:firstLineChars="0"/>
              <w:jc w:val="center"/>
              <w:textAlignment w:val="center"/>
              <w:rPr>
                <w:color w:val="auto"/>
                <w:sz w:val="21"/>
                <w:szCs w:val="21"/>
              </w:rPr>
            </w:pPr>
            <w:r>
              <w:rPr>
                <w:color w:val="auto"/>
                <w:kern w:val="0"/>
                <w:sz w:val="21"/>
                <w:szCs w:val="21"/>
                <w:lang w:bidi="ar"/>
              </w:rPr>
              <w:t>昼间</w:t>
            </w:r>
          </w:p>
        </w:tc>
        <w:tc>
          <w:tcPr>
            <w:tcW w:w="834" w:type="pct"/>
            <w:noWrap/>
            <w:vAlign w:val="center"/>
          </w:tcPr>
          <w:p w14:paraId="1B1E32EE">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bidi="ar"/>
              </w:rPr>
            </w:pPr>
            <w:r>
              <w:rPr>
                <w:rFonts w:hint="eastAsia" w:cs="Times New Roman"/>
                <w:color w:val="auto"/>
                <w:kern w:val="0"/>
                <w:sz w:val="21"/>
                <w:szCs w:val="21"/>
                <w:lang w:val="en-US" w:eastAsia="zh-CN" w:bidi="ar"/>
              </w:rPr>
              <w:t>60</w:t>
            </w:r>
          </w:p>
        </w:tc>
        <w:tc>
          <w:tcPr>
            <w:tcW w:w="834" w:type="pct"/>
            <w:noWrap/>
            <w:vAlign w:val="center"/>
          </w:tcPr>
          <w:p w14:paraId="4A0A0214">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62</w:t>
            </w:r>
          </w:p>
        </w:tc>
        <w:tc>
          <w:tcPr>
            <w:tcW w:w="834" w:type="pct"/>
            <w:noWrap/>
            <w:vAlign w:val="center"/>
          </w:tcPr>
          <w:p w14:paraId="5A09B922">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58</w:t>
            </w:r>
          </w:p>
        </w:tc>
        <w:tc>
          <w:tcPr>
            <w:tcW w:w="837" w:type="pct"/>
            <w:noWrap/>
            <w:vAlign w:val="center"/>
          </w:tcPr>
          <w:p w14:paraId="77AA1201">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56</w:t>
            </w:r>
          </w:p>
        </w:tc>
      </w:tr>
      <w:tr w14:paraId="2E533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continue"/>
            <w:noWrap w:val="0"/>
            <w:vAlign w:val="center"/>
          </w:tcPr>
          <w:p w14:paraId="409BD217">
            <w:pPr>
              <w:widowControl/>
              <w:spacing w:line="240" w:lineRule="auto"/>
              <w:ind w:firstLine="0" w:firstLineChars="0"/>
              <w:jc w:val="center"/>
              <w:rPr>
                <w:color w:val="auto"/>
                <w:sz w:val="21"/>
                <w:szCs w:val="21"/>
              </w:rPr>
            </w:pPr>
          </w:p>
        </w:tc>
        <w:tc>
          <w:tcPr>
            <w:tcW w:w="1021" w:type="pct"/>
            <w:noWrap w:val="0"/>
            <w:vAlign w:val="center"/>
          </w:tcPr>
          <w:p w14:paraId="51069E96">
            <w:pPr>
              <w:widowControl/>
              <w:spacing w:line="240" w:lineRule="auto"/>
              <w:ind w:firstLine="0" w:firstLineChars="0"/>
              <w:jc w:val="center"/>
              <w:textAlignment w:val="center"/>
              <w:rPr>
                <w:color w:val="auto"/>
                <w:sz w:val="21"/>
                <w:szCs w:val="21"/>
              </w:rPr>
            </w:pPr>
            <w:r>
              <w:rPr>
                <w:color w:val="auto"/>
                <w:kern w:val="0"/>
                <w:sz w:val="21"/>
                <w:szCs w:val="21"/>
                <w:lang w:bidi="ar"/>
              </w:rPr>
              <w:t>夜间</w:t>
            </w:r>
          </w:p>
        </w:tc>
        <w:tc>
          <w:tcPr>
            <w:tcW w:w="1421" w:type="dxa"/>
            <w:noWrap/>
            <w:vAlign w:val="center"/>
          </w:tcPr>
          <w:p w14:paraId="2780A4B1">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4</w:t>
            </w:r>
          </w:p>
        </w:tc>
        <w:tc>
          <w:tcPr>
            <w:tcW w:w="1421" w:type="dxa"/>
            <w:noWrap/>
            <w:vAlign w:val="center"/>
          </w:tcPr>
          <w:p w14:paraId="30BF9F31">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8</w:t>
            </w:r>
          </w:p>
        </w:tc>
        <w:tc>
          <w:tcPr>
            <w:tcW w:w="1421" w:type="dxa"/>
            <w:noWrap/>
            <w:vAlign w:val="center"/>
          </w:tcPr>
          <w:p w14:paraId="784899E4">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4</w:t>
            </w:r>
          </w:p>
        </w:tc>
        <w:tc>
          <w:tcPr>
            <w:tcW w:w="1426" w:type="dxa"/>
            <w:noWrap/>
            <w:vAlign w:val="center"/>
          </w:tcPr>
          <w:p w14:paraId="06DB183A">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bidi="ar"/>
              </w:rPr>
            </w:pPr>
            <w:r>
              <w:rPr>
                <w:rFonts w:hint="eastAsia" w:cs="Times New Roman"/>
                <w:color w:val="auto"/>
                <w:kern w:val="0"/>
                <w:sz w:val="21"/>
                <w:szCs w:val="21"/>
                <w:lang w:val="en-US" w:eastAsia="zh-CN" w:bidi="ar"/>
              </w:rPr>
              <w:t>50</w:t>
            </w:r>
          </w:p>
        </w:tc>
      </w:tr>
      <w:tr w14:paraId="5E59F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restart"/>
            <w:noWrap w:val="0"/>
            <w:vAlign w:val="center"/>
          </w:tcPr>
          <w:p w14:paraId="2CA7CF47">
            <w:pPr>
              <w:widowControl/>
              <w:spacing w:line="240" w:lineRule="auto"/>
              <w:ind w:firstLine="0" w:firstLineChars="0"/>
              <w:jc w:val="center"/>
              <w:textAlignment w:val="center"/>
              <w:rPr>
                <w:color w:val="auto"/>
                <w:sz w:val="21"/>
                <w:szCs w:val="21"/>
              </w:rPr>
            </w:pPr>
            <w:r>
              <w:rPr>
                <w:color w:val="auto"/>
                <w:kern w:val="0"/>
                <w:sz w:val="21"/>
                <w:szCs w:val="21"/>
                <w:lang w:bidi="ar"/>
              </w:rPr>
              <w:t>13#</w:t>
            </w:r>
          </w:p>
        </w:tc>
        <w:tc>
          <w:tcPr>
            <w:tcW w:w="1021" w:type="pct"/>
            <w:noWrap w:val="0"/>
            <w:vAlign w:val="center"/>
          </w:tcPr>
          <w:p w14:paraId="62974681">
            <w:pPr>
              <w:widowControl/>
              <w:spacing w:line="240" w:lineRule="auto"/>
              <w:ind w:firstLine="0" w:firstLineChars="0"/>
              <w:jc w:val="center"/>
              <w:textAlignment w:val="center"/>
              <w:rPr>
                <w:color w:val="auto"/>
                <w:sz w:val="21"/>
                <w:szCs w:val="21"/>
              </w:rPr>
            </w:pPr>
            <w:r>
              <w:rPr>
                <w:color w:val="auto"/>
                <w:kern w:val="0"/>
                <w:sz w:val="21"/>
                <w:szCs w:val="21"/>
                <w:lang w:bidi="ar"/>
              </w:rPr>
              <w:t>昼间</w:t>
            </w:r>
          </w:p>
        </w:tc>
        <w:tc>
          <w:tcPr>
            <w:tcW w:w="834" w:type="pct"/>
            <w:noWrap/>
            <w:vAlign w:val="center"/>
          </w:tcPr>
          <w:p w14:paraId="3D74FB6D">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68</w:t>
            </w:r>
          </w:p>
        </w:tc>
        <w:tc>
          <w:tcPr>
            <w:tcW w:w="834" w:type="pct"/>
            <w:noWrap/>
            <w:vAlign w:val="center"/>
          </w:tcPr>
          <w:p w14:paraId="35CA2516">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bidi="ar"/>
              </w:rPr>
            </w:pPr>
            <w:r>
              <w:rPr>
                <w:rFonts w:hint="eastAsia" w:cs="Times New Roman"/>
                <w:color w:val="auto"/>
                <w:kern w:val="0"/>
                <w:sz w:val="21"/>
                <w:szCs w:val="21"/>
                <w:lang w:val="en-US" w:eastAsia="zh-CN" w:bidi="ar"/>
              </w:rPr>
              <w:t>73</w:t>
            </w:r>
          </w:p>
        </w:tc>
        <w:tc>
          <w:tcPr>
            <w:tcW w:w="834" w:type="pct"/>
            <w:noWrap/>
            <w:vAlign w:val="center"/>
          </w:tcPr>
          <w:p w14:paraId="76BFC5F6">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bidi="ar"/>
              </w:rPr>
            </w:pPr>
            <w:r>
              <w:rPr>
                <w:rFonts w:hint="eastAsia" w:cs="Times New Roman"/>
                <w:color w:val="auto"/>
                <w:kern w:val="0"/>
                <w:sz w:val="21"/>
                <w:szCs w:val="21"/>
                <w:lang w:val="en-US" w:eastAsia="zh-CN" w:bidi="ar"/>
              </w:rPr>
              <w:t>68</w:t>
            </w:r>
          </w:p>
        </w:tc>
        <w:tc>
          <w:tcPr>
            <w:tcW w:w="837" w:type="pct"/>
            <w:noWrap/>
            <w:vAlign w:val="center"/>
          </w:tcPr>
          <w:p w14:paraId="010E236F">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bidi="ar"/>
              </w:rPr>
            </w:pPr>
            <w:r>
              <w:rPr>
                <w:rFonts w:hint="eastAsia" w:cs="Times New Roman"/>
                <w:color w:val="auto"/>
                <w:kern w:val="0"/>
                <w:sz w:val="21"/>
                <w:szCs w:val="21"/>
                <w:lang w:val="en-US" w:eastAsia="zh-CN" w:bidi="ar"/>
              </w:rPr>
              <w:t>64</w:t>
            </w:r>
          </w:p>
        </w:tc>
      </w:tr>
      <w:tr w14:paraId="7C6BC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continue"/>
            <w:noWrap w:val="0"/>
            <w:vAlign w:val="center"/>
          </w:tcPr>
          <w:p w14:paraId="30B90A68">
            <w:pPr>
              <w:widowControl/>
              <w:spacing w:line="240" w:lineRule="auto"/>
              <w:ind w:firstLine="0" w:firstLineChars="0"/>
              <w:jc w:val="center"/>
              <w:rPr>
                <w:color w:val="auto"/>
                <w:sz w:val="21"/>
                <w:szCs w:val="21"/>
              </w:rPr>
            </w:pPr>
          </w:p>
        </w:tc>
        <w:tc>
          <w:tcPr>
            <w:tcW w:w="1021" w:type="pct"/>
            <w:noWrap w:val="0"/>
            <w:vAlign w:val="center"/>
          </w:tcPr>
          <w:p w14:paraId="5678E5B8">
            <w:pPr>
              <w:widowControl/>
              <w:spacing w:line="240" w:lineRule="auto"/>
              <w:ind w:firstLine="0" w:firstLineChars="0"/>
              <w:jc w:val="center"/>
              <w:textAlignment w:val="center"/>
              <w:rPr>
                <w:color w:val="auto"/>
                <w:sz w:val="21"/>
                <w:szCs w:val="21"/>
              </w:rPr>
            </w:pPr>
            <w:r>
              <w:rPr>
                <w:color w:val="auto"/>
                <w:kern w:val="0"/>
                <w:sz w:val="21"/>
                <w:szCs w:val="21"/>
                <w:lang w:bidi="ar"/>
              </w:rPr>
              <w:t>夜间</w:t>
            </w:r>
          </w:p>
        </w:tc>
        <w:tc>
          <w:tcPr>
            <w:tcW w:w="1421" w:type="dxa"/>
            <w:noWrap/>
            <w:vAlign w:val="center"/>
          </w:tcPr>
          <w:p w14:paraId="2F9C202E">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52</w:t>
            </w:r>
          </w:p>
        </w:tc>
        <w:tc>
          <w:tcPr>
            <w:tcW w:w="1421" w:type="dxa"/>
            <w:noWrap/>
            <w:vAlign w:val="center"/>
          </w:tcPr>
          <w:p w14:paraId="52C15991">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4</w:t>
            </w:r>
          </w:p>
        </w:tc>
        <w:tc>
          <w:tcPr>
            <w:tcW w:w="1421" w:type="dxa"/>
            <w:noWrap/>
            <w:vAlign w:val="center"/>
          </w:tcPr>
          <w:p w14:paraId="3DE3CF11">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52</w:t>
            </w:r>
          </w:p>
        </w:tc>
        <w:tc>
          <w:tcPr>
            <w:tcW w:w="1426" w:type="dxa"/>
            <w:noWrap/>
            <w:vAlign w:val="center"/>
          </w:tcPr>
          <w:p w14:paraId="5E799151">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51</w:t>
            </w:r>
          </w:p>
        </w:tc>
      </w:tr>
      <w:tr w14:paraId="57B265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restart"/>
            <w:noWrap w:val="0"/>
            <w:vAlign w:val="center"/>
          </w:tcPr>
          <w:p w14:paraId="3464D800">
            <w:pPr>
              <w:widowControl/>
              <w:spacing w:line="240" w:lineRule="auto"/>
              <w:ind w:firstLine="0" w:firstLineChars="0"/>
              <w:jc w:val="center"/>
              <w:textAlignment w:val="center"/>
              <w:rPr>
                <w:color w:val="auto"/>
                <w:sz w:val="21"/>
                <w:szCs w:val="21"/>
              </w:rPr>
            </w:pPr>
            <w:r>
              <w:rPr>
                <w:color w:val="auto"/>
                <w:kern w:val="0"/>
                <w:sz w:val="21"/>
                <w:szCs w:val="21"/>
                <w:lang w:bidi="ar"/>
              </w:rPr>
              <w:t>14#</w:t>
            </w:r>
          </w:p>
        </w:tc>
        <w:tc>
          <w:tcPr>
            <w:tcW w:w="1021" w:type="pct"/>
            <w:noWrap w:val="0"/>
            <w:vAlign w:val="center"/>
          </w:tcPr>
          <w:p w14:paraId="21E8E7FE">
            <w:pPr>
              <w:widowControl/>
              <w:spacing w:line="240" w:lineRule="auto"/>
              <w:ind w:firstLine="0" w:firstLineChars="0"/>
              <w:jc w:val="center"/>
              <w:textAlignment w:val="center"/>
              <w:rPr>
                <w:color w:val="auto"/>
                <w:sz w:val="21"/>
                <w:szCs w:val="21"/>
              </w:rPr>
            </w:pPr>
            <w:r>
              <w:rPr>
                <w:color w:val="auto"/>
                <w:kern w:val="0"/>
                <w:sz w:val="21"/>
                <w:szCs w:val="21"/>
                <w:lang w:bidi="ar"/>
              </w:rPr>
              <w:t>昼间</w:t>
            </w:r>
          </w:p>
        </w:tc>
        <w:tc>
          <w:tcPr>
            <w:tcW w:w="834" w:type="pct"/>
            <w:noWrap/>
            <w:vAlign w:val="center"/>
          </w:tcPr>
          <w:p w14:paraId="01462BAC">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64</w:t>
            </w:r>
          </w:p>
        </w:tc>
        <w:tc>
          <w:tcPr>
            <w:tcW w:w="834" w:type="pct"/>
            <w:noWrap/>
            <w:vAlign w:val="center"/>
          </w:tcPr>
          <w:p w14:paraId="4477DBF5">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w:t>
            </w:r>
            <w:r>
              <w:rPr>
                <w:rFonts w:hint="eastAsia" w:cs="Times New Roman"/>
                <w:color w:val="auto"/>
                <w:kern w:val="0"/>
                <w:sz w:val="21"/>
                <w:szCs w:val="21"/>
                <w:lang w:val="en-US" w:eastAsia="zh-CN" w:bidi="ar"/>
              </w:rPr>
              <w:t>6</w:t>
            </w:r>
          </w:p>
        </w:tc>
        <w:tc>
          <w:tcPr>
            <w:tcW w:w="834" w:type="pct"/>
            <w:noWrap/>
            <w:vAlign w:val="center"/>
          </w:tcPr>
          <w:p w14:paraId="265B7BCF">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w:t>
            </w:r>
            <w:r>
              <w:rPr>
                <w:rFonts w:hint="eastAsia" w:cs="Times New Roman"/>
                <w:color w:val="auto"/>
                <w:kern w:val="0"/>
                <w:sz w:val="21"/>
                <w:szCs w:val="21"/>
                <w:lang w:val="en-US" w:eastAsia="zh-CN" w:bidi="ar"/>
              </w:rPr>
              <w:t>2</w:t>
            </w:r>
          </w:p>
        </w:tc>
        <w:tc>
          <w:tcPr>
            <w:tcW w:w="837" w:type="pct"/>
            <w:noWrap/>
            <w:vAlign w:val="center"/>
          </w:tcPr>
          <w:p w14:paraId="25035799">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59</w:t>
            </w:r>
          </w:p>
        </w:tc>
      </w:tr>
      <w:tr w14:paraId="1E093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continue"/>
            <w:noWrap w:val="0"/>
            <w:vAlign w:val="center"/>
          </w:tcPr>
          <w:p w14:paraId="114AC13D">
            <w:pPr>
              <w:widowControl/>
              <w:spacing w:line="240" w:lineRule="auto"/>
              <w:ind w:firstLine="0" w:firstLineChars="0"/>
              <w:jc w:val="center"/>
              <w:rPr>
                <w:color w:val="auto"/>
                <w:sz w:val="21"/>
                <w:szCs w:val="21"/>
              </w:rPr>
            </w:pPr>
          </w:p>
        </w:tc>
        <w:tc>
          <w:tcPr>
            <w:tcW w:w="1021" w:type="pct"/>
            <w:noWrap w:val="0"/>
            <w:vAlign w:val="center"/>
          </w:tcPr>
          <w:p w14:paraId="1A2A4BAD">
            <w:pPr>
              <w:widowControl/>
              <w:spacing w:line="240" w:lineRule="auto"/>
              <w:ind w:firstLine="0" w:firstLineChars="0"/>
              <w:jc w:val="center"/>
              <w:textAlignment w:val="center"/>
              <w:rPr>
                <w:color w:val="auto"/>
                <w:sz w:val="21"/>
                <w:szCs w:val="21"/>
              </w:rPr>
            </w:pPr>
            <w:r>
              <w:rPr>
                <w:color w:val="auto"/>
                <w:kern w:val="0"/>
                <w:sz w:val="21"/>
                <w:szCs w:val="21"/>
                <w:lang w:bidi="ar"/>
              </w:rPr>
              <w:t>夜间</w:t>
            </w:r>
          </w:p>
        </w:tc>
        <w:tc>
          <w:tcPr>
            <w:tcW w:w="1421" w:type="dxa"/>
            <w:noWrap/>
            <w:vAlign w:val="center"/>
          </w:tcPr>
          <w:p w14:paraId="45357D24">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51</w:t>
            </w:r>
          </w:p>
        </w:tc>
        <w:tc>
          <w:tcPr>
            <w:tcW w:w="1421" w:type="dxa"/>
            <w:noWrap/>
            <w:vAlign w:val="center"/>
          </w:tcPr>
          <w:p w14:paraId="5FA132EB">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6</w:t>
            </w:r>
          </w:p>
        </w:tc>
        <w:tc>
          <w:tcPr>
            <w:tcW w:w="1421" w:type="dxa"/>
            <w:noWrap/>
            <w:vAlign w:val="center"/>
          </w:tcPr>
          <w:p w14:paraId="48035920">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51</w:t>
            </w:r>
          </w:p>
        </w:tc>
        <w:tc>
          <w:tcPr>
            <w:tcW w:w="1426" w:type="dxa"/>
            <w:noWrap/>
            <w:vAlign w:val="center"/>
          </w:tcPr>
          <w:p w14:paraId="502D3344">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47</w:t>
            </w:r>
          </w:p>
        </w:tc>
      </w:tr>
      <w:tr w14:paraId="17E15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restart"/>
            <w:noWrap w:val="0"/>
            <w:vAlign w:val="center"/>
          </w:tcPr>
          <w:p w14:paraId="28A44A5E">
            <w:pPr>
              <w:widowControl/>
              <w:spacing w:line="240" w:lineRule="auto"/>
              <w:ind w:firstLine="0" w:firstLineChars="0"/>
              <w:jc w:val="center"/>
              <w:textAlignment w:val="center"/>
              <w:rPr>
                <w:color w:val="auto"/>
                <w:sz w:val="21"/>
                <w:szCs w:val="21"/>
              </w:rPr>
            </w:pPr>
            <w:r>
              <w:rPr>
                <w:color w:val="auto"/>
                <w:kern w:val="0"/>
                <w:sz w:val="21"/>
                <w:szCs w:val="21"/>
                <w:lang w:bidi="ar"/>
              </w:rPr>
              <w:t>15#</w:t>
            </w:r>
          </w:p>
        </w:tc>
        <w:tc>
          <w:tcPr>
            <w:tcW w:w="1021" w:type="pct"/>
            <w:noWrap w:val="0"/>
            <w:vAlign w:val="center"/>
          </w:tcPr>
          <w:p w14:paraId="5580F95F">
            <w:pPr>
              <w:widowControl/>
              <w:spacing w:line="240" w:lineRule="auto"/>
              <w:ind w:firstLine="0" w:firstLineChars="0"/>
              <w:jc w:val="center"/>
              <w:textAlignment w:val="center"/>
              <w:rPr>
                <w:color w:val="auto"/>
                <w:sz w:val="21"/>
                <w:szCs w:val="21"/>
              </w:rPr>
            </w:pPr>
            <w:r>
              <w:rPr>
                <w:color w:val="auto"/>
                <w:kern w:val="0"/>
                <w:sz w:val="21"/>
                <w:szCs w:val="21"/>
                <w:lang w:bidi="ar"/>
              </w:rPr>
              <w:t>昼间</w:t>
            </w:r>
          </w:p>
        </w:tc>
        <w:tc>
          <w:tcPr>
            <w:tcW w:w="834" w:type="pct"/>
            <w:noWrap/>
            <w:vAlign w:val="center"/>
          </w:tcPr>
          <w:p w14:paraId="7C9DC8A6">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63</w:t>
            </w:r>
          </w:p>
        </w:tc>
        <w:tc>
          <w:tcPr>
            <w:tcW w:w="834" w:type="pct"/>
            <w:noWrap/>
            <w:vAlign w:val="center"/>
          </w:tcPr>
          <w:p w14:paraId="37A40479">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66</w:t>
            </w:r>
          </w:p>
        </w:tc>
        <w:tc>
          <w:tcPr>
            <w:tcW w:w="834" w:type="pct"/>
            <w:noWrap/>
            <w:vAlign w:val="center"/>
          </w:tcPr>
          <w:p w14:paraId="62F008EB">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bidi="ar"/>
              </w:rPr>
            </w:pPr>
            <w:r>
              <w:rPr>
                <w:rFonts w:hint="eastAsia" w:cs="Times New Roman"/>
                <w:color w:val="auto"/>
                <w:kern w:val="0"/>
                <w:sz w:val="21"/>
                <w:szCs w:val="21"/>
                <w:lang w:val="en-US" w:eastAsia="zh-CN" w:bidi="ar"/>
              </w:rPr>
              <w:t>60</w:t>
            </w:r>
          </w:p>
        </w:tc>
        <w:tc>
          <w:tcPr>
            <w:tcW w:w="837" w:type="pct"/>
            <w:noWrap/>
            <w:vAlign w:val="center"/>
          </w:tcPr>
          <w:p w14:paraId="680D5068">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58</w:t>
            </w:r>
          </w:p>
        </w:tc>
      </w:tr>
      <w:tr w14:paraId="7EB57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636" w:type="pct"/>
            <w:vMerge w:val="continue"/>
            <w:noWrap w:val="0"/>
            <w:vAlign w:val="center"/>
          </w:tcPr>
          <w:p w14:paraId="5B90AFB4">
            <w:pPr>
              <w:widowControl/>
              <w:spacing w:line="240" w:lineRule="auto"/>
              <w:ind w:firstLine="0" w:firstLineChars="0"/>
              <w:jc w:val="center"/>
              <w:rPr>
                <w:color w:val="auto"/>
                <w:sz w:val="21"/>
                <w:szCs w:val="21"/>
              </w:rPr>
            </w:pPr>
          </w:p>
        </w:tc>
        <w:tc>
          <w:tcPr>
            <w:tcW w:w="1021" w:type="pct"/>
            <w:noWrap w:val="0"/>
            <w:vAlign w:val="center"/>
          </w:tcPr>
          <w:p w14:paraId="451112B4">
            <w:pPr>
              <w:widowControl/>
              <w:spacing w:line="240" w:lineRule="auto"/>
              <w:ind w:firstLine="0" w:firstLineChars="0"/>
              <w:jc w:val="center"/>
              <w:textAlignment w:val="center"/>
              <w:rPr>
                <w:color w:val="auto"/>
                <w:sz w:val="21"/>
                <w:szCs w:val="21"/>
              </w:rPr>
            </w:pPr>
            <w:r>
              <w:rPr>
                <w:color w:val="auto"/>
                <w:kern w:val="0"/>
                <w:sz w:val="21"/>
                <w:szCs w:val="21"/>
                <w:lang w:bidi="ar"/>
              </w:rPr>
              <w:t>夜间</w:t>
            </w:r>
          </w:p>
        </w:tc>
        <w:tc>
          <w:tcPr>
            <w:tcW w:w="1421" w:type="dxa"/>
            <w:noWrap/>
            <w:vAlign w:val="center"/>
          </w:tcPr>
          <w:p w14:paraId="09F07F8C">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3</w:t>
            </w:r>
          </w:p>
        </w:tc>
        <w:tc>
          <w:tcPr>
            <w:tcW w:w="1421" w:type="dxa"/>
            <w:noWrap/>
            <w:vAlign w:val="center"/>
          </w:tcPr>
          <w:p w14:paraId="5578E551">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w:t>
            </w:r>
            <w:r>
              <w:rPr>
                <w:rFonts w:hint="eastAsia" w:cs="Times New Roman"/>
                <w:color w:val="auto"/>
                <w:kern w:val="0"/>
                <w:sz w:val="21"/>
                <w:szCs w:val="21"/>
                <w:lang w:val="en-US" w:eastAsia="zh-CN" w:bidi="ar"/>
              </w:rPr>
              <w:t>6</w:t>
            </w:r>
          </w:p>
        </w:tc>
        <w:tc>
          <w:tcPr>
            <w:tcW w:w="1421" w:type="dxa"/>
            <w:noWrap/>
            <w:vAlign w:val="center"/>
          </w:tcPr>
          <w:p w14:paraId="49D078AE">
            <w:pPr>
              <w:widowControl/>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52</w:t>
            </w:r>
          </w:p>
        </w:tc>
        <w:tc>
          <w:tcPr>
            <w:tcW w:w="1426" w:type="dxa"/>
            <w:noWrap/>
            <w:vAlign w:val="center"/>
          </w:tcPr>
          <w:p w14:paraId="4EE9F817">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bidi="ar"/>
              </w:rPr>
            </w:pPr>
            <w:r>
              <w:rPr>
                <w:rFonts w:hint="eastAsia" w:cs="Times New Roman"/>
                <w:color w:val="auto"/>
                <w:kern w:val="0"/>
                <w:sz w:val="21"/>
                <w:szCs w:val="21"/>
                <w:lang w:val="en-US" w:eastAsia="zh-CN" w:bidi="ar"/>
              </w:rPr>
              <w:t>50</w:t>
            </w:r>
          </w:p>
        </w:tc>
      </w:tr>
    </w:tbl>
    <w:p w14:paraId="6836F71C">
      <w:pPr>
        <w:ind w:firstLine="471"/>
        <w:rPr>
          <w:rFonts w:hint="eastAsia"/>
          <w:color w:val="auto"/>
        </w:rPr>
      </w:pPr>
      <w:r>
        <w:rPr>
          <w:rFonts w:hint="eastAsia"/>
          <w:color w:val="auto"/>
        </w:rPr>
        <w:t>②道路交通噪声现状评价</w:t>
      </w:r>
    </w:p>
    <w:p w14:paraId="32E34DAF">
      <w:pPr>
        <w:ind w:firstLine="471"/>
        <w:rPr>
          <w:rFonts w:hint="eastAsia"/>
          <w:color w:val="auto"/>
          <w:highlight w:val="green"/>
        </w:rPr>
      </w:pPr>
      <w:r>
        <w:rPr>
          <w:rFonts w:hint="eastAsia"/>
          <w:color w:val="auto"/>
        </w:rPr>
        <w:t>由表3-3的监测结</w:t>
      </w:r>
      <w:r>
        <w:rPr>
          <w:rFonts w:hint="eastAsia"/>
          <w:color w:val="auto"/>
          <w:highlight w:val="none"/>
        </w:rPr>
        <w:t>果可知，</w:t>
      </w:r>
      <w:r>
        <w:rPr>
          <w:rFonts w:hint="eastAsia"/>
          <w:color w:val="auto"/>
          <w:highlight w:val="none"/>
          <w:lang w:eastAsia="zh-CN"/>
        </w:rPr>
        <w:t>绥滨县中心城区</w:t>
      </w:r>
      <w:r>
        <w:rPr>
          <w:rFonts w:hint="eastAsia"/>
          <w:color w:val="auto"/>
          <w:highlight w:val="none"/>
        </w:rPr>
        <w:t>道路交通噪声昼间、夜间无超标情况，声环境较好。</w:t>
      </w:r>
    </w:p>
    <w:p w14:paraId="6DDA0BB6">
      <w:pPr>
        <w:ind w:firstLine="471"/>
        <w:rPr>
          <w:rFonts w:hint="eastAsia"/>
          <w:color w:val="auto"/>
        </w:rPr>
      </w:pPr>
      <w:r>
        <w:rPr>
          <w:rFonts w:hint="eastAsia"/>
          <w:color w:val="auto"/>
        </w:rPr>
        <w:t>将道路交通噪声监测的等效声级采用路段长度加权算术平均法，按下述公式计算城市道路交通噪声昼间平均值L</w:t>
      </w:r>
      <w:r>
        <w:rPr>
          <w:rFonts w:hint="eastAsia"/>
          <w:color w:val="auto"/>
          <w:vertAlign w:val="subscript"/>
        </w:rPr>
        <w:t>d</w:t>
      </w:r>
      <w:r>
        <w:rPr>
          <w:rFonts w:hint="eastAsia"/>
          <w:color w:val="auto"/>
        </w:rPr>
        <w:t>和夜间平均值L</w:t>
      </w:r>
      <w:r>
        <w:rPr>
          <w:rFonts w:hint="eastAsia"/>
          <w:color w:val="auto"/>
          <w:vertAlign w:val="subscript"/>
        </w:rPr>
        <w:t>n</w:t>
      </w:r>
      <w:r>
        <w:rPr>
          <w:rFonts w:hint="eastAsia"/>
          <w:color w:val="auto"/>
        </w:rPr>
        <w:t>，分别代表</w:t>
      </w:r>
      <w:r>
        <w:rPr>
          <w:rFonts w:hint="eastAsia"/>
          <w:color w:val="auto"/>
          <w:lang w:eastAsia="zh-CN"/>
        </w:rPr>
        <w:t>绥滨县中心城区</w:t>
      </w:r>
      <w:r>
        <w:rPr>
          <w:rFonts w:hint="eastAsia"/>
          <w:color w:val="auto"/>
        </w:rPr>
        <w:t>交通噪声昼间和夜间的总体水平。并按表3-4判断</w:t>
      </w:r>
      <w:r>
        <w:rPr>
          <w:rFonts w:hint="eastAsia"/>
          <w:color w:val="auto"/>
          <w:lang w:eastAsia="zh-CN"/>
        </w:rPr>
        <w:t>绥滨县中心城区</w:t>
      </w:r>
      <w:r>
        <w:rPr>
          <w:rFonts w:hint="eastAsia"/>
          <w:color w:val="auto"/>
          <w:lang w:val="en-US" w:eastAsia="zh-CN"/>
        </w:rPr>
        <w:t>道路交通</w:t>
      </w:r>
      <w:r>
        <w:rPr>
          <w:rFonts w:hint="eastAsia"/>
          <w:color w:val="auto"/>
        </w:rPr>
        <w:t>昼间和夜间的声环境质量的等级。</w:t>
      </w:r>
    </w:p>
    <w:p w14:paraId="5AADC283">
      <w:pPr>
        <w:pStyle w:val="31"/>
        <w:rPr>
          <w:color w:val="auto"/>
        </w:rPr>
      </w:pPr>
      <w:r>
        <w:rPr>
          <w:color w:val="auto"/>
        </w:rPr>
        <w:drawing>
          <wp:inline distT="0" distB="0" distL="114300" distR="114300">
            <wp:extent cx="1687195" cy="589280"/>
            <wp:effectExtent l="0" t="0" r="4445" b="5080"/>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25"/>
                    <a:srcRect t="13437" b="10994"/>
                    <a:stretch>
                      <a:fillRect/>
                    </a:stretch>
                  </pic:blipFill>
                  <pic:spPr>
                    <a:xfrm>
                      <a:off x="0" y="0"/>
                      <a:ext cx="1687195" cy="589280"/>
                    </a:xfrm>
                    <a:prstGeom prst="rect">
                      <a:avLst/>
                    </a:prstGeom>
                    <a:noFill/>
                    <a:ln>
                      <a:noFill/>
                    </a:ln>
                  </pic:spPr>
                </pic:pic>
              </a:graphicData>
            </a:graphic>
          </wp:inline>
        </w:drawing>
      </w:r>
    </w:p>
    <w:p w14:paraId="699248C1">
      <w:pPr>
        <w:pStyle w:val="31"/>
        <w:rPr>
          <w:color w:val="auto"/>
        </w:rPr>
      </w:pPr>
      <w:r>
        <w:rPr>
          <w:rFonts w:hint="eastAsia"/>
          <w:color w:val="auto"/>
        </w:rPr>
        <w:t>表3-</w:t>
      </w:r>
      <w:r>
        <w:rPr>
          <w:rFonts w:hint="eastAsia"/>
          <w:color w:val="auto"/>
          <w:lang w:val="en-US" w:eastAsia="zh-CN"/>
        </w:rPr>
        <w:t xml:space="preserve">4  </w:t>
      </w:r>
      <w:r>
        <w:rPr>
          <w:rFonts w:hint="eastAsia"/>
          <w:color w:val="auto"/>
        </w:rPr>
        <w:t>道路交通噪声强度等级划分</w:t>
      </w:r>
      <w:r>
        <w:rPr>
          <w:rFonts w:hint="eastAsia"/>
          <w:color w:val="auto"/>
          <w:lang w:val="en-US" w:eastAsia="zh-CN"/>
        </w:rPr>
        <w:t xml:space="preserve">  </w:t>
      </w:r>
      <w:r>
        <w:rPr>
          <w:rFonts w:hint="eastAsia"/>
          <w:color w:val="auto"/>
        </w:rPr>
        <w:t>单位：dB（A）</w:t>
      </w:r>
    </w:p>
    <w:tbl>
      <w:tblPr>
        <w:tblStyle w:val="19"/>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410"/>
        <w:gridCol w:w="1179"/>
        <w:gridCol w:w="1179"/>
        <w:gridCol w:w="1179"/>
        <w:gridCol w:w="1179"/>
        <w:gridCol w:w="1179"/>
      </w:tblGrid>
      <w:tr w14:paraId="65182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450" w:type="pct"/>
            <w:noWrap w:val="0"/>
            <w:vAlign w:val="center"/>
          </w:tcPr>
          <w:p w14:paraId="655B02A7">
            <w:pPr>
              <w:pStyle w:val="30"/>
              <w:rPr>
                <w:rFonts w:hint="eastAsia" w:ascii="宋体" w:hAnsi="宋体" w:eastAsia="宋体" w:cs="宋体"/>
                <w:color w:val="auto"/>
              </w:rPr>
            </w:pPr>
            <w:r>
              <w:rPr>
                <w:rFonts w:hint="eastAsia" w:ascii="宋体" w:hAnsi="宋体" w:eastAsia="宋体" w:cs="宋体"/>
                <w:color w:val="auto"/>
              </w:rPr>
              <w:t>等级</w:t>
            </w:r>
          </w:p>
        </w:tc>
        <w:tc>
          <w:tcPr>
            <w:tcW w:w="709" w:type="pct"/>
            <w:noWrap w:val="0"/>
            <w:vAlign w:val="center"/>
          </w:tcPr>
          <w:p w14:paraId="37D689D9">
            <w:pPr>
              <w:pStyle w:val="30"/>
              <w:rPr>
                <w:rFonts w:hint="eastAsia" w:ascii="宋体" w:hAnsi="宋体" w:eastAsia="宋体" w:cs="宋体"/>
                <w:color w:val="auto"/>
              </w:rPr>
            </w:pPr>
            <w:r>
              <w:rPr>
                <w:rFonts w:hint="eastAsia" w:ascii="宋体" w:hAnsi="宋体" w:eastAsia="宋体" w:cs="宋体"/>
                <w:color w:val="auto"/>
              </w:rPr>
              <w:t>一级</w:t>
            </w:r>
          </w:p>
        </w:tc>
        <w:tc>
          <w:tcPr>
            <w:tcW w:w="709" w:type="pct"/>
            <w:noWrap w:val="0"/>
            <w:vAlign w:val="center"/>
          </w:tcPr>
          <w:p w14:paraId="0BD128F2">
            <w:pPr>
              <w:pStyle w:val="30"/>
              <w:rPr>
                <w:rFonts w:hint="eastAsia" w:ascii="宋体" w:hAnsi="宋体" w:eastAsia="宋体" w:cs="宋体"/>
                <w:color w:val="auto"/>
              </w:rPr>
            </w:pPr>
            <w:r>
              <w:rPr>
                <w:rFonts w:hint="eastAsia" w:ascii="宋体" w:hAnsi="宋体" w:eastAsia="宋体" w:cs="宋体"/>
                <w:color w:val="auto"/>
              </w:rPr>
              <w:t>二级</w:t>
            </w:r>
          </w:p>
        </w:tc>
        <w:tc>
          <w:tcPr>
            <w:tcW w:w="709" w:type="pct"/>
            <w:noWrap w:val="0"/>
            <w:vAlign w:val="center"/>
          </w:tcPr>
          <w:p w14:paraId="2DCDECE0">
            <w:pPr>
              <w:pStyle w:val="30"/>
              <w:rPr>
                <w:rFonts w:hint="eastAsia" w:ascii="宋体" w:hAnsi="宋体" w:eastAsia="宋体" w:cs="宋体"/>
                <w:color w:val="auto"/>
              </w:rPr>
            </w:pPr>
            <w:r>
              <w:rPr>
                <w:rFonts w:hint="eastAsia" w:ascii="宋体" w:hAnsi="宋体" w:eastAsia="宋体" w:cs="宋体"/>
                <w:color w:val="auto"/>
              </w:rPr>
              <w:t>三级</w:t>
            </w:r>
          </w:p>
        </w:tc>
        <w:tc>
          <w:tcPr>
            <w:tcW w:w="709" w:type="pct"/>
            <w:noWrap w:val="0"/>
            <w:vAlign w:val="center"/>
          </w:tcPr>
          <w:p w14:paraId="18D26DC8">
            <w:pPr>
              <w:pStyle w:val="30"/>
              <w:rPr>
                <w:rFonts w:hint="eastAsia" w:ascii="宋体" w:hAnsi="宋体" w:eastAsia="宋体" w:cs="宋体"/>
                <w:color w:val="auto"/>
              </w:rPr>
            </w:pPr>
            <w:r>
              <w:rPr>
                <w:rFonts w:hint="eastAsia" w:ascii="宋体" w:hAnsi="宋体" w:eastAsia="宋体" w:cs="宋体"/>
                <w:color w:val="auto"/>
              </w:rPr>
              <w:t>四级</w:t>
            </w:r>
          </w:p>
        </w:tc>
        <w:tc>
          <w:tcPr>
            <w:tcW w:w="709" w:type="pct"/>
            <w:noWrap w:val="0"/>
            <w:vAlign w:val="center"/>
          </w:tcPr>
          <w:p w14:paraId="19FD7DAF">
            <w:pPr>
              <w:pStyle w:val="30"/>
              <w:rPr>
                <w:rFonts w:hint="eastAsia" w:ascii="宋体" w:hAnsi="宋体" w:eastAsia="宋体" w:cs="宋体"/>
                <w:color w:val="auto"/>
              </w:rPr>
            </w:pPr>
            <w:r>
              <w:rPr>
                <w:rFonts w:hint="eastAsia" w:ascii="宋体" w:hAnsi="宋体" w:eastAsia="宋体" w:cs="宋体"/>
                <w:color w:val="auto"/>
              </w:rPr>
              <w:t>五级</w:t>
            </w:r>
          </w:p>
        </w:tc>
      </w:tr>
      <w:tr w14:paraId="3483A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450" w:type="pct"/>
            <w:noWrap w:val="0"/>
            <w:vAlign w:val="center"/>
          </w:tcPr>
          <w:p w14:paraId="09E6500E">
            <w:pPr>
              <w:spacing w:line="240" w:lineRule="auto"/>
              <w:ind w:firstLine="0" w:firstLineChars="0"/>
              <w:jc w:val="center"/>
              <w:rPr>
                <w:rFonts w:ascii="宋体" w:hAnsi="宋体" w:cs="宋体"/>
                <w:color w:val="auto"/>
                <w:kern w:val="21"/>
                <w:sz w:val="21"/>
                <w:szCs w:val="21"/>
              </w:rPr>
            </w:pPr>
            <w:r>
              <w:rPr>
                <w:rFonts w:ascii="宋体" w:hAnsi="宋体" w:cs="宋体"/>
                <w:color w:val="auto"/>
                <w:kern w:val="21"/>
                <w:sz w:val="21"/>
                <w:szCs w:val="21"/>
              </w:rPr>
              <w:t>昼间平均等效声级（</w:t>
            </w:r>
            <w:r>
              <w:rPr>
                <w:rFonts w:eastAsia="Times New Roman"/>
                <w:i/>
                <w:iCs/>
                <w:color w:val="auto"/>
                <w:kern w:val="21"/>
                <w:sz w:val="23"/>
                <w:szCs w:val="23"/>
              </w:rPr>
              <w:t>S</w:t>
            </w:r>
            <w:r>
              <w:rPr>
                <w:rFonts w:eastAsia="Times New Roman"/>
                <w:i/>
                <w:iCs/>
                <w:color w:val="auto"/>
                <w:kern w:val="21"/>
                <w:sz w:val="14"/>
                <w:szCs w:val="14"/>
              </w:rPr>
              <w:t>d</w:t>
            </w:r>
            <w:r>
              <w:rPr>
                <w:rFonts w:ascii="宋体" w:hAnsi="宋体" w:cs="宋体"/>
                <w:color w:val="auto"/>
                <w:kern w:val="21"/>
                <w:sz w:val="21"/>
                <w:szCs w:val="21"/>
              </w:rPr>
              <w:t>）</w:t>
            </w:r>
          </w:p>
        </w:tc>
        <w:tc>
          <w:tcPr>
            <w:tcW w:w="709" w:type="pct"/>
            <w:noWrap w:val="0"/>
            <w:vAlign w:val="center"/>
          </w:tcPr>
          <w:p w14:paraId="029A3B9E">
            <w:pPr>
              <w:spacing w:line="240" w:lineRule="auto"/>
              <w:ind w:firstLine="0" w:firstLineChars="0"/>
              <w:jc w:val="center"/>
              <w:rPr>
                <w:rFonts w:eastAsia="Times New Roman"/>
                <w:color w:val="auto"/>
                <w:kern w:val="21"/>
                <w:sz w:val="21"/>
                <w:szCs w:val="21"/>
              </w:rPr>
            </w:pPr>
            <w:r>
              <w:rPr>
                <w:rFonts w:hint="eastAsia" w:ascii="宋体" w:hAnsi="宋体" w:cs="宋体"/>
                <w:color w:val="auto"/>
                <w:kern w:val="21"/>
                <w:sz w:val="21"/>
                <w:szCs w:val="21"/>
              </w:rPr>
              <w:t>≤</w:t>
            </w:r>
            <w:r>
              <w:rPr>
                <w:rFonts w:eastAsia="Times New Roman"/>
                <w:color w:val="auto"/>
                <w:kern w:val="21"/>
                <w:sz w:val="21"/>
                <w:szCs w:val="21"/>
              </w:rPr>
              <w:t>68.0</w:t>
            </w:r>
          </w:p>
        </w:tc>
        <w:tc>
          <w:tcPr>
            <w:tcW w:w="709" w:type="pct"/>
            <w:noWrap w:val="0"/>
            <w:vAlign w:val="center"/>
          </w:tcPr>
          <w:p w14:paraId="26FED8B6">
            <w:pPr>
              <w:spacing w:line="240" w:lineRule="auto"/>
              <w:ind w:firstLine="0" w:firstLineChars="0"/>
              <w:jc w:val="center"/>
              <w:rPr>
                <w:rFonts w:eastAsia="Times New Roman"/>
                <w:color w:val="auto"/>
                <w:kern w:val="21"/>
                <w:sz w:val="21"/>
                <w:szCs w:val="21"/>
              </w:rPr>
            </w:pPr>
            <w:r>
              <w:rPr>
                <w:rFonts w:eastAsia="Times New Roman"/>
                <w:color w:val="auto"/>
                <w:kern w:val="21"/>
                <w:sz w:val="21"/>
                <w:szCs w:val="21"/>
              </w:rPr>
              <w:t>68.1</w:t>
            </w:r>
            <w:r>
              <w:rPr>
                <w:rFonts w:hint="eastAsia" w:ascii="宋体" w:hAnsi="宋体" w:cs="宋体"/>
                <w:color w:val="auto"/>
                <w:kern w:val="21"/>
                <w:sz w:val="21"/>
                <w:szCs w:val="21"/>
              </w:rPr>
              <w:t>～</w:t>
            </w:r>
            <w:r>
              <w:rPr>
                <w:rFonts w:eastAsia="Times New Roman"/>
                <w:color w:val="auto"/>
                <w:kern w:val="21"/>
                <w:sz w:val="21"/>
                <w:szCs w:val="21"/>
              </w:rPr>
              <w:t>70.0</w:t>
            </w:r>
          </w:p>
        </w:tc>
        <w:tc>
          <w:tcPr>
            <w:tcW w:w="709" w:type="pct"/>
            <w:noWrap w:val="0"/>
            <w:vAlign w:val="center"/>
          </w:tcPr>
          <w:p w14:paraId="6EC88FEB">
            <w:pPr>
              <w:spacing w:line="240" w:lineRule="auto"/>
              <w:ind w:firstLine="0" w:firstLineChars="0"/>
              <w:jc w:val="center"/>
              <w:rPr>
                <w:rFonts w:eastAsia="Times New Roman"/>
                <w:color w:val="auto"/>
                <w:kern w:val="21"/>
                <w:sz w:val="21"/>
                <w:szCs w:val="21"/>
              </w:rPr>
            </w:pPr>
            <w:r>
              <w:rPr>
                <w:rFonts w:eastAsia="Times New Roman"/>
                <w:color w:val="auto"/>
                <w:kern w:val="21"/>
                <w:sz w:val="21"/>
                <w:szCs w:val="21"/>
              </w:rPr>
              <w:t>70.1</w:t>
            </w:r>
            <w:r>
              <w:rPr>
                <w:rFonts w:hint="eastAsia" w:ascii="宋体" w:hAnsi="宋体" w:cs="宋体"/>
                <w:color w:val="auto"/>
                <w:kern w:val="21"/>
                <w:sz w:val="21"/>
                <w:szCs w:val="21"/>
              </w:rPr>
              <w:t>～</w:t>
            </w:r>
            <w:r>
              <w:rPr>
                <w:rFonts w:eastAsia="Times New Roman"/>
                <w:color w:val="auto"/>
                <w:kern w:val="21"/>
                <w:sz w:val="21"/>
                <w:szCs w:val="21"/>
              </w:rPr>
              <w:t>62.0</w:t>
            </w:r>
          </w:p>
        </w:tc>
        <w:tc>
          <w:tcPr>
            <w:tcW w:w="709" w:type="pct"/>
            <w:noWrap w:val="0"/>
            <w:vAlign w:val="center"/>
          </w:tcPr>
          <w:p w14:paraId="14F8ACF4">
            <w:pPr>
              <w:spacing w:line="240" w:lineRule="auto"/>
              <w:ind w:firstLine="0" w:firstLineChars="0"/>
              <w:jc w:val="center"/>
              <w:rPr>
                <w:rFonts w:eastAsia="Times New Roman"/>
                <w:color w:val="auto"/>
                <w:kern w:val="21"/>
                <w:sz w:val="21"/>
                <w:szCs w:val="21"/>
              </w:rPr>
            </w:pPr>
            <w:r>
              <w:rPr>
                <w:rFonts w:eastAsia="Times New Roman"/>
                <w:color w:val="auto"/>
                <w:kern w:val="21"/>
                <w:sz w:val="21"/>
                <w:szCs w:val="21"/>
              </w:rPr>
              <w:t>72.1</w:t>
            </w:r>
            <w:r>
              <w:rPr>
                <w:rFonts w:hint="eastAsia" w:ascii="宋体" w:hAnsi="宋体" w:cs="宋体"/>
                <w:color w:val="auto"/>
                <w:kern w:val="21"/>
                <w:sz w:val="21"/>
                <w:szCs w:val="21"/>
              </w:rPr>
              <w:t>～</w:t>
            </w:r>
            <w:r>
              <w:rPr>
                <w:rFonts w:eastAsia="Times New Roman"/>
                <w:color w:val="auto"/>
                <w:kern w:val="21"/>
                <w:sz w:val="21"/>
                <w:szCs w:val="21"/>
              </w:rPr>
              <w:t>74.0</w:t>
            </w:r>
          </w:p>
        </w:tc>
        <w:tc>
          <w:tcPr>
            <w:tcW w:w="709" w:type="pct"/>
            <w:noWrap w:val="0"/>
            <w:vAlign w:val="center"/>
          </w:tcPr>
          <w:p w14:paraId="3409FB5E">
            <w:pPr>
              <w:spacing w:line="240" w:lineRule="auto"/>
              <w:ind w:firstLine="0" w:firstLineChars="0"/>
              <w:jc w:val="center"/>
              <w:rPr>
                <w:rFonts w:eastAsia="Times New Roman"/>
                <w:color w:val="auto"/>
                <w:kern w:val="21"/>
                <w:sz w:val="21"/>
                <w:szCs w:val="21"/>
              </w:rPr>
            </w:pPr>
            <w:r>
              <w:rPr>
                <w:rFonts w:ascii="宋体" w:hAnsi="宋体" w:cs="宋体"/>
                <w:color w:val="auto"/>
                <w:kern w:val="21"/>
                <w:sz w:val="21"/>
                <w:szCs w:val="21"/>
              </w:rPr>
              <w:t>＞</w:t>
            </w:r>
            <w:r>
              <w:rPr>
                <w:rFonts w:eastAsia="Times New Roman"/>
                <w:color w:val="auto"/>
                <w:kern w:val="21"/>
                <w:sz w:val="21"/>
                <w:szCs w:val="21"/>
              </w:rPr>
              <w:t>74.0</w:t>
            </w:r>
          </w:p>
        </w:tc>
      </w:tr>
      <w:tr w14:paraId="1AF1E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450" w:type="pct"/>
            <w:noWrap w:val="0"/>
            <w:vAlign w:val="center"/>
          </w:tcPr>
          <w:p w14:paraId="3CAFE099">
            <w:pPr>
              <w:spacing w:line="240" w:lineRule="auto"/>
              <w:ind w:firstLine="0" w:firstLineChars="0"/>
              <w:jc w:val="center"/>
              <w:rPr>
                <w:rFonts w:ascii="宋体" w:hAnsi="宋体" w:cs="宋体"/>
                <w:color w:val="auto"/>
                <w:kern w:val="21"/>
                <w:sz w:val="21"/>
                <w:szCs w:val="21"/>
              </w:rPr>
            </w:pPr>
            <w:r>
              <w:rPr>
                <w:rFonts w:ascii="宋体" w:hAnsi="宋体" w:cs="宋体"/>
                <w:color w:val="auto"/>
                <w:kern w:val="21"/>
                <w:sz w:val="21"/>
                <w:szCs w:val="21"/>
              </w:rPr>
              <w:t>夜间平均等效声级（</w:t>
            </w:r>
            <w:r>
              <w:rPr>
                <w:rFonts w:eastAsia="Times New Roman"/>
                <w:i/>
                <w:iCs/>
                <w:color w:val="auto"/>
                <w:kern w:val="21"/>
                <w:sz w:val="23"/>
                <w:szCs w:val="23"/>
              </w:rPr>
              <w:t>S</w:t>
            </w:r>
            <w:r>
              <w:rPr>
                <w:rFonts w:eastAsia="Times New Roman"/>
                <w:i/>
                <w:iCs/>
                <w:color w:val="auto"/>
                <w:kern w:val="21"/>
                <w:sz w:val="14"/>
                <w:szCs w:val="14"/>
              </w:rPr>
              <w:t>n</w:t>
            </w:r>
            <w:r>
              <w:rPr>
                <w:rFonts w:ascii="宋体" w:hAnsi="宋体" w:cs="宋体"/>
                <w:color w:val="auto"/>
                <w:kern w:val="21"/>
                <w:sz w:val="21"/>
                <w:szCs w:val="21"/>
              </w:rPr>
              <w:t>）</w:t>
            </w:r>
          </w:p>
        </w:tc>
        <w:tc>
          <w:tcPr>
            <w:tcW w:w="709" w:type="pct"/>
            <w:noWrap w:val="0"/>
            <w:vAlign w:val="center"/>
          </w:tcPr>
          <w:p w14:paraId="2DDBB999">
            <w:pPr>
              <w:spacing w:line="240" w:lineRule="auto"/>
              <w:ind w:firstLine="0" w:firstLineChars="0"/>
              <w:jc w:val="center"/>
              <w:rPr>
                <w:rFonts w:eastAsia="Times New Roman"/>
                <w:color w:val="auto"/>
                <w:kern w:val="21"/>
                <w:sz w:val="21"/>
                <w:szCs w:val="21"/>
              </w:rPr>
            </w:pPr>
            <w:r>
              <w:rPr>
                <w:rFonts w:hint="eastAsia" w:ascii="宋体" w:hAnsi="宋体" w:cs="宋体"/>
                <w:color w:val="auto"/>
                <w:kern w:val="21"/>
                <w:sz w:val="21"/>
                <w:szCs w:val="21"/>
              </w:rPr>
              <w:t>≤</w:t>
            </w:r>
            <w:r>
              <w:rPr>
                <w:rFonts w:eastAsia="Times New Roman"/>
                <w:color w:val="auto"/>
                <w:kern w:val="21"/>
                <w:sz w:val="21"/>
                <w:szCs w:val="21"/>
              </w:rPr>
              <w:t>58.0</w:t>
            </w:r>
          </w:p>
        </w:tc>
        <w:tc>
          <w:tcPr>
            <w:tcW w:w="709" w:type="pct"/>
            <w:noWrap w:val="0"/>
            <w:vAlign w:val="center"/>
          </w:tcPr>
          <w:p w14:paraId="5CAC7881">
            <w:pPr>
              <w:spacing w:line="240" w:lineRule="auto"/>
              <w:ind w:firstLine="0" w:firstLineChars="0"/>
              <w:jc w:val="center"/>
              <w:rPr>
                <w:rFonts w:eastAsia="Times New Roman"/>
                <w:color w:val="auto"/>
                <w:kern w:val="21"/>
                <w:sz w:val="21"/>
                <w:szCs w:val="21"/>
              </w:rPr>
            </w:pPr>
            <w:r>
              <w:rPr>
                <w:rFonts w:eastAsia="Times New Roman"/>
                <w:color w:val="auto"/>
                <w:kern w:val="21"/>
                <w:sz w:val="21"/>
                <w:szCs w:val="21"/>
              </w:rPr>
              <w:t>58.1</w:t>
            </w:r>
            <w:r>
              <w:rPr>
                <w:rFonts w:hint="eastAsia" w:ascii="宋体" w:hAnsi="宋体" w:cs="宋体"/>
                <w:color w:val="auto"/>
                <w:kern w:val="21"/>
                <w:sz w:val="21"/>
                <w:szCs w:val="21"/>
              </w:rPr>
              <w:t>～</w:t>
            </w:r>
            <w:r>
              <w:rPr>
                <w:rFonts w:eastAsia="Times New Roman"/>
                <w:color w:val="auto"/>
                <w:kern w:val="21"/>
                <w:sz w:val="21"/>
                <w:szCs w:val="21"/>
              </w:rPr>
              <w:t>60.0</w:t>
            </w:r>
          </w:p>
        </w:tc>
        <w:tc>
          <w:tcPr>
            <w:tcW w:w="709" w:type="pct"/>
            <w:noWrap w:val="0"/>
            <w:vAlign w:val="center"/>
          </w:tcPr>
          <w:p w14:paraId="64D77624">
            <w:pPr>
              <w:spacing w:line="240" w:lineRule="auto"/>
              <w:ind w:firstLine="0" w:firstLineChars="0"/>
              <w:jc w:val="center"/>
              <w:rPr>
                <w:rFonts w:eastAsia="Times New Roman"/>
                <w:color w:val="auto"/>
                <w:kern w:val="21"/>
                <w:sz w:val="21"/>
                <w:szCs w:val="21"/>
              </w:rPr>
            </w:pPr>
            <w:r>
              <w:rPr>
                <w:rFonts w:eastAsia="Times New Roman"/>
                <w:color w:val="auto"/>
                <w:kern w:val="21"/>
                <w:sz w:val="21"/>
                <w:szCs w:val="21"/>
              </w:rPr>
              <w:t>60.1</w:t>
            </w:r>
            <w:r>
              <w:rPr>
                <w:rFonts w:hint="eastAsia" w:ascii="宋体" w:hAnsi="宋体" w:cs="宋体"/>
                <w:color w:val="auto"/>
                <w:kern w:val="21"/>
                <w:sz w:val="21"/>
                <w:szCs w:val="21"/>
              </w:rPr>
              <w:t>～</w:t>
            </w:r>
            <w:r>
              <w:rPr>
                <w:rFonts w:eastAsia="Times New Roman"/>
                <w:color w:val="auto"/>
                <w:kern w:val="21"/>
                <w:sz w:val="21"/>
                <w:szCs w:val="21"/>
              </w:rPr>
              <w:t>62.0</w:t>
            </w:r>
          </w:p>
        </w:tc>
        <w:tc>
          <w:tcPr>
            <w:tcW w:w="709" w:type="pct"/>
            <w:noWrap w:val="0"/>
            <w:vAlign w:val="center"/>
          </w:tcPr>
          <w:p w14:paraId="1C379F84">
            <w:pPr>
              <w:spacing w:line="240" w:lineRule="auto"/>
              <w:ind w:firstLine="0" w:firstLineChars="0"/>
              <w:jc w:val="center"/>
              <w:rPr>
                <w:rFonts w:eastAsia="Times New Roman"/>
                <w:color w:val="auto"/>
                <w:kern w:val="21"/>
                <w:sz w:val="21"/>
                <w:szCs w:val="21"/>
              </w:rPr>
            </w:pPr>
            <w:r>
              <w:rPr>
                <w:rFonts w:eastAsia="Times New Roman"/>
                <w:color w:val="auto"/>
                <w:kern w:val="21"/>
                <w:sz w:val="21"/>
                <w:szCs w:val="21"/>
              </w:rPr>
              <w:t>62.1</w:t>
            </w:r>
            <w:r>
              <w:rPr>
                <w:rFonts w:hint="eastAsia" w:ascii="宋体" w:hAnsi="宋体" w:cs="宋体"/>
                <w:color w:val="auto"/>
                <w:kern w:val="21"/>
                <w:sz w:val="21"/>
                <w:szCs w:val="21"/>
              </w:rPr>
              <w:t>～</w:t>
            </w:r>
            <w:r>
              <w:rPr>
                <w:rFonts w:eastAsia="Times New Roman"/>
                <w:color w:val="auto"/>
                <w:kern w:val="21"/>
                <w:sz w:val="21"/>
                <w:szCs w:val="21"/>
              </w:rPr>
              <w:t>64.0</w:t>
            </w:r>
          </w:p>
        </w:tc>
        <w:tc>
          <w:tcPr>
            <w:tcW w:w="709" w:type="pct"/>
            <w:noWrap w:val="0"/>
            <w:vAlign w:val="center"/>
          </w:tcPr>
          <w:p w14:paraId="38AF5E87">
            <w:pPr>
              <w:spacing w:line="240" w:lineRule="auto"/>
              <w:ind w:firstLine="0" w:firstLineChars="0"/>
              <w:jc w:val="center"/>
              <w:rPr>
                <w:rFonts w:eastAsia="Times New Roman"/>
                <w:color w:val="auto"/>
                <w:kern w:val="21"/>
                <w:sz w:val="21"/>
                <w:szCs w:val="21"/>
              </w:rPr>
            </w:pPr>
            <w:r>
              <w:rPr>
                <w:rFonts w:ascii="宋体" w:hAnsi="宋体" w:cs="宋体"/>
                <w:color w:val="auto"/>
                <w:kern w:val="21"/>
                <w:sz w:val="21"/>
                <w:szCs w:val="21"/>
              </w:rPr>
              <w:t>＞</w:t>
            </w:r>
            <w:r>
              <w:rPr>
                <w:rFonts w:eastAsia="Times New Roman"/>
                <w:color w:val="auto"/>
                <w:kern w:val="21"/>
                <w:sz w:val="21"/>
                <w:szCs w:val="21"/>
              </w:rPr>
              <w:t>64.0</w:t>
            </w:r>
          </w:p>
        </w:tc>
      </w:tr>
    </w:tbl>
    <w:p w14:paraId="42AED066">
      <w:pPr>
        <w:ind w:firstLine="471"/>
        <w:rPr>
          <w:color w:val="auto"/>
          <w:highlight w:val="yellow"/>
        </w:rPr>
      </w:pPr>
      <w:r>
        <w:rPr>
          <w:rFonts w:hint="eastAsia"/>
          <w:color w:val="auto"/>
          <w:highlight w:val="none"/>
        </w:rPr>
        <w:t>根据表3-</w:t>
      </w:r>
      <w:r>
        <w:rPr>
          <w:rFonts w:hint="eastAsia"/>
          <w:color w:val="auto"/>
          <w:highlight w:val="none"/>
          <w:lang w:val="en-US" w:eastAsia="zh-CN"/>
        </w:rPr>
        <w:t>3检测结果</w:t>
      </w:r>
      <w:r>
        <w:rPr>
          <w:rFonts w:hint="eastAsia"/>
          <w:color w:val="auto"/>
          <w:highlight w:val="none"/>
        </w:rPr>
        <w:t>和3-</w:t>
      </w:r>
      <w:r>
        <w:rPr>
          <w:rFonts w:hint="eastAsia"/>
          <w:color w:val="auto"/>
          <w:highlight w:val="none"/>
          <w:lang w:val="en-US" w:eastAsia="zh-CN"/>
        </w:rPr>
        <w:t>4道路交通噪声强度等级划分</w:t>
      </w:r>
      <w:r>
        <w:rPr>
          <w:rFonts w:hint="eastAsia"/>
          <w:color w:val="auto"/>
          <w:highlight w:val="none"/>
        </w:rPr>
        <w:t>及上述公式计算得到公路昼间平均值L</w:t>
      </w:r>
      <w:r>
        <w:rPr>
          <w:rFonts w:hint="eastAsia"/>
          <w:color w:val="auto"/>
          <w:highlight w:val="none"/>
          <w:vertAlign w:val="subscript"/>
        </w:rPr>
        <w:t>d</w:t>
      </w:r>
      <w:r>
        <w:rPr>
          <w:rFonts w:hint="eastAsia"/>
          <w:color w:val="auto"/>
          <w:highlight w:val="none"/>
        </w:rPr>
        <w:t>和夜间平均值L</w:t>
      </w:r>
      <w:r>
        <w:rPr>
          <w:rFonts w:hint="eastAsia"/>
          <w:color w:val="auto"/>
          <w:highlight w:val="none"/>
          <w:vertAlign w:val="subscript"/>
        </w:rPr>
        <w:t>n</w:t>
      </w:r>
      <w:r>
        <w:rPr>
          <w:rFonts w:hint="eastAsia"/>
          <w:color w:val="auto"/>
          <w:highlight w:val="none"/>
        </w:rPr>
        <w:t>分别为</w:t>
      </w:r>
      <w:r>
        <w:rPr>
          <w:rFonts w:hint="eastAsia"/>
          <w:color w:val="auto"/>
          <w:highlight w:val="none"/>
          <w:lang w:val="en-US" w:eastAsia="zh-CN"/>
        </w:rPr>
        <w:t>64.5</w:t>
      </w:r>
      <w:r>
        <w:rPr>
          <w:rFonts w:hint="eastAsia"/>
          <w:color w:val="auto"/>
          <w:highlight w:val="none"/>
        </w:rPr>
        <w:t>dB（A）和</w:t>
      </w:r>
      <w:r>
        <w:rPr>
          <w:rFonts w:hint="eastAsia"/>
          <w:color w:val="auto"/>
          <w:highlight w:val="none"/>
          <w:lang w:val="en-US" w:eastAsia="zh-CN"/>
        </w:rPr>
        <w:t>52.5</w:t>
      </w:r>
      <w:r>
        <w:rPr>
          <w:rFonts w:hint="eastAsia"/>
          <w:color w:val="auto"/>
          <w:highlight w:val="none"/>
        </w:rPr>
        <w:t>dB（A），道路昼间和夜间声环境质量等级为“一级”，对应评价均为“好”。</w:t>
      </w:r>
    </w:p>
    <w:p w14:paraId="7C4B7EB3">
      <w:pPr>
        <w:pStyle w:val="4"/>
        <w:rPr>
          <w:rFonts w:hint="eastAsia"/>
          <w:color w:val="auto"/>
        </w:rPr>
      </w:pPr>
      <w:bookmarkStart w:id="106" w:name="_Toc16940"/>
      <w:r>
        <w:rPr>
          <w:rFonts w:hint="eastAsia"/>
          <w:color w:val="auto"/>
        </w:rPr>
        <w:t>3.7.3</w:t>
      </w:r>
      <w:r>
        <w:rPr>
          <w:rFonts w:hint="eastAsia"/>
          <w:color w:val="auto"/>
          <w:lang w:val="en-US" w:eastAsia="zh-CN"/>
        </w:rPr>
        <w:t xml:space="preserve"> </w:t>
      </w:r>
      <w:r>
        <w:rPr>
          <w:rFonts w:hint="eastAsia"/>
          <w:color w:val="auto"/>
        </w:rPr>
        <w:t>噪声污染水平分析</w:t>
      </w:r>
      <w:bookmarkEnd w:id="106"/>
    </w:p>
    <w:p w14:paraId="1C608994">
      <w:pPr>
        <w:ind w:firstLine="471"/>
        <w:rPr>
          <w:rFonts w:hint="eastAsia"/>
          <w:color w:val="auto"/>
        </w:rPr>
      </w:pPr>
      <w:r>
        <w:rPr>
          <w:rFonts w:hint="eastAsia"/>
          <w:color w:val="auto"/>
        </w:rPr>
        <w:t>根据监测结果可知，</w:t>
      </w:r>
      <w:r>
        <w:rPr>
          <w:rFonts w:hint="eastAsia"/>
          <w:color w:val="auto"/>
          <w:lang w:eastAsia="zh-CN"/>
        </w:rPr>
        <w:t>绥滨</w:t>
      </w:r>
      <w:r>
        <w:rPr>
          <w:rFonts w:hint="eastAsia"/>
          <w:color w:val="auto"/>
          <w:highlight w:val="none"/>
          <w:lang w:eastAsia="zh-CN"/>
        </w:rPr>
        <w:t>县中心城区</w:t>
      </w:r>
      <w:r>
        <w:rPr>
          <w:rFonts w:hint="eastAsia"/>
          <w:color w:val="auto"/>
          <w:highlight w:val="none"/>
        </w:rPr>
        <w:t>的道路交通噪声均达标。</w:t>
      </w:r>
    </w:p>
    <w:p w14:paraId="4ED403B3">
      <w:pPr>
        <w:ind w:firstLine="0" w:firstLineChars="0"/>
        <w:rPr>
          <w:rFonts w:hint="eastAsia"/>
          <w:color w:val="000000" w:themeColor="text1"/>
          <w14:textFill>
            <w14:solidFill>
              <w14:schemeClr w14:val="tx1"/>
            </w14:solidFill>
          </w14:textFill>
        </w:rPr>
      </w:pPr>
    </w:p>
    <w:p w14:paraId="04E01328">
      <w:pPr>
        <w:ind w:firstLine="471"/>
        <w:rPr>
          <w:rFonts w:hint="eastAsia"/>
          <w:color w:val="000000" w:themeColor="text1"/>
          <w14:textFill>
            <w14:solidFill>
              <w14:schemeClr w14:val="tx1"/>
            </w14:solidFill>
          </w14:textFill>
        </w:rPr>
        <w:sectPr>
          <w:pgSz w:w="11906" w:h="16838"/>
          <w:pgMar w:top="1440" w:right="1803" w:bottom="1440" w:left="1803" w:header="794" w:footer="992" w:gutter="0"/>
          <w:pgBorders>
            <w:top w:val="none" w:sz="0" w:space="0"/>
            <w:left w:val="none" w:sz="0" w:space="0"/>
            <w:bottom w:val="none" w:sz="0" w:space="0"/>
            <w:right w:val="none" w:sz="0" w:space="0"/>
          </w:pgBorders>
          <w:pgNumType w:fmt="numberInDash"/>
          <w:cols w:space="720" w:num="1"/>
          <w:rtlGutter w:val="0"/>
          <w:docGrid w:type="linesAndChars" w:linePitch="347" w:charSpace="-874"/>
        </w:sectPr>
      </w:pPr>
    </w:p>
    <w:p w14:paraId="05E3DA1E">
      <w:pPr>
        <w:pStyle w:val="2"/>
        <w:keepNext/>
        <w:keepLines/>
        <w:jc w:val="center"/>
        <w:rPr>
          <w:rFonts w:hint="eastAsia"/>
          <w:color w:val="000000" w:themeColor="text1"/>
          <w14:textFill>
            <w14:solidFill>
              <w14:schemeClr w14:val="tx1"/>
            </w14:solidFill>
          </w14:textFill>
        </w:rPr>
      </w:pPr>
      <w:bookmarkStart w:id="107" w:name="_Toc18225"/>
      <w:bookmarkStart w:id="108" w:name="_Toc11502"/>
      <w:bookmarkStart w:id="109" w:name="_Toc17862"/>
      <w:bookmarkStart w:id="110" w:name="_Toc9450"/>
      <w:r>
        <w:rPr>
          <w:rFonts w:hint="eastAsia"/>
          <w:color w:val="000000" w:themeColor="text1"/>
          <w14:textFill>
            <w14:solidFill>
              <w14:schemeClr w14:val="tx1"/>
            </w14:solidFill>
          </w14:textFill>
        </w:rPr>
        <w:t>4</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声环境功能区划定方案</w:t>
      </w:r>
      <w:bookmarkEnd w:id="107"/>
      <w:bookmarkEnd w:id="108"/>
      <w:bookmarkEnd w:id="109"/>
      <w:bookmarkEnd w:id="110"/>
    </w:p>
    <w:p w14:paraId="6B1CDE72">
      <w:pPr>
        <w:pStyle w:val="3"/>
        <w:keepNext/>
        <w:keepLines/>
        <w:rPr>
          <w:color w:val="000000" w:themeColor="text1"/>
          <w:kern w:val="2"/>
          <w14:textFill>
            <w14:solidFill>
              <w14:schemeClr w14:val="tx1"/>
            </w14:solidFill>
          </w14:textFill>
        </w:rPr>
      </w:pPr>
      <w:bookmarkStart w:id="111" w:name="_Toc18121"/>
      <w:bookmarkStart w:id="112" w:name="_Toc26313"/>
      <w:bookmarkStart w:id="113" w:name="_Toc19427"/>
      <w:bookmarkStart w:id="114" w:name="_Toc31755"/>
      <w:r>
        <w:rPr>
          <w:color w:val="000000" w:themeColor="text1"/>
          <w:kern w:val="2"/>
          <w14:textFill>
            <w14:solidFill>
              <w14:schemeClr w14:val="tx1"/>
            </w14:solidFill>
          </w14:textFill>
        </w:rPr>
        <w:t>4.1</w:t>
      </w:r>
      <w:r>
        <w:rPr>
          <w:rFonts w:hint="eastAsia"/>
          <w:color w:val="000000" w:themeColor="text1"/>
          <w:kern w:val="2"/>
          <w:lang w:val="en-US" w:eastAsia="zh-CN"/>
          <w14:textFill>
            <w14:solidFill>
              <w14:schemeClr w14:val="tx1"/>
            </w14:solidFill>
          </w14:textFill>
        </w:rPr>
        <w:t xml:space="preserve"> </w:t>
      </w:r>
      <w:r>
        <w:rPr>
          <w:color w:val="000000" w:themeColor="text1"/>
          <w:kern w:val="2"/>
          <w14:textFill>
            <w14:solidFill>
              <w14:schemeClr w14:val="tx1"/>
            </w14:solidFill>
          </w14:textFill>
        </w:rPr>
        <w:t>概述</w:t>
      </w:r>
      <w:bookmarkEnd w:id="111"/>
      <w:bookmarkEnd w:id="112"/>
      <w:bookmarkEnd w:id="113"/>
      <w:bookmarkEnd w:id="114"/>
    </w:p>
    <w:p w14:paraId="62A19B39">
      <w:pPr>
        <w:pStyle w:val="4"/>
        <w:rPr>
          <w:rFonts w:hint="eastAsia"/>
          <w:color w:val="000000" w:themeColor="text1"/>
          <w14:textFill>
            <w14:solidFill>
              <w14:schemeClr w14:val="tx1"/>
            </w14:solidFill>
          </w14:textFill>
        </w:rPr>
      </w:pPr>
      <w:bookmarkStart w:id="115" w:name="_Toc12675"/>
      <w:r>
        <w:rPr>
          <w:rFonts w:hint="eastAsia"/>
          <w:color w:val="000000" w:themeColor="text1"/>
          <w14:textFill>
            <w14:solidFill>
              <w14:schemeClr w14:val="tx1"/>
            </w14:solidFill>
          </w14:textFill>
        </w:rPr>
        <w:t>4.1.1</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声环境区划及其分类</w:t>
      </w:r>
      <w:bookmarkEnd w:id="115"/>
    </w:p>
    <w:p w14:paraId="00E62F0A">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城市声环境功能区划是在分析城市环境噪声污染特点，发展趋势以及城市环境管理要求等基础上，根据</w:t>
      </w:r>
      <w:r>
        <w:rPr>
          <w:rFonts w:hint="eastAsia"/>
          <w:color w:val="000000" w:themeColor="text1"/>
          <w:lang w:eastAsia="zh-CN"/>
          <w14:textFill>
            <w14:solidFill>
              <w14:schemeClr w14:val="tx1"/>
            </w14:solidFill>
          </w14:textFill>
        </w:rPr>
        <w:t>国土空间总体规划</w:t>
      </w:r>
      <w:r>
        <w:rPr>
          <w:rFonts w:hint="eastAsia"/>
          <w:color w:val="000000" w:themeColor="text1"/>
          <w14:textFill>
            <w14:solidFill>
              <w14:schemeClr w14:val="tx1"/>
            </w14:solidFill>
          </w14:textFill>
        </w:rPr>
        <w:t>对功能区的划分和规划用地的主导功能，确定城市范围内《声环境质量标准》（GB</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3096-2008）适用区域划分及其执行标准。</w:t>
      </w:r>
    </w:p>
    <w:p w14:paraId="3D2ECE3C">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根据《声环境质量标准》（GB</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3096-2008）的规定，声环境功能区按区域的使用功能特点和环境质量要求，分为五类声环境功能区，包括0类、1类、2类、3类、4类，其中：</w:t>
      </w:r>
    </w:p>
    <w:p w14:paraId="0F82F889">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0类声环境功能区：指康复疗养区等特别需要安静的区域。</w:t>
      </w:r>
    </w:p>
    <w:p w14:paraId="4CEFC33F">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1类声环境功能区：指以居民住宅、医疗卫生、文化教育、科研设计、行政办公为主要功能，需要保持安静的区域。</w:t>
      </w:r>
    </w:p>
    <w:p w14:paraId="57E765BD">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2类声环境功能区：指以商业金融、集市贸易为主要功能，或者居住、商业、工业混杂，需要维护住宅安静的区域。</w:t>
      </w:r>
    </w:p>
    <w:p w14:paraId="58452965">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3类声环境功能区：指以工业生产、仓储物流为主要功能，需要防止工业噪声对周围环境产生严重影响的区域。</w:t>
      </w:r>
    </w:p>
    <w:p w14:paraId="0CA269C0">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类声环境功能区：指交通干线两侧一定距离之内，需要防止交通噪声对周围环境产生严重影响的区域，包括4a类和4b类两种类型。4a类为高速公路、一级公路、二级公路、城市快速路、城市主干路、城市次干路、城市轨道交通（地面段）、内河航道两侧区域；4b类为铁路干线两侧区域。</w:t>
      </w:r>
    </w:p>
    <w:p w14:paraId="4293BE3B">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根据《声环境质量标准》（GB</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3096-2008）的规定，0类、1类、2类、3类、4类声功能区环境噪声限值见表</w:t>
      </w:r>
      <w:r>
        <w:rPr>
          <w:rFonts w:hint="eastAsia"/>
          <w:color w:val="000000" w:themeColor="text1"/>
          <w:lang w:val="en-US" w:eastAsia="zh-CN"/>
          <w14:textFill>
            <w14:solidFill>
              <w14:schemeClr w14:val="tx1"/>
            </w14:solidFill>
          </w14:textFill>
        </w:rPr>
        <w:t>4-1</w:t>
      </w:r>
      <w:r>
        <w:rPr>
          <w:rFonts w:hint="eastAsia"/>
          <w:color w:val="000000" w:themeColor="text1"/>
          <w14:textFill>
            <w14:solidFill>
              <w14:schemeClr w14:val="tx1"/>
            </w14:solidFill>
          </w14:textFill>
        </w:rPr>
        <w:t>。</w:t>
      </w:r>
    </w:p>
    <w:p w14:paraId="13A4D7AE">
      <w:pPr>
        <w:ind w:firstLine="471"/>
        <w:rPr>
          <w:rFonts w:hint="eastAsia"/>
          <w:color w:val="000000" w:themeColor="text1"/>
          <w14:textFill>
            <w14:solidFill>
              <w14:schemeClr w14:val="tx1"/>
            </w14:solidFill>
          </w14:textFill>
        </w:rPr>
      </w:pPr>
    </w:p>
    <w:p w14:paraId="02D7D52B">
      <w:pPr>
        <w:ind w:firstLine="471"/>
        <w:rPr>
          <w:rFonts w:hint="eastAsia"/>
          <w:color w:val="000000" w:themeColor="text1"/>
          <w14:textFill>
            <w14:solidFill>
              <w14:schemeClr w14:val="tx1"/>
            </w14:solidFill>
          </w14:textFill>
        </w:rPr>
      </w:pPr>
    </w:p>
    <w:p w14:paraId="5EE8D7FD">
      <w:pPr>
        <w:pStyle w:val="3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表4-1</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环境噪声限值</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单位：dB</w:t>
      </w:r>
      <w:r>
        <w:rPr>
          <w:rFonts w:hint="default" w:ascii="Times New Roman" w:hAnsi="Times New Roman" w:cs="Times New Roman"/>
          <w:color w:val="000000" w:themeColor="text1"/>
          <w14:textFill>
            <w14:solidFill>
              <w14:schemeClr w14:val="tx1"/>
            </w14:solidFill>
          </w14:textFill>
        </w:rPr>
        <w:t>（</w:t>
      </w:r>
      <w:r>
        <w:rPr>
          <w:rFonts w:hint="eastAsia"/>
          <w:color w:val="000000" w:themeColor="text1"/>
          <w14:textFill>
            <w14:solidFill>
              <w14:schemeClr w14:val="tx1"/>
            </w14:solidFill>
          </w14:textFill>
        </w:rPr>
        <w:t>A）</w:t>
      </w:r>
    </w:p>
    <w:tbl>
      <w:tblPr>
        <w:tblStyle w:val="19"/>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368"/>
        <w:gridCol w:w="1389"/>
        <w:gridCol w:w="2779"/>
        <w:gridCol w:w="2771"/>
      </w:tblGrid>
      <w:tr w14:paraId="64A28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659" w:type="pct"/>
            <w:gridSpan w:val="2"/>
            <w:noWrap w:val="0"/>
            <w:vAlign w:val="center"/>
          </w:tcPr>
          <w:p w14:paraId="406C34C2">
            <w:pPr>
              <w:pStyle w:val="30"/>
              <w:rPr>
                <w:rFonts w:hint="eastAsia" w:ascii="宋体" w:hAnsi="宋体" w:eastAsia="宋体" w:cs="宋体"/>
                <w:b w:val="0"/>
                <w:bCs w:val="0"/>
                <w:color w:val="000000" w:themeColor="text1"/>
                <w14:textFill>
                  <w14:solidFill>
                    <w14:schemeClr w14:val="tx1"/>
                  </w14:solidFill>
                </w14:textFill>
              </w:rPr>
            </w:pPr>
            <w:r>
              <w:rPr>
                <w:rFonts w:hint="eastAsia" w:ascii="宋体" w:hAnsi="宋体" w:eastAsia="宋体" w:cs="宋体"/>
                <w:b w:val="0"/>
                <w:bCs w:val="0"/>
                <w:color w:val="000000" w:themeColor="text1"/>
                <w14:textFill>
                  <w14:solidFill>
                    <w14:schemeClr w14:val="tx1"/>
                  </w14:solidFill>
                </w14:textFill>
              </w:rPr>
              <w:t>声环境功能区类别</w:t>
            </w:r>
          </w:p>
        </w:tc>
        <w:tc>
          <w:tcPr>
            <w:tcW w:w="1672" w:type="pct"/>
            <w:noWrap w:val="0"/>
            <w:vAlign w:val="center"/>
          </w:tcPr>
          <w:p w14:paraId="1B829DE8">
            <w:pPr>
              <w:pStyle w:val="30"/>
              <w:rPr>
                <w:rFonts w:hint="eastAsia" w:ascii="宋体" w:hAnsi="宋体" w:eastAsia="宋体" w:cs="宋体"/>
                <w:b w:val="0"/>
                <w:bCs w:val="0"/>
                <w:color w:val="000000" w:themeColor="text1"/>
                <w14:textFill>
                  <w14:solidFill>
                    <w14:schemeClr w14:val="tx1"/>
                  </w14:solidFill>
                </w14:textFill>
              </w:rPr>
            </w:pPr>
            <w:r>
              <w:rPr>
                <w:rFonts w:hint="eastAsia" w:ascii="宋体" w:hAnsi="宋体" w:eastAsia="宋体" w:cs="宋体"/>
                <w:b w:val="0"/>
                <w:bCs w:val="0"/>
                <w:color w:val="000000" w:themeColor="text1"/>
                <w14:textFill>
                  <w14:solidFill>
                    <w14:schemeClr w14:val="tx1"/>
                  </w14:solidFill>
                </w14:textFill>
              </w:rPr>
              <w:t>昼间</w:t>
            </w:r>
          </w:p>
        </w:tc>
        <w:tc>
          <w:tcPr>
            <w:tcW w:w="1667" w:type="pct"/>
            <w:noWrap w:val="0"/>
            <w:vAlign w:val="center"/>
          </w:tcPr>
          <w:p w14:paraId="146FDE85">
            <w:pPr>
              <w:pStyle w:val="30"/>
              <w:rPr>
                <w:rFonts w:hint="eastAsia" w:ascii="宋体" w:hAnsi="宋体" w:eastAsia="宋体" w:cs="宋体"/>
                <w:b w:val="0"/>
                <w:bCs w:val="0"/>
                <w:color w:val="000000" w:themeColor="text1"/>
                <w14:textFill>
                  <w14:solidFill>
                    <w14:schemeClr w14:val="tx1"/>
                  </w14:solidFill>
                </w14:textFill>
              </w:rPr>
            </w:pPr>
            <w:r>
              <w:rPr>
                <w:rFonts w:hint="eastAsia" w:ascii="宋体" w:hAnsi="宋体" w:eastAsia="宋体" w:cs="宋体"/>
                <w:b w:val="0"/>
                <w:bCs w:val="0"/>
                <w:color w:val="000000" w:themeColor="text1"/>
                <w14:textFill>
                  <w14:solidFill>
                    <w14:schemeClr w14:val="tx1"/>
                  </w14:solidFill>
                </w14:textFill>
              </w:rPr>
              <w:t>夜间</w:t>
            </w:r>
          </w:p>
        </w:tc>
      </w:tr>
      <w:tr w14:paraId="5CB54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659" w:type="pct"/>
            <w:gridSpan w:val="2"/>
            <w:noWrap w:val="0"/>
            <w:vAlign w:val="center"/>
          </w:tcPr>
          <w:p w14:paraId="5611CE21">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4"/>
                <w:sz w:val="21"/>
                <w:szCs w:val="21"/>
                <w14:textFill>
                  <w14:solidFill>
                    <w14:schemeClr w14:val="tx1"/>
                  </w14:solidFill>
                </w14:textFill>
              </w:rPr>
              <w:t>0类</w:t>
            </w:r>
          </w:p>
        </w:tc>
        <w:tc>
          <w:tcPr>
            <w:tcW w:w="1672" w:type="pct"/>
            <w:noWrap w:val="0"/>
            <w:vAlign w:val="center"/>
          </w:tcPr>
          <w:p w14:paraId="0002FB7A">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50</w:t>
            </w:r>
          </w:p>
        </w:tc>
        <w:tc>
          <w:tcPr>
            <w:tcW w:w="1667" w:type="pct"/>
            <w:noWrap w:val="0"/>
            <w:vAlign w:val="center"/>
          </w:tcPr>
          <w:p w14:paraId="1B123657">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1"/>
                <w:sz w:val="21"/>
                <w:szCs w:val="21"/>
                <w14:textFill>
                  <w14:solidFill>
                    <w14:schemeClr w14:val="tx1"/>
                  </w14:solidFill>
                </w14:textFill>
              </w:rPr>
              <w:t>40</w:t>
            </w:r>
          </w:p>
        </w:tc>
      </w:tr>
      <w:tr w14:paraId="72E89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659" w:type="pct"/>
            <w:gridSpan w:val="2"/>
            <w:noWrap w:val="0"/>
            <w:vAlign w:val="center"/>
          </w:tcPr>
          <w:p w14:paraId="66D71EE9">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4"/>
                <w:sz w:val="21"/>
                <w:szCs w:val="21"/>
                <w14:textFill>
                  <w14:solidFill>
                    <w14:schemeClr w14:val="tx1"/>
                  </w14:solidFill>
                </w14:textFill>
              </w:rPr>
              <w:t>1类</w:t>
            </w:r>
          </w:p>
        </w:tc>
        <w:tc>
          <w:tcPr>
            <w:tcW w:w="1672" w:type="pct"/>
            <w:noWrap w:val="0"/>
            <w:vAlign w:val="center"/>
          </w:tcPr>
          <w:p w14:paraId="282BCF10">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55</w:t>
            </w:r>
          </w:p>
        </w:tc>
        <w:tc>
          <w:tcPr>
            <w:tcW w:w="1667" w:type="pct"/>
            <w:noWrap w:val="0"/>
            <w:vAlign w:val="center"/>
          </w:tcPr>
          <w:p w14:paraId="2767075C">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1"/>
                <w:sz w:val="21"/>
                <w:szCs w:val="21"/>
                <w14:textFill>
                  <w14:solidFill>
                    <w14:schemeClr w14:val="tx1"/>
                  </w14:solidFill>
                </w14:textFill>
              </w:rPr>
              <w:t>45</w:t>
            </w:r>
          </w:p>
        </w:tc>
      </w:tr>
      <w:tr w14:paraId="51CD7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659" w:type="pct"/>
            <w:gridSpan w:val="2"/>
            <w:noWrap w:val="0"/>
            <w:vAlign w:val="center"/>
          </w:tcPr>
          <w:p w14:paraId="66E00ED7">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2类</w:t>
            </w:r>
          </w:p>
        </w:tc>
        <w:tc>
          <w:tcPr>
            <w:tcW w:w="1672" w:type="pct"/>
            <w:noWrap w:val="0"/>
            <w:vAlign w:val="center"/>
          </w:tcPr>
          <w:p w14:paraId="57AEB966">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60</w:t>
            </w:r>
          </w:p>
        </w:tc>
        <w:tc>
          <w:tcPr>
            <w:tcW w:w="1667" w:type="pct"/>
            <w:noWrap w:val="0"/>
            <w:vAlign w:val="center"/>
          </w:tcPr>
          <w:p w14:paraId="08011853">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50</w:t>
            </w:r>
          </w:p>
        </w:tc>
      </w:tr>
      <w:tr w14:paraId="5557C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659" w:type="pct"/>
            <w:gridSpan w:val="2"/>
            <w:noWrap w:val="0"/>
            <w:vAlign w:val="center"/>
          </w:tcPr>
          <w:p w14:paraId="7BD14EA3">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5"/>
                <w:sz w:val="21"/>
                <w:szCs w:val="21"/>
                <w14:textFill>
                  <w14:solidFill>
                    <w14:schemeClr w14:val="tx1"/>
                  </w14:solidFill>
                </w14:textFill>
              </w:rPr>
              <w:t>3类</w:t>
            </w:r>
          </w:p>
        </w:tc>
        <w:tc>
          <w:tcPr>
            <w:tcW w:w="1672" w:type="pct"/>
            <w:noWrap w:val="0"/>
            <w:vAlign w:val="center"/>
          </w:tcPr>
          <w:p w14:paraId="0ECA7D0A">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65</w:t>
            </w:r>
          </w:p>
        </w:tc>
        <w:tc>
          <w:tcPr>
            <w:tcW w:w="1667" w:type="pct"/>
            <w:noWrap w:val="0"/>
            <w:vAlign w:val="center"/>
          </w:tcPr>
          <w:p w14:paraId="10BC0E99">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55</w:t>
            </w:r>
          </w:p>
        </w:tc>
      </w:tr>
      <w:tr w14:paraId="46DA5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823" w:type="pct"/>
            <w:vMerge w:val="restart"/>
            <w:noWrap w:val="0"/>
            <w:vAlign w:val="center"/>
          </w:tcPr>
          <w:p w14:paraId="5DA9577C">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2"/>
                <w:sz w:val="21"/>
                <w:szCs w:val="21"/>
                <w14:textFill>
                  <w14:solidFill>
                    <w14:schemeClr w14:val="tx1"/>
                  </w14:solidFill>
                </w14:textFill>
              </w:rPr>
              <w:t>4类</w:t>
            </w:r>
          </w:p>
        </w:tc>
        <w:tc>
          <w:tcPr>
            <w:tcW w:w="836" w:type="pct"/>
            <w:noWrap w:val="0"/>
            <w:vAlign w:val="center"/>
          </w:tcPr>
          <w:p w14:paraId="211D7D03">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2"/>
                <w:sz w:val="21"/>
                <w:szCs w:val="21"/>
                <w14:textFill>
                  <w14:solidFill>
                    <w14:schemeClr w14:val="tx1"/>
                  </w14:solidFill>
                </w14:textFill>
              </w:rPr>
              <w:t>4a类</w:t>
            </w:r>
          </w:p>
        </w:tc>
        <w:tc>
          <w:tcPr>
            <w:tcW w:w="1672" w:type="pct"/>
            <w:noWrap w:val="0"/>
            <w:vAlign w:val="center"/>
          </w:tcPr>
          <w:p w14:paraId="53DA9D43">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2"/>
                <w:sz w:val="21"/>
                <w:szCs w:val="21"/>
                <w14:textFill>
                  <w14:solidFill>
                    <w14:schemeClr w14:val="tx1"/>
                  </w14:solidFill>
                </w14:textFill>
              </w:rPr>
              <w:t>70</w:t>
            </w:r>
          </w:p>
        </w:tc>
        <w:tc>
          <w:tcPr>
            <w:tcW w:w="1667" w:type="pct"/>
            <w:noWrap w:val="0"/>
            <w:vAlign w:val="center"/>
          </w:tcPr>
          <w:p w14:paraId="3E0DD970">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55</w:t>
            </w:r>
          </w:p>
        </w:tc>
      </w:tr>
      <w:tr w14:paraId="5718C3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823" w:type="pct"/>
            <w:vMerge w:val="continue"/>
            <w:noWrap w:val="0"/>
            <w:vAlign w:val="center"/>
          </w:tcPr>
          <w:p w14:paraId="7D729CC8">
            <w:pPr>
              <w:spacing w:line="240" w:lineRule="auto"/>
              <w:ind w:firstLine="0" w:firstLineChars="0"/>
              <w:jc w:val="center"/>
              <w:rPr>
                <w:color w:val="000000" w:themeColor="text1"/>
                <w:sz w:val="21"/>
                <w:szCs w:val="21"/>
                <w14:textFill>
                  <w14:solidFill>
                    <w14:schemeClr w14:val="tx1"/>
                  </w14:solidFill>
                </w14:textFill>
              </w:rPr>
            </w:pPr>
          </w:p>
        </w:tc>
        <w:tc>
          <w:tcPr>
            <w:tcW w:w="836" w:type="pct"/>
            <w:noWrap w:val="0"/>
            <w:vAlign w:val="center"/>
          </w:tcPr>
          <w:p w14:paraId="5090EBF4">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2"/>
                <w:sz w:val="21"/>
                <w:szCs w:val="21"/>
                <w14:textFill>
                  <w14:solidFill>
                    <w14:schemeClr w14:val="tx1"/>
                  </w14:solidFill>
                </w14:textFill>
              </w:rPr>
              <w:t>4b类</w:t>
            </w:r>
          </w:p>
        </w:tc>
        <w:tc>
          <w:tcPr>
            <w:tcW w:w="1672" w:type="pct"/>
            <w:noWrap w:val="0"/>
            <w:vAlign w:val="center"/>
          </w:tcPr>
          <w:p w14:paraId="7BF0C39D">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2"/>
                <w:sz w:val="21"/>
                <w:szCs w:val="21"/>
                <w14:textFill>
                  <w14:solidFill>
                    <w14:schemeClr w14:val="tx1"/>
                  </w14:solidFill>
                </w14:textFill>
              </w:rPr>
              <w:t>70</w:t>
            </w:r>
          </w:p>
        </w:tc>
        <w:tc>
          <w:tcPr>
            <w:tcW w:w="1667" w:type="pct"/>
            <w:noWrap w:val="0"/>
            <w:vAlign w:val="center"/>
          </w:tcPr>
          <w:p w14:paraId="394DDA23">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60</w:t>
            </w:r>
          </w:p>
        </w:tc>
      </w:tr>
    </w:tbl>
    <w:p w14:paraId="08085C2E">
      <w:pPr>
        <w:pStyle w:val="4"/>
        <w:rPr>
          <w:rFonts w:hint="eastAsia"/>
          <w:color w:val="000000" w:themeColor="text1"/>
          <w14:textFill>
            <w14:solidFill>
              <w14:schemeClr w14:val="tx1"/>
            </w14:solidFill>
          </w14:textFill>
        </w:rPr>
      </w:pPr>
      <w:bookmarkStart w:id="116" w:name="_Toc13414"/>
      <w:r>
        <w:rPr>
          <w:rFonts w:hint="eastAsia"/>
          <w:color w:val="000000" w:themeColor="text1"/>
          <w14:textFill>
            <w14:solidFill>
              <w14:schemeClr w14:val="tx1"/>
            </w14:solidFill>
          </w14:textFill>
        </w:rPr>
        <w:t>4.1.2</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其他有关概念</w:t>
      </w:r>
      <w:bookmarkEnd w:id="116"/>
    </w:p>
    <w:p w14:paraId="1A2909C3">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（1）城市规划区</w:t>
      </w:r>
    </w:p>
    <w:p w14:paraId="5C6DD8D8">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城市市区、近郊区以及城市行政区域内因城市建设和发展需要实行规划控制的其他区域。</w:t>
      </w:r>
    </w:p>
    <w:p w14:paraId="4A370589">
      <w:pPr>
        <w:ind w:firstLine="471"/>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（2）近期</w:t>
      </w:r>
      <w:r>
        <w:rPr>
          <w:rFonts w:hint="eastAsia"/>
          <w:color w:val="000000" w:themeColor="text1"/>
          <w:lang w:val="en-US" w:eastAsia="zh-CN"/>
          <w14:textFill>
            <w14:solidFill>
              <w14:schemeClr w14:val="tx1"/>
            </w14:solidFill>
          </w14:textFill>
        </w:rPr>
        <w:t>目标</w:t>
      </w:r>
    </w:p>
    <w:p w14:paraId="3FB32EA7">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在</w:t>
      </w:r>
      <w:r>
        <w:rPr>
          <w:rFonts w:hint="eastAsia"/>
          <w:color w:val="000000" w:themeColor="text1"/>
          <w:lang w:val="en-US" w:eastAsia="zh-CN"/>
          <w14:textFill>
            <w14:solidFill>
              <w14:schemeClr w14:val="tx1"/>
            </w14:solidFill>
          </w14:textFill>
        </w:rPr>
        <w:t>国土空间规划中</w:t>
      </w:r>
      <w:r>
        <w:rPr>
          <w:rFonts w:hint="eastAsia"/>
          <w:color w:val="000000" w:themeColor="text1"/>
          <w14:textFill>
            <w14:solidFill>
              <w14:schemeClr w14:val="tx1"/>
            </w14:solidFill>
          </w14:textFill>
        </w:rPr>
        <w:t>，对短期内建设目标、发展布局和主要建设项目的实施所做的安排。</w:t>
      </w:r>
    </w:p>
    <w:p w14:paraId="2FFDAF78">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（3）交通干线</w:t>
      </w:r>
    </w:p>
    <w:p w14:paraId="733DCF62">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高速公路、一级公路、二级公路、城市快速路、城市主干路、城市次干路、城市轨道交通线路（地面段）、内河航道。应根据铁路、交通、城市等规划确定。</w:t>
      </w:r>
    </w:p>
    <w:p w14:paraId="439E0853">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（4）区划单元</w:t>
      </w:r>
    </w:p>
    <w:p w14:paraId="52B104E6">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在区划工作中，由交通干线、河流、沟壑等明显线状地物和绿地等围成的城市结构、布局和环境状况相近的居、街委会或小区。</w:t>
      </w:r>
    </w:p>
    <w:p w14:paraId="6EC8F06F">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（5）用地类型</w:t>
      </w:r>
    </w:p>
    <w:p w14:paraId="1FA6F9DE">
      <w:pPr>
        <w:ind w:firstLine="471"/>
        <w:rPr>
          <w:rFonts w:hint="eastAsia"/>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Ⅰ</w:t>
      </w:r>
      <w:r>
        <w:rPr>
          <w:rFonts w:hint="eastAsia"/>
          <w:color w:val="000000" w:themeColor="text1"/>
          <w14:textFill>
            <w14:solidFill>
              <w14:schemeClr w14:val="tx1"/>
            </w14:solidFill>
          </w14:textFill>
        </w:rPr>
        <w:t>类用地包括《城市用地分类与规划建设用地标准》（GB</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50137-2011）中规定的居住用地（R类）、公园绿地（G1类）、行政办公用地（A1类）、文化设施用地（A2类）、教育科研用地（A3类）、医疗卫生用地（A5类）、社会福利设施用地（A6类）。</w:t>
      </w:r>
    </w:p>
    <w:p w14:paraId="363786A6">
      <w:pPr>
        <w:ind w:firstLine="471"/>
        <w:rPr>
          <w:rFonts w:hint="eastAsia"/>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Ⅱ</w:t>
      </w:r>
      <w:r>
        <w:rPr>
          <w:rFonts w:hint="eastAsia"/>
          <w:color w:val="000000" w:themeColor="text1"/>
          <w14:textFill>
            <w14:solidFill>
              <w14:schemeClr w14:val="tx1"/>
            </w14:solidFill>
          </w14:textFill>
        </w:rPr>
        <w:t>类用地包括《城市用地分类与规划建设用地标准》（GB</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50137-2011）中规定的工业用地（M类）和物流仓储用地（W类）。</w:t>
      </w:r>
    </w:p>
    <w:p w14:paraId="786D5C8C">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（6）交通干线边界线</w:t>
      </w:r>
    </w:p>
    <w:p w14:paraId="34CA24F1">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城市交通干线中各级市政道路与人行道的交界线，无人行道的高架道路地面投影边界，各级公路的边界线，铁路交通用地边界线，城市轨道交通用地边界线，内河航道的河堤护栏或地外坡角。</w:t>
      </w:r>
    </w:p>
    <w:p w14:paraId="29DB025B">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（7）临街建筑</w:t>
      </w:r>
    </w:p>
    <w:p w14:paraId="7ABADB27">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交通干线边界线外拟划定4类声环境功能区域范围内，面向道路的第一排建筑。</w:t>
      </w:r>
    </w:p>
    <w:p w14:paraId="5D81C042">
      <w:pPr>
        <w:pStyle w:val="3"/>
        <w:keepNext/>
        <w:keepLines/>
        <w:rPr>
          <w:color w:val="000000" w:themeColor="text1"/>
          <w:kern w:val="2"/>
          <w14:textFill>
            <w14:solidFill>
              <w14:schemeClr w14:val="tx1"/>
            </w14:solidFill>
          </w14:textFill>
        </w:rPr>
      </w:pPr>
      <w:bookmarkStart w:id="117" w:name="_Toc24249"/>
      <w:bookmarkStart w:id="118" w:name="_Toc24293"/>
      <w:bookmarkStart w:id="119" w:name="_Toc20795"/>
      <w:bookmarkStart w:id="120" w:name="_Toc11022"/>
      <w:r>
        <w:rPr>
          <w:color w:val="000000" w:themeColor="text1"/>
          <w:kern w:val="2"/>
          <w14:textFill>
            <w14:solidFill>
              <w14:schemeClr w14:val="tx1"/>
            </w14:solidFill>
          </w14:textFill>
        </w:rPr>
        <w:t>4.2</w:t>
      </w:r>
      <w:r>
        <w:rPr>
          <w:rFonts w:hint="eastAsia"/>
          <w:color w:val="000000" w:themeColor="text1"/>
          <w:kern w:val="2"/>
          <w:lang w:val="en-US" w:eastAsia="zh-CN"/>
          <w14:textFill>
            <w14:solidFill>
              <w14:schemeClr w14:val="tx1"/>
            </w14:solidFill>
          </w14:textFill>
        </w:rPr>
        <w:t xml:space="preserve"> </w:t>
      </w:r>
      <w:r>
        <w:rPr>
          <w:color w:val="000000" w:themeColor="text1"/>
          <w:kern w:val="2"/>
          <w14:textFill>
            <w14:solidFill>
              <w14:schemeClr w14:val="tx1"/>
            </w14:solidFill>
          </w14:textFill>
        </w:rPr>
        <w:t>区划的主要方法</w:t>
      </w:r>
      <w:bookmarkEnd w:id="117"/>
      <w:bookmarkEnd w:id="118"/>
      <w:bookmarkEnd w:id="119"/>
      <w:bookmarkEnd w:id="120"/>
    </w:p>
    <w:p w14:paraId="11269C98">
      <w:pPr>
        <w:pStyle w:val="4"/>
        <w:rPr>
          <w:rFonts w:hint="eastAsia"/>
          <w:color w:val="000000" w:themeColor="text1"/>
          <w14:textFill>
            <w14:solidFill>
              <w14:schemeClr w14:val="tx1"/>
            </w14:solidFill>
          </w14:textFill>
        </w:rPr>
      </w:pPr>
      <w:bookmarkStart w:id="121" w:name="_Toc4667"/>
      <w:r>
        <w:rPr>
          <w:rFonts w:hint="eastAsia"/>
          <w:color w:val="000000" w:themeColor="text1"/>
          <w14:textFill>
            <w14:solidFill>
              <w14:schemeClr w14:val="tx1"/>
            </w14:solidFill>
          </w14:textFill>
        </w:rPr>
        <w:t>4.2.1</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规划的划分次序</w:t>
      </w:r>
      <w:bookmarkEnd w:id="121"/>
    </w:p>
    <w:p w14:paraId="7565596A">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区划首先对0类、1类、3类声环境功能区确认划分，余下区域划分为2类声环境功能区，在此基础上划分4类声环境功能区。</w:t>
      </w:r>
    </w:p>
    <w:p w14:paraId="0A19F9DD">
      <w:pPr>
        <w:pStyle w:val="4"/>
        <w:rPr>
          <w:rFonts w:hint="eastAsia"/>
          <w:color w:val="000000" w:themeColor="text1"/>
          <w14:textFill>
            <w14:solidFill>
              <w14:schemeClr w14:val="tx1"/>
            </w14:solidFill>
          </w14:textFill>
        </w:rPr>
      </w:pPr>
      <w:bookmarkStart w:id="122" w:name="_Toc15858"/>
      <w:r>
        <w:rPr>
          <w:rFonts w:hint="eastAsia"/>
          <w:color w:val="000000" w:themeColor="text1"/>
          <w14:textFill>
            <w14:solidFill>
              <w14:schemeClr w14:val="tx1"/>
            </w14:solidFill>
          </w14:textFill>
        </w:rPr>
        <w:t>4.2.2</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0类声环境功能区划分</w:t>
      </w:r>
      <w:bookmarkEnd w:id="122"/>
    </w:p>
    <w:p w14:paraId="41DBE996">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0类声环境功能区适用于康复疗养区等特别需要安静的区域。该区域内及附近区域应无明显噪声源，区域界限明确。</w:t>
      </w:r>
    </w:p>
    <w:p w14:paraId="36723F7F">
      <w:pPr>
        <w:ind w:firstLine="471"/>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本次声环境功能区划分暂不划定0类声环境功能区。</w:t>
      </w:r>
    </w:p>
    <w:p w14:paraId="01ABB7D2">
      <w:pPr>
        <w:pStyle w:val="4"/>
        <w:rPr>
          <w:rFonts w:hint="eastAsia"/>
          <w:color w:val="000000" w:themeColor="text1"/>
          <w14:textFill>
            <w14:solidFill>
              <w14:schemeClr w14:val="tx1"/>
            </w14:solidFill>
          </w14:textFill>
        </w:rPr>
      </w:pPr>
      <w:bookmarkStart w:id="123" w:name="_Toc3847"/>
      <w:r>
        <w:rPr>
          <w:rFonts w:hint="eastAsia"/>
          <w:color w:val="000000" w:themeColor="text1"/>
          <w14:textFill>
            <w14:solidFill>
              <w14:schemeClr w14:val="tx1"/>
            </w14:solidFill>
          </w14:textFill>
        </w:rPr>
        <w:t>4.2.3</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1～3类声环境功能区划分</w:t>
      </w:r>
      <w:bookmarkEnd w:id="123"/>
    </w:p>
    <w:p w14:paraId="0758DF53">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（1）符合下列条件之一的划为1类声环境功能区：</w:t>
      </w:r>
    </w:p>
    <w:p w14:paraId="705E3F06">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①城市用地现状已形成一定规模或近期规划已明确主要功能的区域，其用地性质符合“1类声环境功能区：指以居民住宅、医疗卫生、文化教育、科研设计、行政办公为主要功能，需保持安静的区域”规定的区域；</w:t>
      </w:r>
    </w:p>
    <w:p w14:paraId="7E3CECE5">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②</w:t>
      </w:r>
      <w:r>
        <w:rPr>
          <w:rFonts w:hint="default"/>
          <w:color w:val="000000" w:themeColor="text1"/>
          <w14:textFill>
            <w14:solidFill>
              <w14:schemeClr w14:val="tx1"/>
            </w14:solidFill>
          </w14:textFill>
        </w:rPr>
        <w:t>Ⅰ</w:t>
      </w:r>
      <w:r>
        <w:rPr>
          <w:rFonts w:hint="eastAsia"/>
          <w:color w:val="000000" w:themeColor="text1"/>
          <w14:textFill>
            <w14:solidFill>
              <w14:schemeClr w14:val="tx1"/>
            </w14:solidFill>
          </w14:textFill>
        </w:rPr>
        <w:t>类用地占地率大于70%（含70%）的混合用地区域。</w:t>
      </w:r>
    </w:p>
    <w:p w14:paraId="579F7BBA">
      <w:pPr>
        <w:numPr>
          <w:ilvl w:val="0"/>
          <w:numId w:val="0"/>
        </w:numPr>
        <w:ind w:firstLine="472" w:firstLineChars="200"/>
        <w:rPr>
          <w:rFonts w:hint="eastAsia"/>
          <w:color w:val="000000" w:themeColor="text1"/>
          <w14:textFill>
            <w14:solidFill>
              <w14:schemeClr w14:val="tx1"/>
            </w14:solidFill>
          </w14:textFill>
        </w:rPr>
      </w:pPr>
      <w:r>
        <w:rPr>
          <w:rFonts w:hint="eastAsia"/>
          <w:color w:val="000000" w:themeColor="text1"/>
          <w:kern w:val="2"/>
          <w:sz w:val="24"/>
          <w:szCs w:val="24"/>
          <w:lang w:val="en-US" w:eastAsia="zh-CN" w:bidi="ar-SA"/>
          <w14:textFill>
            <w14:solidFill>
              <w14:schemeClr w14:val="tx1"/>
            </w14:solidFill>
          </w14:textFill>
        </w:rPr>
        <w:t>③</w:t>
      </w:r>
      <w:r>
        <w:rPr>
          <w:rFonts w:hint="eastAsia"/>
          <w:color w:val="000000" w:themeColor="text1"/>
          <w14:textFill>
            <w14:solidFill>
              <w14:schemeClr w14:val="tx1"/>
            </w14:solidFill>
          </w14:textFill>
        </w:rPr>
        <w:t>大型公园、风景名胜区和旅游度假区等区划为</w:t>
      </w: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类标准适用区域。</w:t>
      </w:r>
    </w:p>
    <w:p w14:paraId="200507FC">
      <w:pPr>
        <w:ind w:firstLine="471"/>
        <w:rPr>
          <w:rFonts w:hint="eastAsia"/>
          <w:color w:val="000000" w:themeColor="text1"/>
          <w14:textFill>
            <w14:solidFill>
              <w14:schemeClr w14:val="tx1"/>
            </w14:solidFill>
          </w14:textFill>
        </w:rPr>
      </w:pPr>
    </w:p>
    <w:p w14:paraId="11F156A2">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（2）符合下列条件之一的划为2类声环境功能区：</w:t>
      </w:r>
    </w:p>
    <w:p w14:paraId="5A81AB7A">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①城市用地现状已形成一定规模或近期规划已明确主要功能的区域，其用地性质符合“2类声环境功能区：指以商业金融、集市贸易为主要功能，或者居住、商业、工业混杂，需要维护住宅安静的区域”规定的区域；</w:t>
      </w:r>
    </w:p>
    <w:p w14:paraId="6DFAD82B">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②划定的0、1、3类声环境功能区以外居住、商业、工业混杂区域。</w:t>
      </w:r>
    </w:p>
    <w:p w14:paraId="1CF24169">
      <w:pPr>
        <w:ind w:firstLine="471"/>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（3）符合下列条件之一的划为3类声环境功能区：</w:t>
      </w:r>
    </w:p>
    <w:p w14:paraId="415F1869">
      <w:pPr>
        <w:ind w:firstLine="471"/>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①城市用地现状已形成一定规模或近期规划已明确主要功能的区域，其用地性质符合“3类声环境功能区：指以工业生产、仓储物流为主要功能，需要防止工业噪声对周围环境产生严重影响的区域”规定的区域；</w:t>
      </w:r>
    </w:p>
    <w:p w14:paraId="746C8B1B">
      <w:pPr>
        <w:ind w:firstLine="471"/>
        <w:rPr>
          <w:rFonts w:hint="eastAsia"/>
          <w:color w:val="000000" w:themeColor="text1"/>
          <w14:textFill>
            <w14:solidFill>
              <w14:schemeClr w14:val="tx1"/>
            </w14:solidFill>
          </w14:textFill>
        </w:rPr>
      </w:pPr>
      <w:r>
        <w:rPr>
          <w:rFonts w:hint="eastAsia"/>
          <w:color w:val="000000" w:themeColor="text1"/>
          <w:highlight w:val="none"/>
          <w14:textFill>
            <w14:solidFill>
              <w14:schemeClr w14:val="tx1"/>
            </w14:solidFill>
          </w14:textFill>
        </w:rPr>
        <w:t>②Ⅱ类用地占地率大于70%（含70%）的混合用地区域</w:t>
      </w:r>
      <w:r>
        <w:rPr>
          <w:rFonts w:hint="eastAsia"/>
          <w:color w:val="000000" w:themeColor="text1"/>
          <w14:textFill>
            <w14:solidFill>
              <w14:schemeClr w14:val="tx1"/>
            </w14:solidFill>
          </w14:textFill>
        </w:rPr>
        <w:t>。</w:t>
      </w:r>
    </w:p>
    <w:p w14:paraId="5FF0A14C">
      <w:pPr>
        <w:pStyle w:val="4"/>
        <w:rPr>
          <w:rFonts w:hint="eastAsia"/>
          <w:color w:val="000000" w:themeColor="text1"/>
          <w14:textFill>
            <w14:solidFill>
              <w14:schemeClr w14:val="tx1"/>
            </w14:solidFill>
          </w14:textFill>
        </w:rPr>
      </w:pPr>
      <w:bookmarkStart w:id="124" w:name="_Toc27213"/>
      <w:r>
        <w:rPr>
          <w:rFonts w:hint="eastAsia"/>
          <w:color w:val="000000" w:themeColor="text1"/>
          <w14:textFill>
            <w14:solidFill>
              <w14:schemeClr w14:val="tx1"/>
            </w14:solidFill>
          </w14:textFill>
        </w:rPr>
        <w:t>4.2.4</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一般情况4类声环境功能区划分</w:t>
      </w:r>
      <w:bookmarkEnd w:id="124"/>
    </w:p>
    <w:p w14:paraId="515B9E2B">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类功能区的划分主要以交通干线边界线外一定区域范围为划分的基本依据。交通干线包括：铁路（铁路专用线除外）、高速公路、一级公路、二级公路、城市快速路、城市主干路、城市次干路、城市轨道交通线路（地面段）、内河航道。应根据铁路、交通、城市等规划确定。各类交通干线类型的定义见表4-2。</w:t>
      </w:r>
    </w:p>
    <w:p w14:paraId="7DEBCB26">
      <w:pPr>
        <w:pStyle w:val="31"/>
        <w:rPr>
          <w:color w:val="000000" w:themeColor="text1"/>
          <w14:textFill>
            <w14:solidFill>
              <w14:schemeClr w14:val="tx1"/>
            </w14:solidFill>
          </w14:textFill>
        </w:rPr>
      </w:pPr>
      <w:r>
        <w:rPr>
          <w:color w:val="000000" w:themeColor="text1"/>
          <w14:textFill>
            <w14:solidFill>
              <w14:schemeClr w14:val="tx1"/>
            </w14:solidFill>
          </w14:textFill>
        </w:rPr>
        <w:t>表4-2</w:t>
      </w:r>
      <w:r>
        <w:rPr>
          <w:rFonts w:hint="eastAsia"/>
          <w:color w:val="000000" w:themeColor="text1"/>
          <w:lang w:val="en-US" w:eastAsia="zh-CN"/>
          <w14:textFill>
            <w14:solidFill>
              <w14:schemeClr w14:val="tx1"/>
            </w14:solidFill>
          </w14:textFill>
        </w:rPr>
        <w:t xml:space="preserve">  </w:t>
      </w:r>
      <w:r>
        <w:rPr>
          <w:color w:val="000000" w:themeColor="text1"/>
          <w14:textFill>
            <w14:solidFill>
              <w14:schemeClr w14:val="tx1"/>
            </w14:solidFill>
          </w14:textFill>
        </w:rPr>
        <w:t>各类交通干线的定义</w:t>
      </w:r>
    </w:p>
    <w:tbl>
      <w:tblPr>
        <w:tblStyle w:val="19"/>
        <w:tblW w:w="504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90"/>
        <w:gridCol w:w="5089"/>
        <w:gridCol w:w="2197"/>
      </w:tblGrid>
      <w:tr w14:paraId="2CE90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blHeader/>
        </w:trPr>
        <w:tc>
          <w:tcPr>
            <w:tcW w:w="650" w:type="pct"/>
            <w:noWrap w:val="0"/>
            <w:vAlign w:val="center"/>
          </w:tcPr>
          <w:p w14:paraId="2EAD5882">
            <w:pPr>
              <w:pStyle w:val="30"/>
              <w:spacing w:line="288" w:lineRule="auto"/>
              <w:rPr>
                <w:rFonts w:hint="eastAsia" w:ascii="宋体" w:hAnsi="宋体" w:eastAsia="宋体" w:cs="宋体"/>
                <w:b w:val="0"/>
                <w:bCs w:val="0"/>
                <w:color w:val="000000" w:themeColor="text1"/>
                <w:kern w:val="21"/>
                <w14:textFill>
                  <w14:solidFill>
                    <w14:schemeClr w14:val="tx1"/>
                  </w14:solidFill>
                </w14:textFill>
              </w:rPr>
            </w:pPr>
            <w:r>
              <w:rPr>
                <w:rFonts w:hint="eastAsia" w:ascii="宋体" w:hAnsi="宋体" w:eastAsia="宋体" w:cs="宋体"/>
                <w:b w:val="0"/>
                <w:bCs w:val="0"/>
                <w:color w:val="000000" w:themeColor="text1"/>
                <w:kern w:val="21"/>
                <w14:textFill>
                  <w14:solidFill>
                    <w14:schemeClr w14:val="tx1"/>
                  </w14:solidFill>
                </w14:textFill>
              </w:rPr>
              <w:t>道路类型</w:t>
            </w:r>
          </w:p>
        </w:tc>
        <w:tc>
          <w:tcPr>
            <w:tcW w:w="3037" w:type="pct"/>
            <w:noWrap w:val="0"/>
            <w:vAlign w:val="center"/>
          </w:tcPr>
          <w:p w14:paraId="063395CC">
            <w:pPr>
              <w:pStyle w:val="30"/>
              <w:spacing w:line="288" w:lineRule="auto"/>
              <w:rPr>
                <w:rFonts w:hint="eastAsia" w:ascii="宋体" w:hAnsi="宋体" w:eastAsia="宋体" w:cs="宋体"/>
                <w:b w:val="0"/>
                <w:bCs w:val="0"/>
                <w:color w:val="000000" w:themeColor="text1"/>
                <w:kern w:val="21"/>
                <w14:textFill>
                  <w14:solidFill>
                    <w14:schemeClr w14:val="tx1"/>
                  </w14:solidFill>
                </w14:textFill>
              </w:rPr>
            </w:pPr>
            <w:r>
              <w:rPr>
                <w:rFonts w:hint="eastAsia" w:ascii="宋体" w:hAnsi="宋体" w:eastAsia="宋体" w:cs="宋体"/>
                <w:b w:val="0"/>
                <w:bCs w:val="0"/>
                <w:color w:val="000000" w:themeColor="text1"/>
                <w:kern w:val="21"/>
                <w14:textFill>
                  <w14:solidFill>
                    <w14:schemeClr w14:val="tx1"/>
                  </w14:solidFill>
                </w14:textFill>
              </w:rPr>
              <w:t>具体定义</w:t>
            </w:r>
          </w:p>
        </w:tc>
        <w:tc>
          <w:tcPr>
            <w:tcW w:w="1311" w:type="pct"/>
            <w:noWrap w:val="0"/>
            <w:vAlign w:val="center"/>
          </w:tcPr>
          <w:p w14:paraId="0938E570">
            <w:pPr>
              <w:pStyle w:val="30"/>
              <w:spacing w:line="288" w:lineRule="auto"/>
              <w:rPr>
                <w:rFonts w:hint="eastAsia" w:ascii="宋体" w:hAnsi="宋体" w:eastAsia="宋体" w:cs="宋体"/>
                <w:b w:val="0"/>
                <w:bCs w:val="0"/>
                <w:color w:val="000000" w:themeColor="text1"/>
                <w:kern w:val="21"/>
                <w14:textFill>
                  <w14:solidFill>
                    <w14:schemeClr w14:val="tx1"/>
                  </w14:solidFill>
                </w14:textFill>
              </w:rPr>
            </w:pPr>
            <w:r>
              <w:rPr>
                <w:rFonts w:hint="eastAsia" w:ascii="宋体" w:hAnsi="宋体" w:eastAsia="宋体" w:cs="宋体"/>
                <w:b w:val="0"/>
                <w:bCs w:val="0"/>
                <w:color w:val="000000" w:themeColor="text1"/>
                <w:kern w:val="21"/>
                <w14:textFill>
                  <w14:solidFill>
                    <w14:schemeClr w14:val="tx1"/>
                  </w14:solidFill>
                </w14:textFill>
              </w:rPr>
              <w:t>备注</w:t>
            </w:r>
          </w:p>
        </w:tc>
      </w:tr>
      <w:tr w14:paraId="6495A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50" w:type="pct"/>
            <w:noWrap w:val="0"/>
            <w:vAlign w:val="center"/>
          </w:tcPr>
          <w:p w14:paraId="3DDB390B">
            <w:pPr>
              <w:spacing w:line="288" w:lineRule="auto"/>
              <w:ind w:firstLine="0" w:firstLineChars="0"/>
              <w:jc w:val="center"/>
              <w:rPr>
                <w:rFonts w:ascii="宋体" w:hAnsi="宋体" w:cs="宋体"/>
                <w:color w:val="000000" w:themeColor="text1"/>
                <w:kern w:val="21"/>
                <w:sz w:val="21"/>
                <w:szCs w:val="21"/>
                <w14:textFill>
                  <w14:solidFill>
                    <w14:schemeClr w14:val="tx1"/>
                  </w14:solidFill>
                </w14:textFill>
              </w:rPr>
            </w:pPr>
            <w:r>
              <w:rPr>
                <w:rFonts w:ascii="宋体" w:hAnsi="宋体" w:cs="宋体"/>
                <w:color w:val="000000" w:themeColor="text1"/>
                <w:kern w:val="21"/>
                <w:sz w:val="21"/>
                <w:szCs w:val="21"/>
                <w14:textFill>
                  <w14:solidFill>
                    <w14:schemeClr w14:val="tx1"/>
                  </w14:solidFill>
                </w14:textFill>
              </w:rPr>
              <w:t>铁路</w:t>
            </w:r>
          </w:p>
        </w:tc>
        <w:tc>
          <w:tcPr>
            <w:tcW w:w="3037" w:type="pct"/>
            <w:noWrap w:val="0"/>
            <w:vAlign w:val="center"/>
          </w:tcPr>
          <w:p w14:paraId="6EBD1DC7">
            <w:pPr>
              <w:pStyle w:val="29"/>
              <w:spacing w:line="288" w:lineRule="auto"/>
              <w:jc w:val="both"/>
              <w:rPr>
                <w:color w:val="000000" w:themeColor="text1"/>
                <w:kern w:val="21"/>
                <w14:textFill>
                  <w14:solidFill>
                    <w14:schemeClr w14:val="tx1"/>
                  </w14:solidFill>
                </w14:textFill>
              </w:rPr>
            </w:pPr>
            <w:r>
              <w:rPr>
                <w:color w:val="000000" w:themeColor="text1"/>
                <w:kern w:val="21"/>
                <w14:textFill>
                  <w14:solidFill>
                    <w14:schemeClr w14:val="tx1"/>
                  </w14:solidFill>
                </w14:textFill>
              </w:rPr>
              <w:t>以动力集中方式或动力分散方式牵引，行驶于固定钢轨线路上的客货运输系统</w:t>
            </w:r>
          </w:p>
        </w:tc>
        <w:tc>
          <w:tcPr>
            <w:tcW w:w="1311" w:type="pct"/>
            <w:noWrap w:val="0"/>
            <w:vAlign w:val="center"/>
          </w:tcPr>
          <w:p w14:paraId="4870C0D9">
            <w:pPr>
              <w:spacing w:line="288" w:lineRule="auto"/>
              <w:ind w:firstLine="0" w:firstLineChars="0"/>
              <w:jc w:val="center"/>
              <w:rPr>
                <w:rFonts w:eastAsia="Times New Roman"/>
                <w:color w:val="000000" w:themeColor="text1"/>
                <w:kern w:val="21"/>
                <w:sz w:val="21"/>
                <w:szCs w:val="21"/>
                <w14:textFill>
                  <w14:solidFill>
                    <w14:schemeClr w14:val="tx1"/>
                  </w14:solidFill>
                </w14:textFill>
              </w:rPr>
            </w:pPr>
            <w:r>
              <w:rPr>
                <w:rFonts w:eastAsia="Times New Roman"/>
                <w:color w:val="000000" w:themeColor="text1"/>
                <w:kern w:val="21"/>
                <w:sz w:val="21"/>
                <w:szCs w:val="21"/>
                <w14:textFill>
                  <w14:solidFill>
                    <w14:schemeClr w14:val="tx1"/>
                  </w14:solidFill>
                </w14:textFill>
              </w:rPr>
              <w:t>/</w:t>
            </w:r>
          </w:p>
        </w:tc>
      </w:tr>
      <w:tr w14:paraId="4314A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50" w:type="pct"/>
            <w:noWrap w:val="0"/>
            <w:vAlign w:val="center"/>
          </w:tcPr>
          <w:p w14:paraId="38BD5A43">
            <w:pPr>
              <w:spacing w:line="288" w:lineRule="auto"/>
              <w:ind w:firstLine="0" w:firstLineChars="0"/>
              <w:jc w:val="center"/>
              <w:rPr>
                <w:rFonts w:ascii="宋体" w:hAnsi="宋体" w:cs="宋体"/>
                <w:color w:val="000000" w:themeColor="text1"/>
                <w:kern w:val="21"/>
                <w:sz w:val="21"/>
                <w:szCs w:val="21"/>
                <w14:textFill>
                  <w14:solidFill>
                    <w14:schemeClr w14:val="tx1"/>
                  </w14:solidFill>
                </w14:textFill>
              </w:rPr>
            </w:pPr>
            <w:r>
              <w:rPr>
                <w:rFonts w:ascii="宋体" w:hAnsi="宋体" w:cs="宋体"/>
                <w:color w:val="000000" w:themeColor="text1"/>
                <w:kern w:val="21"/>
                <w:sz w:val="21"/>
                <w:szCs w:val="21"/>
                <w14:textFill>
                  <w14:solidFill>
                    <w14:schemeClr w14:val="tx1"/>
                  </w14:solidFill>
                </w14:textFill>
              </w:rPr>
              <w:t>高速公路</w:t>
            </w:r>
          </w:p>
        </w:tc>
        <w:tc>
          <w:tcPr>
            <w:tcW w:w="3037" w:type="pct"/>
            <w:noWrap w:val="0"/>
            <w:vAlign w:val="center"/>
          </w:tcPr>
          <w:p w14:paraId="6B89E788">
            <w:pPr>
              <w:pStyle w:val="29"/>
              <w:spacing w:line="288" w:lineRule="auto"/>
              <w:jc w:val="both"/>
              <w:rPr>
                <w:color w:val="000000" w:themeColor="text1"/>
                <w:kern w:val="21"/>
                <w14:textFill>
                  <w14:solidFill>
                    <w14:schemeClr w14:val="tx1"/>
                  </w14:solidFill>
                </w14:textFill>
              </w:rPr>
            </w:pPr>
            <w:r>
              <w:rPr>
                <w:color w:val="000000" w:themeColor="text1"/>
                <w:kern w:val="21"/>
                <w14:textFill>
                  <w14:solidFill>
                    <w14:schemeClr w14:val="tx1"/>
                  </w14:solidFill>
                </w14:textFill>
              </w:rPr>
              <w:t>专供汽车分向、分车道行驶，并应全部控制出入的多车道公路，其中：四车道高速公路应能适应将各种汽车折合成小客车的年平均日交通量25000～55000辆；六车道高速公路应能适应将各种汽车折合成小客车的年平均日交通量45000～80000辆；八车道高速公路应能适应将各种汽车折合成小客车的年平均日交通量60000～100000辆。</w:t>
            </w:r>
          </w:p>
        </w:tc>
        <w:tc>
          <w:tcPr>
            <w:tcW w:w="1311" w:type="pct"/>
            <w:noWrap w:val="0"/>
            <w:vAlign w:val="center"/>
          </w:tcPr>
          <w:p w14:paraId="33EB74EB">
            <w:pPr>
              <w:spacing w:line="288" w:lineRule="auto"/>
              <w:ind w:firstLine="0" w:firstLineChars="0"/>
              <w:jc w:val="center"/>
              <w:rPr>
                <w:rFonts w:eastAsia="Times New Roman"/>
                <w:color w:val="000000" w:themeColor="text1"/>
                <w:kern w:val="21"/>
                <w:sz w:val="21"/>
                <w:szCs w:val="21"/>
                <w14:textFill>
                  <w14:solidFill>
                    <w14:schemeClr w14:val="tx1"/>
                  </w14:solidFill>
                </w14:textFill>
              </w:rPr>
            </w:pPr>
            <w:r>
              <w:rPr>
                <w:rFonts w:hint="eastAsia" w:ascii="宋体"/>
                <w:color w:val="000000" w:themeColor="text1"/>
                <w:kern w:val="21"/>
                <w:sz w:val="21"/>
                <w14:textFill>
                  <w14:solidFill>
                    <w14:schemeClr w14:val="tx1"/>
                  </w14:solidFill>
                </w14:textFill>
              </w:rPr>
              <w:t>《公路工程技术标准》（</w:t>
            </w:r>
            <w:r>
              <w:rPr>
                <w:rFonts w:eastAsia="Times New Roman"/>
                <w:color w:val="000000" w:themeColor="text1"/>
                <w:kern w:val="21"/>
                <w:sz w:val="21"/>
                <w:szCs w:val="21"/>
                <w14:textFill>
                  <w14:solidFill>
                    <w14:schemeClr w14:val="tx1"/>
                  </w14:solidFill>
                </w14:textFill>
              </w:rPr>
              <w:t>JTG</w:t>
            </w:r>
            <w:r>
              <w:rPr>
                <w:rFonts w:hint="eastAsia" w:eastAsia="宋体"/>
                <w:color w:val="000000" w:themeColor="text1"/>
                <w:kern w:val="21"/>
                <w:sz w:val="21"/>
                <w:szCs w:val="21"/>
                <w:lang w:val="en-US" w:eastAsia="zh-CN"/>
                <w14:textFill>
                  <w14:solidFill>
                    <w14:schemeClr w14:val="tx1"/>
                  </w14:solidFill>
                </w14:textFill>
              </w:rPr>
              <w:t xml:space="preserve"> </w:t>
            </w:r>
            <w:r>
              <w:rPr>
                <w:rFonts w:eastAsia="Times New Roman"/>
                <w:color w:val="000000" w:themeColor="text1"/>
                <w:kern w:val="21"/>
                <w:sz w:val="21"/>
                <w:szCs w:val="21"/>
                <w14:textFill>
                  <w14:solidFill>
                    <w14:schemeClr w14:val="tx1"/>
                  </w14:solidFill>
                </w14:textFill>
              </w:rPr>
              <w:t>B01</w:t>
            </w:r>
            <w:r>
              <w:rPr>
                <w:rFonts w:hint="eastAsia"/>
                <w:color w:val="000000" w:themeColor="text1"/>
                <w:kern w:val="21"/>
                <w:sz w:val="21"/>
                <w:szCs w:val="21"/>
                <w14:textFill>
                  <w14:solidFill>
                    <w14:schemeClr w14:val="tx1"/>
                  </w14:solidFill>
                </w14:textFill>
              </w:rPr>
              <w:t>-2014</w:t>
            </w:r>
            <w:r>
              <w:rPr>
                <w:rFonts w:hint="eastAsia" w:ascii="宋体"/>
                <w:color w:val="000000" w:themeColor="text1"/>
                <w:kern w:val="21"/>
                <w:sz w:val="21"/>
                <w14:textFill>
                  <w14:solidFill>
                    <w14:schemeClr w14:val="tx1"/>
                  </w14:solidFill>
                </w14:textFill>
              </w:rPr>
              <w:t>）</w:t>
            </w:r>
          </w:p>
        </w:tc>
      </w:tr>
      <w:tr w14:paraId="7C4946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50" w:type="pct"/>
            <w:noWrap w:val="0"/>
            <w:vAlign w:val="center"/>
          </w:tcPr>
          <w:p w14:paraId="55974099">
            <w:pPr>
              <w:spacing w:line="288" w:lineRule="auto"/>
              <w:ind w:firstLine="0" w:firstLineChars="0"/>
              <w:jc w:val="center"/>
              <w:rPr>
                <w:rFonts w:ascii="宋体" w:hAnsi="宋体" w:cs="宋体"/>
                <w:color w:val="000000" w:themeColor="text1"/>
                <w:kern w:val="21"/>
                <w:sz w:val="21"/>
                <w:szCs w:val="21"/>
                <w14:textFill>
                  <w14:solidFill>
                    <w14:schemeClr w14:val="tx1"/>
                  </w14:solidFill>
                </w14:textFill>
              </w:rPr>
            </w:pPr>
            <w:r>
              <w:rPr>
                <w:rFonts w:ascii="宋体" w:hAnsi="宋体" w:cs="宋体"/>
                <w:color w:val="000000" w:themeColor="text1"/>
                <w:kern w:val="21"/>
                <w:sz w:val="21"/>
                <w:szCs w:val="21"/>
                <w14:textFill>
                  <w14:solidFill>
                    <w14:schemeClr w14:val="tx1"/>
                  </w14:solidFill>
                </w14:textFill>
              </w:rPr>
              <w:t>一级公路</w:t>
            </w:r>
          </w:p>
        </w:tc>
        <w:tc>
          <w:tcPr>
            <w:tcW w:w="3037" w:type="pct"/>
            <w:noWrap w:val="0"/>
            <w:vAlign w:val="center"/>
          </w:tcPr>
          <w:p w14:paraId="7ED531C1">
            <w:pPr>
              <w:pStyle w:val="29"/>
              <w:spacing w:line="288" w:lineRule="auto"/>
              <w:jc w:val="both"/>
              <w:rPr>
                <w:color w:val="000000" w:themeColor="text1"/>
                <w:kern w:val="21"/>
                <w14:textFill>
                  <w14:solidFill>
                    <w14:schemeClr w14:val="tx1"/>
                  </w14:solidFill>
                </w14:textFill>
              </w:rPr>
            </w:pPr>
            <w:r>
              <w:rPr>
                <w:color w:val="000000" w:themeColor="text1"/>
                <w:kern w:val="21"/>
                <w14:textFill>
                  <w14:solidFill>
                    <w14:schemeClr w14:val="tx1"/>
                  </w14:solidFill>
                </w14:textFill>
              </w:rPr>
              <w:t>供汽车分向、分车道行驶，并可根据需要控制出入的多车道公路，其中：四车道一级公路应能适应将各种汽车折合成小客车的年平均日交通量15000～30000辆；六车道一级公路应能适应将各种汽车折合成小客车的年平均日交通量25000～55000辆。</w:t>
            </w:r>
          </w:p>
        </w:tc>
        <w:tc>
          <w:tcPr>
            <w:tcW w:w="1311" w:type="pct"/>
            <w:noWrap w:val="0"/>
            <w:vAlign w:val="center"/>
          </w:tcPr>
          <w:p w14:paraId="1B802393">
            <w:pPr>
              <w:spacing w:line="288" w:lineRule="auto"/>
              <w:ind w:firstLine="0" w:firstLineChars="0"/>
              <w:jc w:val="center"/>
              <w:rPr>
                <w:rFonts w:eastAsia="Times New Roman"/>
                <w:color w:val="000000" w:themeColor="text1"/>
                <w:kern w:val="21"/>
                <w:sz w:val="21"/>
                <w:szCs w:val="21"/>
                <w14:textFill>
                  <w14:solidFill>
                    <w14:schemeClr w14:val="tx1"/>
                  </w14:solidFill>
                </w14:textFill>
              </w:rPr>
            </w:pPr>
            <w:r>
              <w:rPr>
                <w:rFonts w:hint="eastAsia" w:ascii="宋体"/>
                <w:color w:val="000000" w:themeColor="text1"/>
                <w:kern w:val="21"/>
                <w:sz w:val="21"/>
                <w14:textFill>
                  <w14:solidFill>
                    <w14:schemeClr w14:val="tx1"/>
                  </w14:solidFill>
                </w14:textFill>
              </w:rPr>
              <w:t>《公路工程技术标准》（</w:t>
            </w:r>
            <w:r>
              <w:rPr>
                <w:rFonts w:eastAsia="Times New Roman"/>
                <w:color w:val="000000" w:themeColor="text1"/>
                <w:kern w:val="21"/>
                <w:sz w:val="21"/>
                <w:szCs w:val="21"/>
                <w14:textFill>
                  <w14:solidFill>
                    <w14:schemeClr w14:val="tx1"/>
                  </w14:solidFill>
                </w14:textFill>
              </w:rPr>
              <w:t>JTG</w:t>
            </w:r>
            <w:r>
              <w:rPr>
                <w:rFonts w:hint="eastAsia" w:eastAsia="宋体"/>
                <w:color w:val="000000" w:themeColor="text1"/>
                <w:kern w:val="21"/>
                <w:sz w:val="21"/>
                <w:szCs w:val="21"/>
                <w:lang w:val="en-US" w:eastAsia="zh-CN"/>
                <w14:textFill>
                  <w14:solidFill>
                    <w14:schemeClr w14:val="tx1"/>
                  </w14:solidFill>
                </w14:textFill>
              </w:rPr>
              <w:t xml:space="preserve"> </w:t>
            </w:r>
            <w:r>
              <w:rPr>
                <w:rFonts w:eastAsia="Times New Roman"/>
                <w:color w:val="000000" w:themeColor="text1"/>
                <w:kern w:val="21"/>
                <w:sz w:val="21"/>
                <w:szCs w:val="21"/>
                <w14:textFill>
                  <w14:solidFill>
                    <w14:schemeClr w14:val="tx1"/>
                  </w14:solidFill>
                </w14:textFill>
              </w:rPr>
              <w:t>B01</w:t>
            </w:r>
            <w:r>
              <w:rPr>
                <w:rFonts w:hint="eastAsia"/>
                <w:color w:val="000000" w:themeColor="text1"/>
                <w:kern w:val="21"/>
                <w:sz w:val="21"/>
                <w:szCs w:val="21"/>
                <w14:textFill>
                  <w14:solidFill>
                    <w14:schemeClr w14:val="tx1"/>
                  </w14:solidFill>
                </w14:textFill>
              </w:rPr>
              <w:t>-2014</w:t>
            </w:r>
            <w:r>
              <w:rPr>
                <w:rFonts w:hint="eastAsia" w:ascii="宋体"/>
                <w:color w:val="000000" w:themeColor="text1"/>
                <w:kern w:val="21"/>
                <w:sz w:val="21"/>
                <w14:textFill>
                  <w14:solidFill>
                    <w14:schemeClr w14:val="tx1"/>
                  </w14:solidFill>
                </w14:textFill>
              </w:rPr>
              <w:t>）</w:t>
            </w:r>
          </w:p>
        </w:tc>
      </w:tr>
      <w:tr w14:paraId="5A1AA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50" w:type="pct"/>
            <w:noWrap w:val="0"/>
            <w:vAlign w:val="center"/>
          </w:tcPr>
          <w:p w14:paraId="7B205648">
            <w:pPr>
              <w:spacing w:line="288" w:lineRule="auto"/>
              <w:ind w:firstLine="0" w:firstLineChars="0"/>
              <w:jc w:val="center"/>
              <w:rPr>
                <w:rFonts w:ascii="宋体" w:hAnsi="宋体" w:cs="宋体"/>
                <w:color w:val="000000" w:themeColor="text1"/>
                <w:kern w:val="21"/>
                <w:sz w:val="21"/>
                <w:szCs w:val="21"/>
                <w14:textFill>
                  <w14:solidFill>
                    <w14:schemeClr w14:val="tx1"/>
                  </w14:solidFill>
                </w14:textFill>
              </w:rPr>
            </w:pPr>
            <w:r>
              <w:rPr>
                <w:rFonts w:ascii="宋体" w:hAnsi="宋体" w:cs="宋体"/>
                <w:color w:val="000000" w:themeColor="text1"/>
                <w:kern w:val="21"/>
                <w:sz w:val="21"/>
                <w:szCs w:val="21"/>
                <w14:textFill>
                  <w14:solidFill>
                    <w14:schemeClr w14:val="tx1"/>
                  </w14:solidFill>
                </w14:textFill>
              </w:rPr>
              <w:t>二级公路</w:t>
            </w:r>
          </w:p>
        </w:tc>
        <w:tc>
          <w:tcPr>
            <w:tcW w:w="3037" w:type="pct"/>
            <w:noWrap w:val="0"/>
            <w:vAlign w:val="center"/>
          </w:tcPr>
          <w:p w14:paraId="6FA7492C">
            <w:pPr>
              <w:pStyle w:val="29"/>
              <w:spacing w:line="288" w:lineRule="auto"/>
              <w:jc w:val="both"/>
              <w:rPr>
                <w:color w:val="000000" w:themeColor="text1"/>
                <w:kern w:val="21"/>
                <w14:textFill>
                  <w14:solidFill>
                    <w14:schemeClr w14:val="tx1"/>
                  </w14:solidFill>
                </w14:textFill>
              </w:rPr>
            </w:pPr>
            <w:r>
              <w:rPr>
                <w:color w:val="000000" w:themeColor="text1"/>
                <w:kern w:val="21"/>
                <w14:textFill>
                  <w14:solidFill>
                    <w14:schemeClr w14:val="tx1"/>
                  </w14:solidFill>
                </w14:textFill>
              </w:rPr>
              <w:t>供汽车行驶的双车道公路。双车道二级公路应能适应将各种汽车折合成小客车的年平均日交通量5000～15000辆。</w:t>
            </w:r>
          </w:p>
        </w:tc>
        <w:tc>
          <w:tcPr>
            <w:tcW w:w="1311" w:type="pct"/>
            <w:noWrap w:val="0"/>
            <w:vAlign w:val="center"/>
          </w:tcPr>
          <w:p w14:paraId="1647416F">
            <w:pPr>
              <w:spacing w:line="288" w:lineRule="auto"/>
              <w:ind w:firstLine="0" w:firstLineChars="0"/>
              <w:jc w:val="center"/>
              <w:rPr>
                <w:rFonts w:eastAsia="Times New Roman"/>
                <w:color w:val="000000" w:themeColor="text1"/>
                <w:kern w:val="21"/>
                <w:sz w:val="21"/>
                <w:szCs w:val="21"/>
                <w14:textFill>
                  <w14:solidFill>
                    <w14:schemeClr w14:val="tx1"/>
                  </w14:solidFill>
                </w14:textFill>
              </w:rPr>
            </w:pPr>
            <w:r>
              <w:rPr>
                <w:rFonts w:hint="eastAsia" w:ascii="宋体"/>
                <w:color w:val="000000" w:themeColor="text1"/>
                <w:kern w:val="21"/>
                <w:sz w:val="21"/>
                <w14:textFill>
                  <w14:solidFill>
                    <w14:schemeClr w14:val="tx1"/>
                  </w14:solidFill>
                </w14:textFill>
              </w:rPr>
              <w:t>《公路工程技术标准》（</w:t>
            </w:r>
            <w:r>
              <w:rPr>
                <w:rFonts w:eastAsia="Times New Roman"/>
                <w:color w:val="000000" w:themeColor="text1"/>
                <w:kern w:val="21"/>
                <w:sz w:val="21"/>
                <w:szCs w:val="21"/>
                <w14:textFill>
                  <w14:solidFill>
                    <w14:schemeClr w14:val="tx1"/>
                  </w14:solidFill>
                </w14:textFill>
              </w:rPr>
              <w:t>JTG</w:t>
            </w:r>
            <w:r>
              <w:rPr>
                <w:rFonts w:hint="eastAsia" w:eastAsia="宋体"/>
                <w:color w:val="000000" w:themeColor="text1"/>
                <w:kern w:val="21"/>
                <w:sz w:val="21"/>
                <w:szCs w:val="21"/>
                <w:lang w:val="en-US" w:eastAsia="zh-CN"/>
                <w14:textFill>
                  <w14:solidFill>
                    <w14:schemeClr w14:val="tx1"/>
                  </w14:solidFill>
                </w14:textFill>
              </w:rPr>
              <w:t xml:space="preserve"> </w:t>
            </w:r>
            <w:r>
              <w:rPr>
                <w:rFonts w:eastAsia="Times New Roman"/>
                <w:color w:val="000000" w:themeColor="text1"/>
                <w:kern w:val="21"/>
                <w:sz w:val="21"/>
                <w:szCs w:val="21"/>
                <w14:textFill>
                  <w14:solidFill>
                    <w14:schemeClr w14:val="tx1"/>
                  </w14:solidFill>
                </w14:textFill>
              </w:rPr>
              <w:t>B01</w:t>
            </w:r>
            <w:r>
              <w:rPr>
                <w:rFonts w:hint="eastAsia"/>
                <w:color w:val="000000" w:themeColor="text1"/>
                <w:kern w:val="21"/>
                <w:sz w:val="21"/>
                <w:szCs w:val="21"/>
                <w14:textFill>
                  <w14:solidFill>
                    <w14:schemeClr w14:val="tx1"/>
                  </w14:solidFill>
                </w14:textFill>
              </w:rPr>
              <w:t>-2014</w:t>
            </w:r>
            <w:r>
              <w:rPr>
                <w:rFonts w:hint="eastAsia" w:ascii="宋体"/>
                <w:color w:val="000000" w:themeColor="text1"/>
                <w:kern w:val="21"/>
                <w:sz w:val="21"/>
                <w14:textFill>
                  <w14:solidFill>
                    <w14:schemeClr w14:val="tx1"/>
                  </w14:solidFill>
                </w14:textFill>
              </w:rPr>
              <w:t>）</w:t>
            </w:r>
          </w:p>
        </w:tc>
      </w:tr>
      <w:tr w14:paraId="5B450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50" w:type="pct"/>
            <w:noWrap w:val="0"/>
            <w:vAlign w:val="center"/>
          </w:tcPr>
          <w:p w14:paraId="1ADC4F4B">
            <w:pPr>
              <w:spacing w:line="288" w:lineRule="auto"/>
              <w:ind w:firstLine="0" w:firstLineChars="0"/>
              <w:jc w:val="center"/>
              <w:rPr>
                <w:rFonts w:ascii="宋体" w:hAnsi="宋体" w:cs="宋体"/>
                <w:color w:val="000000" w:themeColor="text1"/>
                <w:kern w:val="21"/>
                <w:sz w:val="21"/>
                <w:szCs w:val="21"/>
                <w14:textFill>
                  <w14:solidFill>
                    <w14:schemeClr w14:val="tx1"/>
                  </w14:solidFill>
                </w14:textFill>
              </w:rPr>
            </w:pPr>
            <w:r>
              <w:rPr>
                <w:rFonts w:ascii="宋体" w:hAnsi="宋体" w:cs="宋体"/>
                <w:color w:val="000000" w:themeColor="text1"/>
                <w:kern w:val="21"/>
                <w:sz w:val="21"/>
                <w:szCs w:val="21"/>
                <w14:textFill>
                  <w14:solidFill>
                    <w14:schemeClr w14:val="tx1"/>
                  </w14:solidFill>
                </w14:textFill>
              </w:rPr>
              <w:t>城市快速路</w:t>
            </w:r>
          </w:p>
        </w:tc>
        <w:tc>
          <w:tcPr>
            <w:tcW w:w="3037" w:type="pct"/>
            <w:noWrap w:val="0"/>
            <w:vAlign w:val="center"/>
          </w:tcPr>
          <w:p w14:paraId="3739B549">
            <w:pPr>
              <w:pStyle w:val="29"/>
              <w:spacing w:line="288" w:lineRule="auto"/>
              <w:jc w:val="both"/>
              <w:rPr>
                <w:color w:val="000000" w:themeColor="text1"/>
                <w:kern w:val="21"/>
                <w14:textFill>
                  <w14:solidFill>
                    <w14:schemeClr w14:val="tx1"/>
                  </w14:solidFill>
                </w14:textFill>
              </w:rPr>
            </w:pPr>
            <w:r>
              <w:rPr>
                <w:color w:val="000000" w:themeColor="text1"/>
                <w:kern w:val="21"/>
                <w14:textFill>
                  <w14:solidFill>
                    <w14:schemeClr w14:val="tx1"/>
                  </w14:solidFill>
                </w14:textFill>
              </w:rPr>
              <w:t>城市道路中设有中央分隔带，具有四条以上机动车道，全部或部分采用立体交叉与控制出入，供汽车以较高速度行驶的道路，又称汽车专用道。城市快速路一般在特大城市或大城市中设置，主要起联系城市内各主要地区、沟通对外联系的作用。</w:t>
            </w:r>
          </w:p>
        </w:tc>
        <w:tc>
          <w:tcPr>
            <w:tcW w:w="1311" w:type="pct"/>
            <w:noWrap w:val="0"/>
            <w:vAlign w:val="center"/>
          </w:tcPr>
          <w:p w14:paraId="78489950">
            <w:pPr>
              <w:spacing w:line="288" w:lineRule="auto"/>
              <w:ind w:firstLine="0" w:firstLineChars="0"/>
              <w:jc w:val="center"/>
              <w:rPr>
                <w:color w:val="000000" w:themeColor="text1"/>
                <w:kern w:val="21"/>
                <w:sz w:val="21"/>
                <w:szCs w:val="21"/>
                <w14:textFill>
                  <w14:solidFill>
                    <w14:schemeClr w14:val="tx1"/>
                  </w14:solidFill>
                </w14:textFill>
              </w:rPr>
            </w:pPr>
            <w:r>
              <w:rPr>
                <w:rFonts w:hint="eastAsia" w:ascii="宋体"/>
                <w:color w:val="000000" w:themeColor="text1"/>
                <w:kern w:val="21"/>
                <w:sz w:val="21"/>
                <w14:textFill>
                  <w14:solidFill>
                    <w14:schemeClr w14:val="tx1"/>
                  </w14:solidFill>
                </w14:textFill>
              </w:rPr>
              <w:t>《城市规划基本术语标准》（</w:t>
            </w:r>
            <w:r>
              <w:rPr>
                <w:rFonts w:eastAsia="Times New Roman"/>
                <w:color w:val="000000" w:themeColor="text1"/>
                <w:kern w:val="21"/>
                <w:sz w:val="21"/>
                <w:szCs w:val="21"/>
                <w14:textFill>
                  <w14:solidFill>
                    <w14:schemeClr w14:val="tx1"/>
                  </w14:solidFill>
                </w14:textFill>
              </w:rPr>
              <w:t>GB/T</w:t>
            </w:r>
            <w:r>
              <w:rPr>
                <w:rFonts w:hint="eastAsia" w:eastAsia="宋体"/>
                <w:color w:val="000000" w:themeColor="text1"/>
                <w:kern w:val="21"/>
                <w:sz w:val="21"/>
                <w:szCs w:val="21"/>
                <w:lang w:val="en-US" w:eastAsia="zh-CN"/>
                <w14:textFill>
                  <w14:solidFill>
                    <w14:schemeClr w14:val="tx1"/>
                  </w14:solidFill>
                </w14:textFill>
              </w:rPr>
              <w:t xml:space="preserve"> </w:t>
            </w:r>
            <w:r>
              <w:rPr>
                <w:rFonts w:eastAsia="Times New Roman"/>
                <w:color w:val="000000" w:themeColor="text1"/>
                <w:kern w:val="21"/>
                <w:sz w:val="21"/>
                <w:szCs w:val="21"/>
                <w14:textFill>
                  <w14:solidFill>
                    <w14:schemeClr w14:val="tx1"/>
                  </w14:solidFill>
                </w14:textFill>
              </w:rPr>
              <w:t>50280</w:t>
            </w:r>
            <w:r>
              <w:rPr>
                <w:rFonts w:hint="eastAsia"/>
                <w:color w:val="000000" w:themeColor="text1"/>
                <w:kern w:val="21"/>
                <w:sz w:val="21"/>
                <w:szCs w:val="21"/>
                <w14:textFill>
                  <w14:solidFill>
                    <w14:schemeClr w14:val="tx1"/>
                  </w14:solidFill>
                </w14:textFill>
              </w:rPr>
              <w:t>-1998</w:t>
            </w:r>
            <w:r>
              <w:rPr>
                <w:rFonts w:hint="eastAsia" w:ascii="宋体"/>
                <w:color w:val="000000" w:themeColor="text1"/>
                <w:kern w:val="21"/>
                <w:sz w:val="21"/>
                <w14:textFill>
                  <w14:solidFill>
                    <w14:schemeClr w14:val="tx1"/>
                  </w14:solidFill>
                </w14:textFill>
              </w:rPr>
              <w:t>）</w:t>
            </w:r>
          </w:p>
        </w:tc>
      </w:tr>
      <w:tr w14:paraId="24D7D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50" w:type="pct"/>
            <w:noWrap w:val="0"/>
            <w:vAlign w:val="center"/>
          </w:tcPr>
          <w:p w14:paraId="70B92999">
            <w:pPr>
              <w:spacing w:line="288" w:lineRule="auto"/>
              <w:ind w:firstLine="0" w:firstLineChars="0"/>
              <w:jc w:val="center"/>
              <w:rPr>
                <w:rFonts w:ascii="宋体" w:hAnsi="宋体" w:cs="宋体"/>
                <w:color w:val="000000" w:themeColor="text1"/>
                <w:kern w:val="21"/>
                <w:sz w:val="21"/>
                <w:szCs w:val="21"/>
                <w14:textFill>
                  <w14:solidFill>
                    <w14:schemeClr w14:val="tx1"/>
                  </w14:solidFill>
                </w14:textFill>
              </w:rPr>
            </w:pPr>
            <w:r>
              <w:rPr>
                <w:rFonts w:ascii="宋体" w:hAnsi="宋体" w:cs="宋体"/>
                <w:color w:val="000000" w:themeColor="text1"/>
                <w:kern w:val="21"/>
                <w:sz w:val="21"/>
                <w:szCs w:val="21"/>
                <w14:textFill>
                  <w14:solidFill>
                    <w14:schemeClr w14:val="tx1"/>
                  </w14:solidFill>
                </w14:textFill>
              </w:rPr>
              <w:t>城市主干路</w:t>
            </w:r>
          </w:p>
        </w:tc>
        <w:tc>
          <w:tcPr>
            <w:tcW w:w="3037" w:type="pct"/>
            <w:noWrap w:val="0"/>
            <w:vAlign w:val="center"/>
          </w:tcPr>
          <w:p w14:paraId="14124FCF">
            <w:pPr>
              <w:pStyle w:val="29"/>
              <w:spacing w:line="288" w:lineRule="auto"/>
              <w:jc w:val="both"/>
              <w:rPr>
                <w:color w:val="000000" w:themeColor="text1"/>
                <w:kern w:val="21"/>
                <w14:textFill>
                  <w14:solidFill>
                    <w14:schemeClr w14:val="tx1"/>
                  </w14:solidFill>
                </w14:textFill>
              </w:rPr>
            </w:pPr>
            <w:r>
              <w:rPr>
                <w:color w:val="000000" w:themeColor="text1"/>
                <w:kern w:val="21"/>
                <w14:textFill>
                  <w14:solidFill>
                    <w14:schemeClr w14:val="tx1"/>
                  </w14:solidFill>
                </w14:textFill>
              </w:rPr>
              <w:t>联系城市各主要地区（住宅区、工业区以及港口、机场和车站等客货运中心等），承担城市主要交通任务的交通干道，是城市道路网的骨架。主干路沿线两侧不宜修建过多的车辆和行人出入口。</w:t>
            </w:r>
          </w:p>
        </w:tc>
        <w:tc>
          <w:tcPr>
            <w:tcW w:w="1311" w:type="pct"/>
            <w:noWrap w:val="0"/>
            <w:vAlign w:val="center"/>
          </w:tcPr>
          <w:p w14:paraId="429BE692">
            <w:pPr>
              <w:spacing w:line="288" w:lineRule="auto"/>
              <w:ind w:firstLine="0" w:firstLineChars="0"/>
              <w:jc w:val="center"/>
              <w:rPr>
                <w:rFonts w:eastAsia="Times New Roman"/>
                <w:color w:val="000000" w:themeColor="text1"/>
                <w:kern w:val="21"/>
                <w:sz w:val="21"/>
                <w:szCs w:val="21"/>
                <w14:textFill>
                  <w14:solidFill>
                    <w14:schemeClr w14:val="tx1"/>
                  </w14:solidFill>
                </w14:textFill>
              </w:rPr>
            </w:pPr>
            <w:r>
              <w:rPr>
                <w:rFonts w:hint="eastAsia" w:ascii="宋体"/>
                <w:color w:val="000000" w:themeColor="text1"/>
                <w:kern w:val="21"/>
                <w:sz w:val="21"/>
                <w14:textFill>
                  <w14:solidFill>
                    <w14:schemeClr w14:val="tx1"/>
                  </w14:solidFill>
                </w14:textFill>
              </w:rPr>
              <w:t>《城市规划基本术语标准》（</w:t>
            </w:r>
            <w:r>
              <w:rPr>
                <w:rFonts w:eastAsia="Times New Roman"/>
                <w:color w:val="000000" w:themeColor="text1"/>
                <w:kern w:val="21"/>
                <w:sz w:val="21"/>
                <w:szCs w:val="21"/>
                <w14:textFill>
                  <w14:solidFill>
                    <w14:schemeClr w14:val="tx1"/>
                  </w14:solidFill>
                </w14:textFill>
              </w:rPr>
              <w:t>GB/T</w:t>
            </w:r>
            <w:r>
              <w:rPr>
                <w:rFonts w:hint="eastAsia" w:eastAsia="宋体"/>
                <w:color w:val="000000" w:themeColor="text1"/>
                <w:kern w:val="21"/>
                <w:sz w:val="21"/>
                <w:szCs w:val="21"/>
                <w:lang w:val="en-US" w:eastAsia="zh-CN"/>
                <w14:textFill>
                  <w14:solidFill>
                    <w14:schemeClr w14:val="tx1"/>
                  </w14:solidFill>
                </w14:textFill>
              </w:rPr>
              <w:t xml:space="preserve"> </w:t>
            </w:r>
            <w:r>
              <w:rPr>
                <w:rFonts w:eastAsia="Times New Roman"/>
                <w:color w:val="000000" w:themeColor="text1"/>
                <w:kern w:val="21"/>
                <w:sz w:val="21"/>
                <w:szCs w:val="21"/>
                <w14:textFill>
                  <w14:solidFill>
                    <w14:schemeClr w14:val="tx1"/>
                  </w14:solidFill>
                </w14:textFill>
              </w:rPr>
              <w:t>50280</w:t>
            </w:r>
            <w:r>
              <w:rPr>
                <w:rFonts w:hint="eastAsia"/>
                <w:color w:val="000000" w:themeColor="text1"/>
                <w:kern w:val="21"/>
                <w:sz w:val="21"/>
                <w:szCs w:val="21"/>
                <w14:textFill>
                  <w14:solidFill>
                    <w14:schemeClr w14:val="tx1"/>
                  </w14:solidFill>
                </w14:textFill>
              </w:rPr>
              <w:t>-1998</w:t>
            </w:r>
            <w:r>
              <w:rPr>
                <w:rFonts w:hint="eastAsia" w:ascii="宋体"/>
                <w:color w:val="000000" w:themeColor="text1"/>
                <w:kern w:val="21"/>
                <w:sz w:val="21"/>
                <w14:textFill>
                  <w14:solidFill>
                    <w14:schemeClr w14:val="tx1"/>
                  </w14:solidFill>
                </w14:textFill>
              </w:rPr>
              <w:t>）</w:t>
            </w:r>
          </w:p>
        </w:tc>
      </w:tr>
      <w:tr w14:paraId="6F2A2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50" w:type="pct"/>
            <w:noWrap w:val="0"/>
            <w:vAlign w:val="center"/>
          </w:tcPr>
          <w:p w14:paraId="3953D1A4">
            <w:pPr>
              <w:spacing w:line="288" w:lineRule="auto"/>
              <w:ind w:firstLine="0" w:firstLineChars="0"/>
              <w:jc w:val="center"/>
              <w:rPr>
                <w:rFonts w:ascii="宋体" w:hAnsi="宋体" w:cs="宋体"/>
                <w:color w:val="000000" w:themeColor="text1"/>
                <w:kern w:val="21"/>
                <w:sz w:val="21"/>
                <w:szCs w:val="21"/>
                <w14:textFill>
                  <w14:solidFill>
                    <w14:schemeClr w14:val="tx1"/>
                  </w14:solidFill>
                </w14:textFill>
              </w:rPr>
            </w:pPr>
            <w:r>
              <w:rPr>
                <w:rFonts w:ascii="宋体" w:hAnsi="宋体" w:cs="宋体"/>
                <w:color w:val="000000" w:themeColor="text1"/>
                <w:kern w:val="21"/>
                <w:sz w:val="21"/>
                <w:szCs w:val="21"/>
                <w14:textFill>
                  <w14:solidFill>
                    <w14:schemeClr w14:val="tx1"/>
                  </w14:solidFill>
                </w14:textFill>
              </w:rPr>
              <w:t>城市次干路</w:t>
            </w:r>
          </w:p>
        </w:tc>
        <w:tc>
          <w:tcPr>
            <w:tcW w:w="3037" w:type="pct"/>
            <w:noWrap w:val="0"/>
            <w:vAlign w:val="center"/>
          </w:tcPr>
          <w:p w14:paraId="7A4ACD5A">
            <w:pPr>
              <w:pStyle w:val="29"/>
              <w:spacing w:line="288" w:lineRule="auto"/>
              <w:jc w:val="both"/>
              <w:rPr>
                <w:color w:val="000000" w:themeColor="text1"/>
                <w:kern w:val="21"/>
                <w14:textFill>
                  <w14:solidFill>
                    <w14:schemeClr w14:val="tx1"/>
                  </w14:solidFill>
                </w14:textFill>
              </w:rPr>
            </w:pPr>
            <w:r>
              <w:rPr>
                <w:color w:val="000000" w:themeColor="text1"/>
                <w:kern w:val="21"/>
                <w14:textFill>
                  <w14:solidFill>
                    <w14:schemeClr w14:val="tx1"/>
                  </w14:solidFill>
                </w14:textFill>
              </w:rPr>
              <w:t>城市各区域内部的主要道路，与城市主干路结合成道路网，起集散交通的作用兼有服务功能。</w:t>
            </w:r>
          </w:p>
        </w:tc>
        <w:tc>
          <w:tcPr>
            <w:tcW w:w="1311" w:type="pct"/>
            <w:noWrap w:val="0"/>
            <w:vAlign w:val="center"/>
          </w:tcPr>
          <w:p w14:paraId="33C7E01F">
            <w:pPr>
              <w:spacing w:line="288" w:lineRule="auto"/>
              <w:ind w:firstLine="0" w:firstLineChars="0"/>
              <w:jc w:val="center"/>
              <w:rPr>
                <w:rFonts w:eastAsia="Times New Roman"/>
                <w:color w:val="000000" w:themeColor="text1"/>
                <w:kern w:val="21"/>
                <w:sz w:val="21"/>
                <w:szCs w:val="21"/>
                <w14:textFill>
                  <w14:solidFill>
                    <w14:schemeClr w14:val="tx1"/>
                  </w14:solidFill>
                </w14:textFill>
              </w:rPr>
            </w:pPr>
            <w:r>
              <w:rPr>
                <w:rFonts w:hint="eastAsia" w:ascii="宋体"/>
                <w:color w:val="000000" w:themeColor="text1"/>
                <w:kern w:val="21"/>
                <w:sz w:val="21"/>
                <w14:textFill>
                  <w14:solidFill>
                    <w14:schemeClr w14:val="tx1"/>
                  </w14:solidFill>
                </w14:textFill>
              </w:rPr>
              <w:t>《城市规划基本术语标准》（</w:t>
            </w:r>
            <w:r>
              <w:rPr>
                <w:rFonts w:eastAsia="Times New Roman"/>
                <w:color w:val="000000" w:themeColor="text1"/>
                <w:kern w:val="21"/>
                <w:sz w:val="21"/>
                <w:szCs w:val="21"/>
                <w14:textFill>
                  <w14:solidFill>
                    <w14:schemeClr w14:val="tx1"/>
                  </w14:solidFill>
                </w14:textFill>
              </w:rPr>
              <w:t>GB/T</w:t>
            </w:r>
            <w:r>
              <w:rPr>
                <w:rFonts w:hint="eastAsia" w:eastAsia="宋体"/>
                <w:color w:val="000000" w:themeColor="text1"/>
                <w:kern w:val="21"/>
                <w:sz w:val="21"/>
                <w:szCs w:val="21"/>
                <w:lang w:val="en-US" w:eastAsia="zh-CN"/>
                <w14:textFill>
                  <w14:solidFill>
                    <w14:schemeClr w14:val="tx1"/>
                  </w14:solidFill>
                </w14:textFill>
              </w:rPr>
              <w:t xml:space="preserve"> </w:t>
            </w:r>
            <w:r>
              <w:rPr>
                <w:rFonts w:eastAsia="Times New Roman"/>
                <w:color w:val="000000" w:themeColor="text1"/>
                <w:kern w:val="21"/>
                <w:sz w:val="21"/>
                <w:szCs w:val="21"/>
                <w14:textFill>
                  <w14:solidFill>
                    <w14:schemeClr w14:val="tx1"/>
                  </w14:solidFill>
                </w14:textFill>
              </w:rPr>
              <w:t>50280</w:t>
            </w:r>
            <w:r>
              <w:rPr>
                <w:rFonts w:hint="eastAsia"/>
                <w:color w:val="000000" w:themeColor="text1"/>
                <w:kern w:val="21"/>
                <w:sz w:val="21"/>
                <w:szCs w:val="21"/>
                <w14:textFill>
                  <w14:solidFill>
                    <w14:schemeClr w14:val="tx1"/>
                  </w14:solidFill>
                </w14:textFill>
              </w:rPr>
              <w:t>-1998</w:t>
            </w:r>
            <w:r>
              <w:rPr>
                <w:rFonts w:hint="eastAsia" w:ascii="宋体"/>
                <w:color w:val="000000" w:themeColor="text1"/>
                <w:kern w:val="21"/>
                <w:sz w:val="21"/>
                <w14:textFill>
                  <w14:solidFill>
                    <w14:schemeClr w14:val="tx1"/>
                  </w14:solidFill>
                </w14:textFill>
              </w:rPr>
              <w:t>）</w:t>
            </w:r>
          </w:p>
        </w:tc>
      </w:tr>
      <w:tr w14:paraId="65F6D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50" w:type="pct"/>
            <w:noWrap w:val="0"/>
            <w:vAlign w:val="center"/>
          </w:tcPr>
          <w:p w14:paraId="1ED11EA5">
            <w:pPr>
              <w:spacing w:line="288" w:lineRule="auto"/>
              <w:ind w:firstLine="0" w:firstLineChars="0"/>
              <w:jc w:val="center"/>
              <w:rPr>
                <w:rFonts w:ascii="宋体" w:hAnsi="宋体" w:cs="宋体"/>
                <w:color w:val="000000" w:themeColor="text1"/>
                <w:kern w:val="21"/>
                <w:sz w:val="21"/>
                <w:szCs w:val="21"/>
                <w14:textFill>
                  <w14:solidFill>
                    <w14:schemeClr w14:val="tx1"/>
                  </w14:solidFill>
                </w14:textFill>
              </w:rPr>
            </w:pPr>
            <w:r>
              <w:rPr>
                <w:rFonts w:ascii="宋体" w:hAnsi="宋体" w:cs="宋体"/>
                <w:color w:val="000000" w:themeColor="text1"/>
                <w:kern w:val="21"/>
                <w:sz w:val="21"/>
                <w:szCs w:val="21"/>
                <w14:textFill>
                  <w14:solidFill>
                    <w14:schemeClr w14:val="tx1"/>
                  </w14:solidFill>
                </w14:textFill>
              </w:rPr>
              <w:t>城市轨道交通</w:t>
            </w:r>
          </w:p>
        </w:tc>
        <w:tc>
          <w:tcPr>
            <w:tcW w:w="3037" w:type="pct"/>
            <w:noWrap w:val="0"/>
            <w:vAlign w:val="center"/>
          </w:tcPr>
          <w:p w14:paraId="07811010">
            <w:pPr>
              <w:pStyle w:val="29"/>
              <w:spacing w:line="288" w:lineRule="auto"/>
              <w:jc w:val="both"/>
              <w:rPr>
                <w:color w:val="000000" w:themeColor="text1"/>
                <w:kern w:val="21"/>
                <w14:textFill>
                  <w14:solidFill>
                    <w14:schemeClr w14:val="tx1"/>
                  </w14:solidFill>
                </w14:textFill>
              </w:rPr>
            </w:pPr>
            <w:r>
              <w:rPr>
                <w:color w:val="000000" w:themeColor="text1"/>
                <w:kern w:val="21"/>
                <w14:textFill>
                  <w14:solidFill>
                    <w14:schemeClr w14:val="tx1"/>
                  </w14:solidFill>
                </w14:textFill>
              </w:rPr>
              <w:t>以电能为主要动力，采用钢轮—钢轨（或胶轮</w:t>
            </w:r>
            <w:r>
              <w:rPr>
                <w:rFonts w:hint="eastAsia"/>
                <w:color w:val="000000" w:themeColor="text1"/>
                <w:kern w:val="21"/>
                <w:lang w:eastAsia="zh-CN"/>
                <w14:textFill>
                  <w14:solidFill>
                    <w14:schemeClr w14:val="tx1"/>
                  </w14:solidFill>
                </w14:textFill>
              </w:rPr>
              <w:t>－</w:t>
            </w:r>
            <w:r>
              <w:rPr>
                <w:color w:val="000000" w:themeColor="text1"/>
                <w:kern w:val="21"/>
                <w14:textFill>
                  <w14:solidFill>
                    <w14:schemeClr w14:val="tx1"/>
                  </w14:solidFill>
                </w14:textFill>
              </w:rPr>
              <w:t>胶轨）为导向的城市公共客运系统。按照运量及运行方式的不同，城市轨道交通分为地铁、轻轨以及有轨电车。</w:t>
            </w:r>
          </w:p>
        </w:tc>
        <w:tc>
          <w:tcPr>
            <w:tcW w:w="1311" w:type="pct"/>
            <w:noWrap w:val="0"/>
            <w:vAlign w:val="center"/>
          </w:tcPr>
          <w:p w14:paraId="6A36CB5A">
            <w:pPr>
              <w:spacing w:line="288" w:lineRule="auto"/>
              <w:ind w:firstLine="0" w:firstLineChars="0"/>
              <w:jc w:val="center"/>
              <w:rPr>
                <w:rFonts w:eastAsia="Times New Roman"/>
                <w:color w:val="000000" w:themeColor="text1"/>
                <w:kern w:val="21"/>
                <w:sz w:val="21"/>
                <w:szCs w:val="21"/>
                <w14:textFill>
                  <w14:solidFill>
                    <w14:schemeClr w14:val="tx1"/>
                  </w14:solidFill>
                </w14:textFill>
              </w:rPr>
            </w:pPr>
            <w:r>
              <w:rPr>
                <w:rFonts w:eastAsia="Times New Roman"/>
                <w:color w:val="000000" w:themeColor="text1"/>
                <w:kern w:val="21"/>
                <w:sz w:val="21"/>
                <w:szCs w:val="21"/>
                <w14:textFill>
                  <w14:solidFill>
                    <w14:schemeClr w14:val="tx1"/>
                  </w14:solidFill>
                </w14:textFill>
              </w:rPr>
              <w:t>/</w:t>
            </w:r>
          </w:p>
        </w:tc>
      </w:tr>
      <w:tr w14:paraId="2146B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650" w:type="pct"/>
            <w:noWrap w:val="0"/>
            <w:vAlign w:val="center"/>
          </w:tcPr>
          <w:p w14:paraId="2BC12D7C">
            <w:pPr>
              <w:spacing w:line="288" w:lineRule="auto"/>
              <w:ind w:firstLine="0" w:firstLineChars="0"/>
              <w:jc w:val="center"/>
              <w:rPr>
                <w:rFonts w:ascii="宋体" w:hAnsi="宋体" w:cs="宋体"/>
                <w:color w:val="000000" w:themeColor="text1"/>
                <w:kern w:val="21"/>
                <w:sz w:val="21"/>
                <w:szCs w:val="21"/>
                <w14:textFill>
                  <w14:solidFill>
                    <w14:schemeClr w14:val="tx1"/>
                  </w14:solidFill>
                </w14:textFill>
              </w:rPr>
            </w:pPr>
            <w:r>
              <w:rPr>
                <w:rFonts w:ascii="宋体" w:hAnsi="宋体" w:cs="宋体"/>
                <w:color w:val="000000" w:themeColor="text1"/>
                <w:kern w:val="21"/>
                <w:sz w:val="21"/>
                <w:szCs w:val="21"/>
                <w14:textFill>
                  <w14:solidFill>
                    <w14:schemeClr w14:val="tx1"/>
                  </w14:solidFill>
                </w14:textFill>
              </w:rPr>
              <w:t>内河航道</w:t>
            </w:r>
          </w:p>
        </w:tc>
        <w:tc>
          <w:tcPr>
            <w:tcW w:w="3037" w:type="pct"/>
            <w:noWrap w:val="0"/>
            <w:vAlign w:val="center"/>
          </w:tcPr>
          <w:p w14:paraId="172117DC">
            <w:pPr>
              <w:pStyle w:val="29"/>
              <w:spacing w:line="288" w:lineRule="auto"/>
              <w:jc w:val="both"/>
              <w:rPr>
                <w:color w:val="000000" w:themeColor="text1"/>
                <w:kern w:val="21"/>
                <w14:textFill>
                  <w14:solidFill>
                    <w14:schemeClr w14:val="tx1"/>
                  </w14:solidFill>
                </w14:textFill>
              </w:rPr>
            </w:pPr>
            <w:r>
              <w:rPr>
                <w:color w:val="000000" w:themeColor="text1"/>
                <w:kern w:val="21"/>
                <w14:textFill>
                  <w14:solidFill>
                    <w14:schemeClr w14:val="tx1"/>
                  </w14:solidFill>
                </w14:textFill>
              </w:rPr>
              <w:t>船舶、排筏可以通航的内河水域及其港口。</w:t>
            </w:r>
          </w:p>
        </w:tc>
        <w:tc>
          <w:tcPr>
            <w:tcW w:w="1311" w:type="pct"/>
            <w:noWrap w:val="0"/>
            <w:vAlign w:val="center"/>
          </w:tcPr>
          <w:p w14:paraId="47B75A70">
            <w:pPr>
              <w:spacing w:line="288" w:lineRule="auto"/>
              <w:ind w:firstLine="0" w:firstLineChars="0"/>
              <w:jc w:val="center"/>
              <w:rPr>
                <w:rFonts w:eastAsia="Times New Roman"/>
                <w:color w:val="000000" w:themeColor="text1"/>
                <w:kern w:val="21"/>
                <w:sz w:val="21"/>
                <w:szCs w:val="21"/>
                <w14:textFill>
                  <w14:solidFill>
                    <w14:schemeClr w14:val="tx1"/>
                  </w14:solidFill>
                </w14:textFill>
              </w:rPr>
            </w:pPr>
            <w:r>
              <w:rPr>
                <w:rFonts w:eastAsia="Times New Roman"/>
                <w:color w:val="000000" w:themeColor="text1"/>
                <w:kern w:val="21"/>
                <w:sz w:val="21"/>
                <w:szCs w:val="21"/>
                <w14:textFill>
                  <w14:solidFill>
                    <w14:schemeClr w14:val="tx1"/>
                  </w14:solidFill>
                </w14:textFill>
              </w:rPr>
              <w:t>/</w:t>
            </w:r>
          </w:p>
        </w:tc>
      </w:tr>
    </w:tbl>
    <w:p w14:paraId="3A71D1CD">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道路红线宽度包括机动车道路面宽度、非机动车道路面宽度、路侧带宽度的总和。城市道路以道路外延为边界，高速公路以护网处为边界，没有护网的可按一般公路和城市道路相关情况处理。</w:t>
      </w:r>
    </w:p>
    <w:p w14:paraId="7FAC56B0">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根据交通干线相邻区域的声环境功能区，确定4类功能区距离见表4-</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。其中，铁路交通干线边界线外区域划为4b类声环境功能区域，其余均为4a类。对于4b类声环境功能区与4a类声环境功能区有重叠的部分，划为4b类声环境功能区。</w:t>
      </w:r>
    </w:p>
    <w:p w14:paraId="1B394346">
      <w:pPr>
        <w:pStyle w:val="3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表4-</w:t>
      </w:r>
      <w:r>
        <w:rPr>
          <w:rFonts w:hint="eastAsia"/>
          <w:color w:val="000000" w:themeColor="text1"/>
          <w:lang w:val="en-US" w:eastAsia="zh-CN"/>
          <w14:textFill>
            <w14:solidFill>
              <w14:schemeClr w14:val="tx1"/>
            </w14:solidFill>
          </w14:textFill>
        </w:rPr>
        <w:t xml:space="preserve">3  </w:t>
      </w:r>
      <w:r>
        <w:rPr>
          <w:rFonts w:hint="eastAsia"/>
          <w:color w:val="000000" w:themeColor="text1"/>
          <w14:textFill>
            <w14:solidFill>
              <w14:schemeClr w14:val="tx1"/>
            </w14:solidFill>
          </w14:textFill>
        </w:rPr>
        <w:t>交通干线相邻区域4类功能区距离的确定</w:t>
      </w:r>
    </w:p>
    <w:tbl>
      <w:tblPr>
        <w:tblStyle w:val="19"/>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049"/>
        <w:gridCol w:w="2720"/>
        <w:gridCol w:w="2536"/>
      </w:tblGrid>
      <w:tr w14:paraId="10FD0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567" w:hRule="atLeast"/>
          <w:tblHeader/>
        </w:trPr>
        <w:tc>
          <w:tcPr>
            <w:tcW w:w="1835" w:type="pct"/>
            <w:noWrap w:val="0"/>
            <w:vAlign w:val="center"/>
          </w:tcPr>
          <w:p w14:paraId="440C14F0">
            <w:pPr>
              <w:pStyle w:val="30"/>
              <w:rPr>
                <w:rFonts w:hint="default" w:ascii="Times New Roman" w:hAnsi="Times New Roman" w:eastAsia="宋体" w:cs="Times New Roman"/>
                <w:b w:val="0"/>
                <w:bCs w:val="0"/>
                <w:color w:val="000000" w:themeColor="text1"/>
                <w14:textFill>
                  <w14:solidFill>
                    <w14:schemeClr w14:val="tx1"/>
                  </w14:solidFill>
                </w14:textFill>
              </w:rPr>
            </w:pPr>
            <w:r>
              <w:rPr>
                <w:rFonts w:hint="default" w:ascii="Times New Roman" w:hAnsi="Times New Roman" w:eastAsia="宋体" w:cs="Times New Roman"/>
                <w:b w:val="0"/>
                <w:bCs w:val="0"/>
                <w:color w:val="000000" w:themeColor="text1"/>
                <w14:textFill>
                  <w14:solidFill>
                    <w14:schemeClr w14:val="tx1"/>
                  </w14:solidFill>
                </w14:textFill>
              </w:rPr>
              <w:t>源强类型</w:t>
            </w:r>
          </w:p>
        </w:tc>
        <w:tc>
          <w:tcPr>
            <w:tcW w:w="1637" w:type="pct"/>
            <w:noWrap w:val="0"/>
            <w:vAlign w:val="center"/>
          </w:tcPr>
          <w:p w14:paraId="5243178C">
            <w:pPr>
              <w:pStyle w:val="30"/>
              <w:rPr>
                <w:rFonts w:hint="default" w:ascii="Times New Roman" w:hAnsi="Times New Roman" w:eastAsia="宋体" w:cs="Times New Roman"/>
                <w:b w:val="0"/>
                <w:bCs w:val="0"/>
                <w:color w:val="000000" w:themeColor="text1"/>
                <w14:textFill>
                  <w14:solidFill>
                    <w14:schemeClr w14:val="tx1"/>
                  </w14:solidFill>
                </w14:textFill>
              </w:rPr>
            </w:pPr>
            <w:r>
              <w:rPr>
                <w:rFonts w:hint="eastAsia" w:eastAsia="宋体" w:cs="Times New Roman"/>
                <w:b w:val="0"/>
                <w:bCs w:val="0"/>
                <w:color w:val="000000" w:themeColor="text1"/>
                <w:lang w:eastAsia="zh-CN"/>
                <w14:textFill>
                  <w14:solidFill>
                    <w14:schemeClr w14:val="tx1"/>
                  </w14:solidFill>
                </w14:textFill>
              </w:rPr>
              <w:t>交通干线边界线外</w:t>
            </w:r>
            <w:r>
              <w:rPr>
                <w:rFonts w:hint="default" w:ascii="Times New Roman" w:hAnsi="Times New Roman" w:eastAsia="宋体" w:cs="Times New Roman"/>
                <w:b w:val="0"/>
                <w:bCs w:val="0"/>
                <w:color w:val="000000" w:themeColor="text1"/>
                <w14:textFill>
                  <w14:solidFill>
                    <w14:schemeClr w14:val="tx1"/>
                  </w14:solidFill>
                </w14:textFill>
              </w:rPr>
              <w:t>划分距离（m）</w:t>
            </w:r>
          </w:p>
        </w:tc>
        <w:tc>
          <w:tcPr>
            <w:tcW w:w="1526" w:type="pct"/>
            <w:noWrap w:val="0"/>
            <w:vAlign w:val="center"/>
          </w:tcPr>
          <w:p w14:paraId="26EFD431">
            <w:pPr>
              <w:pStyle w:val="30"/>
              <w:rPr>
                <w:rFonts w:hint="default" w:ascii="Times New Roman" w:hAnsi="Times New Roman" w:eastAsia="宋体" w:cs="Times New Roman"/>
                <w:b w:val="0"/>
                <w:bCs w:val="0"/>
                <w:color w:val="000000" w:themeColor="text1"/>
                <w14:textFill>
                  <w14:solidFill>
                    <w14:schemeClr w14:val="tx1"/>
                  </w14:solidFill>
                </w14:textFill>
              </w:rPr>
            </w:pPr>
            <w:r>
              <w:rPr>
                <w:rFonts w:hint="default" w:ascii="Times New Roman" w:hAnsi="Times New Roman" w:eastAsia="宋体" w:cs="Times New Roman"/>
                <w:b w:val="0"/>
                <w:bCs w:val="0"/>
                <w:color w:val="000000" w:themeColor="text1"/>
                <w14:textFill>
                  <w14:solidFill>
                    <w14:schemeClr w14:val="tx1"/>
                  </w14:solidFill>
                </w14:textFill>
              </w:rPr>
              <w:t>相邻功能区类型</w:t>
            </w:r>
          </w:p>
        </w:tc>
      </w:tr>
      <w:tr w14:paraId="477FA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835" w:type="pct"/>
            <w:vMerge w:val="restart"/>
            <w:noWrap w:val="0"/>
            <w:vAlign w:val="center"/>
          </w:tcPr>
          <w:p w14:paraId="19A26654">
            <w:pPr>
              <w:spacing w:line="288" w:lineRule="auto"/>
              <w:ind w:firstLine="0" w:firstLineChars="0"/>
              <w:jc w:val="center"/>
              <w:rPr>
                <w:color w:val="000000" w:themeColor="text1"/>
                <w:kern w:val="21"/>
                <w:sz w:val="21"/>
                <w:szCs w:val="21"/>
                <w14:textFill>
                  <w14:solidFill>
                    <w14:schemeClr w14:val="tx1"/>
                  </w14:solidFill>
                </w14:textFill>
              </w:rPr>
            </w:pPr>
            <w:r>
              <w:rPr>
                <w:color w:val="000000" w:themeColor="text1"/>
                <w:kern w:val="21"/>
                <w:sz w:val="21"/>
                <w:szCs w:val="21"/>
                <w14:textFill>
                  <w14:solidFill>
                    <w14:schemeClr w14:val="tx1"/>
                  </w14:solidFill>
                </w14:textFill>
              </w:rPr>
              <w:t>高速公路、城市快速路、城市轨道交通（钢轨</w:t>
            </w:r>
            <w:r>
              <w:rPr>
                <w:rFonts w:hint="eastAsia"/>
                <w:color w:val="000000" w:themeColor="text1"/>
                <w:kern w:val="21"/>
                <w:sz w:val="21"/>
                <w:szCs w:val="21"/>
                <w:lang w:eastAsia="zh-CN"/>
                <w14:textFill>
                  <w14:solidFill>
                    <w14:schemeClr w14:val="tx1"/>
                  </w14:solidFill>
                </w14:textFill>
              </w:rPr>
              <w:t>－</w:t>
            </w:r>
            <w:r>
              <w:rPr>
                <w:color w:val="000000" w:themeColor="text1"/>
                <w:kern w:val="21"/>
                <w:sz w:val="21"/>
                <w:szCs w:val="21"/>
                <w14:textFill>
                  <w14:solidFill>
                    <w14:schemeClr w14:val="tx1"/>
                  </w14:solidFill>
                </w14:textFill>
              </w:rPr>
              <w:t>地面段）、铁路</w:t>
            </w:r>
          </w:p>
        </w:tc>
        <w:tc>
          <w:tcPr>
            <w:tcW w:w="1637" w:type="pct"/>
            <w:noWrap w:val="0"/>
            <w:vAlign w:val="center"/>
          </w:tcPr>
          <w:p w14:paraId="7682236E">
            <w:pPr>
              <w:spacing w:line="240" w:lineRule="auto"/>
              <w:ind w:firstLine="0" w:firstLineChars="0"/>
              <w:jc w:val="center"/>
              <w:rPr>
                <w:color w:val="000000" w:themeColor="text1"/>
                <w:kern w:val="21"/>
                <w:sz w:val="21"/>
                <w:szCs w:val="21"/>
                <w14:textFill>
                  <w14:solidFill>
                    <w14:schemeClr w14:val="tx1"/>
                  </w14:solidFill>
                </w14:textFill>
              </w:rPr>
            </w:pPr>
            <w:r>
              <w:rPr>
                <w:color w:val="000000" w:themeColor="text1"/>
                <w:kern w:val="21"/>
                <w:sz w:val="21"/>
                <w:szCs w:val="21"/>
                <w14:textFill>
                  <w14:solidFill>
                    <w14:schemeClr w14:val="tx1"/>
                  </w14:solidFill>
                </w14:textFill>
              </w:rPr>
              <w:t>55</w:t>
            </w:r>
          </w:p>
        </w:tc>
        <w:tc>
          <w:tcPr>
            <w:tcW w:w="1526" w:type="pct"/>
            <w:noWrap w:val="0"/>
            <w:vAlign w:val="center"/>
          </w:tcPr>
          <w:p w14:paraId="39892D0C">
            <w:pPr>
              <w:spacing w:line="240" w:lineRule="auto"/>
              <w:ind w:firstLine="0" w:firstLineChars="0"/>
              <w:jc w:val="center"/>
              <w:rPr>
                <w:color w:val="000000" w:themeColor="text1"/>
                <w:kern w:val="21"/>
                <w:sz w:val="21"/>
                <w:szCs w:val="21"/>
                <w14:textFill>
                  <w14:solidFill>
                    <w14:schemeClr w14:val="tx1"/>
                  </w14:solidFill>
                </w14:textFill>
              </w:rPr>
            </w:pPr>
            <w:r>
              <w:rPr>
                <w:color w:val="000000" w:themeColor="text1"/>
                <w:kern w:val="21"/>
                <w:sz w:val="21"/>
                <w:szCs w:val="21"/>
                <w14:textFill>
                  <w14:solidFill>
                    <w14:schemeClr w14:val="tx1"/>
                  </w14:solidFill>
                </w14:textFill>
              </w:rPr>
              <w:t>1类区</w:t>
            </w:r>
          </w:p>
        </w:tc>
      </w:tr>
      <w:tr w14:paraId="2CC93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835" w:type="pct"/>
            <w:vMerge w:val="continue"/>
            <w:noWrap w:val="0"/>
            <w:vAlign w:val="center"/>
          </w:tcPr>
          <w:p w14:paraId="0455F24A">
            <w:pPr>
              <w:spacing w:line="240" w:lineRule="auto"/>
              <w:ind w:firstLine="0" w:firstLineChars="0"/>
              <w:jc w:val="center"/>
              <w:rPr>
                <w:color w:val="000000" w:themeColor="text1"/>
                <w:kern w:val="21"/>
                <w:sz w:val="21"/>
                <w:szCs w:val="21"/>
                <w14:textFill>
                  <w14:solidFill>
                    <w14:schemeClr w14:val="tx1"/>
                  </w14:solidFill>
                </w14:textFill>
              </w:rPr>
            </w:pPr>
          </w:p>
        </w:tc>
        <w:tc>
          <w:tcPr>
            <w:tcW w:w="1637" w:type="pct"/>
            <w:noWrap w:val="0"/>
            <w:vAlign w:val="center"/>
          </w:tcPr>
          <w:p w14:paraId="3683856A">
            <w:pPr>
              <w:spacing w:line="240" w:lineRule="auto"/>
              <w:ind w:firstLine="0" w:firstLineChars="0"/>
              <w:jc w:val="center"/>
              <w:rPr>
                <w:color w:val="000000" w:themeColor="text1"/>
                <w:kern w:val="21"/>
                <w:sz w:val="21"/>
                <w:szCs w:val="21"/>
                <w14:textFill>
                  <w14:solidFill>
                    <w14:schemeClr w14:val="tx1"/>
                  </w14:solidFill>
                </w14:textFill>
              </w:rPr>
            </w:pPr>
            <w:r>
              <w:rPr>
                <w:color w:val="000000" w:themeColor="text1"/>
                <w:kern w:val="21"/>
                <w:sz w:val="21"/>
                <w:szCs w:val="21"/>
                <w14:textFill>
                  <w14:solidFill>
                    <w14:schemeClr w14:val="tx1"/>
                  </w14:solidFill>
                </w14:textFill>
              </w:rPr>
              <w:t>40</w:t>
            </w:r>
          </w:p>
        </w:tc>
        <w:tc>
          <w:tcPr>
            <w:tcW w:w="1526" w:type="pct"/>
            <w:noWrap w:val="0"/>
            <w:vAlign w:val="center"/>
          </w:tcPr>
          <w:p w14:paraId="564D5FB8">
            <w:pPr>
              <w:spacing w:line="240" w:lineRule="auto"/>
              <w:ind w:firstLine="0" w:firstLineChars="0"/>
              <w:jc w:val="center"/>
              <w:rPr>
                <w:color w:val="000000" w:themeColor="text1"/>
                <w:kern w:val="21"/>
                <w:sz w:val="21"/>
                <w:szCs w:val="21"/>
                <w14:textFill>
                  <w14:solidFill>
                    <w14:schemeClr w14:val="tx1"/>
                  </w14:solidFill>
                </w14:textFill>
              </w:rPr>
            </w:pPr>
            <w:r>
              <w:rPr>
                <w:color w:val="000000" w:themeColor="text1"/>
                <w:kern w:val="21"/>
                <w:sz w:val="21"/>
                <w:szCs w:val="21"/>
                <w14:textFill>
                  <w14:solidFill>
                    <w14:schemeClr w14:val="tx1"/>
                  </w14:solidFill>
                </w14:textFill>
              </w:rPr>
              <w:t>2类区</w:t>
            </w:r>
          </w:p>
        </w:tc>
      </w:tr>
      <w:tr w14:paraId="2387C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835" w:type="pct"/>
            <w:vMerge w:val="continue"/>
            <w:noWrap w:val="0"/>
            <w:vAlign w:val="center"/>
          </w:tcPr>
          <w:p w14:paraId="50A43E23">
            <w:pPr>
              <w:spacing w:line="240" w:lineRule="auto"/>
              <w:ind w:firstLine="0" w:firstLineChars="0"/>
              <w:jc w:val="center"/>
              <w:rPr>
                <w:color w:val="000000" w:themeColor="text1"/>
                <w:kern w:val="21"/>
                <w:sz w:val="21"/>
                <w:szCs w:val="21"/>
                <w14:textFill>
                  <w14:solidFill>
                    <w14:schemeClr w14:val="tx1"/>
                  </w14:solidFill>
                </w14:textFill>
              </w:rPr>
            </w:pPr>
          </w:p>
        </w:tc>
        <w:tc>
          <w:tcPr>
            <w:tcW w:w="1637" w:type="pct"/>
            <w:noWrap w:val="0"/>
            <w:vAlign w:val="center"/>
          </w:tcPr>
          <w:p w14:paraId="202A01A6">
            <w:pPr>
              <w:spacing w:line="240" w:lineRule="auto"/>
              <w:ind w:firstLine="0" w:firstLineChars="0"/>
              <w:jc w:val="center"/>
              <w:rPr>
                <w:color w:val="000000" w:themeColor="text1"/>
                <w:kern w:val="21"/>
                <w:sz w:val="21"/>
                <w:szCs w:val="21"/>
                <w14:textFill>
                  <w14:solidFill>
                    <w14:schemeClr w14:val="tx1"/>
                  </w14:solidFill>
                </w14:textFill>
              </w:rPr>
            </w:pPr>
            <w:r>
              <w:rPr>
                <w:color w:val="000000" w:themeColor="text1"/>
                <w:kern w:val="21"/>
                <w:sz w:val="21"/>
                <w:szCs w:val="21"/>
                <w14:textFill>
                  <w14:solidFill>
                    <w14:schemeClr w14:val="tx1"/>
                  </w14:solidFill>
                </w14:textFill>
              </w:rPr>
              <w:t>25</w:t>
            </w:r>
          </w:p>
        </w:tc>
        <w:tc>
          <w:tcPr>
            <w:tcW w:w="1526" w:type="pct"/>
            <w:noWrap w:val="0"/>
            <w:vAlign w:val="center"/>
          </w:tcPr>
          <w:p w14:paraId="563966D7">
            <w:pPr>
              <w:spacing w:line="240" w:lineRule="auto"/>
              <w:ind w:firstLine="0" w:firstLineChars="0"/>
              <w:jc w:val="center"/>
              <w:rPr>
                <w:color w:val="000000" w:themeColor="text1"/>
                <w:kern w:val="21"/>
                <w:sz w:val="21"/>
                <w:szCs w:val="21"/>
                <w14:textFill>
                  <w14:solidFill>
                    <w14:schemeClr w14:val="tx1"/>
                  </w14:solidFill>
                </w14:textFill>
              </w:rPr>
            </w:pPr>
            <w:r>
              <w:rPr>
                <w:color w:val="000000" w:themeColor="text1"/>
                <w:kern w:val="21"/>
                <w:sz w:val="21"/>
                <w:szCs w:val="21"/>
                <w14:textFill>
                  <w14:solidFill>
                    <w14:schemeClr w14:val="tx1"/>
                  </w14:solidFill>
                </w14:textFill>
              </w:rPr>
              <w:t>3类区</w:t>
            </w:r>
          </w:p>
        </w:tc>
      </w:tr>
      <w:tr w14:paraId="21EFC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835" w:type="pct"/>
            <w:vMerge w:val="restart"/>
            <w:noWrap w:val="0"/>
            <w:vAlign w:val="center"/>
          </w:tcPr>
          <w:p w14:paraId="76E1678A">
            <w:pPr>
              <w:spacing w:line="240" w:lineRule="auto"/>
              <w:ind w:firstLine="0" w:firstLineChars="0"/>
              <w:jc w:val="center"/>
              <w:rPr>
                <w:color w:val="000000" w:themeColor="text1"/>
                <w:kern w:val="21"/>
                <w:sz w:val="21"/>
                <w:szCs w:val="21"/>
                <w14:textFill>
                  <w14:solidFill>
                    <w14:schemeClr w14:val="tx1"/>
                  </w14:solidFill>
                </w14:textFill>
              </w:rPr>
            </w:pPr>
            <w:r>
              <w:rPr>
                <w:color w:val="000000" w:themeColor="text1"/>
                <w:kern w:val="21"/>
                <w:sz w:val="21"/>
                <w:szCs w:val="21"/>
                <w14:textFill>
                  <w14:solidFill>
                    <w14:schemeClr w14:val="tx1"/>
                  </w14:solidFill>
                </w14:textFill>
              </w:rPr>
              <w:t>城市主干路、一级公路</w:t>
            </w:r>
          </w:p>
        </w:tc>
        <w:tc>
          <w:tcPr>
            <w:tcW w:w="1637" w:type="pct"/>
            <w:noWrap w:val="0"/>
            <w:vAlign w:val="center"/>
          </w:tcPr>
          <w:p w14:paraId="28115C69">
            <w:pPr>
              <w:spacing w:line="240" w:lineRule="auto"/>
              <w:ind w:firstLine="0" w:firstLineChars="0"/>
              <w:jc w:val="center"/>
              <w:rPr>
                <w:color w:val="000000" w:themeColor="text1"/>
                <w:kern w:val="21"/>
                <w:sz w:val="21"/>
                <w:szCs w:val="21"/>
                <w14:textFill>
                  <w14:solidFill>
                    <w14:schemeClr w14:val="tx1"/>
                  </w14:solidFill>
                </w14:textFill>
              </w:rPr>
            </w:pPr>
            <w:r>
              <w:rPr>
                <w:color w:val="000000" w:themeColor="text1"/>
                <w:kern w:val="21"/>
                <w:sz w:val="21"/>
                <w:szCs w:val="21"/>
                <w14:textFill>
                  <w14:solidFill>
                    <w14:schemeClr w14:val="tx1"/>
                  </w14:solidFill>
                </w14:textFill>
              </w:rPr>
              <w:t>50</w:t>
            </w:r>
          </w:p>
        </w:tc>
        <w:tc>
          <w:tcPr>
            <w:tcW w:w="1526" w:type="pct"/>
            <w:noWrap w:val="0"/>
            <w:vAlign w:val="center"/>
          </w:tcPr>
          <w:p w14:paraId="5285242E">
            <w:pPr>
              <w:spacing w:line="240" w:lineRule="auto"/>
              <w:ind w:firstLine="0" w:firstLineChars="0"/>
              <w:jc w:val="center"/>
              <w:rPr>
                <w:color w:val="000000" w:themeColor="text1"/>
                <w:kern w:val="21"/>
                <w:sz w:val="21"/>
                <w:szCs w:val="21"/>
                <w14:textFill>
                  <w14:solidFill>
                    <w14:schemeClr w14:val="tx1"/>
                  </w14:solidFill>
                </w14:textFill>
              </w:rPr>
            </w:pPr>
            <w:r>
              <w:rPr>
                <w:color w:val="000000" w:themeColor="text1"/>
                <w:kern w:val="21"/>
                <w:sz w:val="21"/>
                <w:szCs w:val="21"/>
                <w14:textFill>
                  <w14:solidFill>
                    <w14:schemeClr w14:val="tx1"/>
                  </w14:solidFill>
                </w14:textFill>
              </w:rPr>
              <w:t>1类区</w:t>
            </w:r>
          </w:p>
        </w:tc>
      </w:tr>
      <w:tr w14:paraId="5B15EC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835" w:type="pct"/>
            <w:vMerge w:val="continue"/>
            <w:noWrap w:val="0"/>
            <w:vAlign w:val="center"/>
          </w:tcPr>
          <w:p w14:paraId="3BC011CC">
            <w:pPr>
              <w:spacing w:line="240" w:lineRule="auto"/>
              <w:ind w:firstLine="0" w:firstLineChars="0"/>
              <w:jc w:val="center"/>
              <w:rPr>
                <w:color w:val="000000" w:themeColor="text1"/>
                <w:kern w:val="21"/>
                <w:sz w:val="21"/>
                <w:szCs w:val="21"/>
                <w14:textFill>
                  <w14:solidFill>
                    <w14:schemeClr w14:val="tx1"/>
                  </w14:solidFill>
                </w14:textFill>
              </w:rPr>
            </w:pPr>
          </w:p>
        </w:tc>
        <w:tc>
          <w:tcPr>
            <w:tcW w:w="1637" w:type="pct"/>
            <w:noWrap w:val="0"/>
            <w:vAlign w:val="center"/>
          </w:tcPr>
          <w:p w14:paraId="5396BCED">
            <w:pPr>
              <w:spacing w:line="240" w:lineRule="auto"/>
              <w:ind w:firstLine="0" w:firstLineChars="0"/>
              <w:jc w:val="center"/>
              <w:rPr>
                <w:color w:val="000000" w:themeColor="text1"/>
                <w:kern w:val="21"/>
                <w:sz w:val="21"/>
                <w:szCs w:val="21"/>
                <w14:textFill>
                  <w14:solidFill>
                    <w14:schemeClr w14:val="tx1"/>
                  </w14:solidFill>
                </w14:textFill>
              </w:rPr>
            </w:pPr>
            <w:r>
              <w:rPr>
                <w:color w:val="000000" w:themeColor="text1"/>
                <w:kern w:val="21"/>
                <w:sz w:val="21"/>
                <w:szCs w:val="21"/>
                <w14:textFill>
                  <w14:solidFill>
                    <w14:schemeClr w14:val="tx1"/>
                  </w14:solidFill>
                </w14:textFill>
              </w:rPr>
              <w:t>35</w:t>
            </w:r>
          </w:p>
        </w:tc>
        <w:tc>
          <w:tcPr>
            <w:tcW w:w="1526" w:type="pct"/>
            <w:noWrap w:val="0"/>
            <w:vAlign w:val="center"/>
          </w:tcPr>
          <w:p w14:paraId="5A7CD670">
            <w:pPr>
              <w:spacing w:line="240" w:lineRule="auto"/>
              <w:ind w:firstLine="0" w:firstLineChars="0"/>
              <w:jc w:val="center"/>
              <w:rPr>
                <w:color w:val="000000" w:themeColor="text1"/>
                <w:kern w:val="21"/>
                <w:sz w:val="21"/>
                <w:szCs w:val="21"/>
                <w14:textFill>
                  <w14:solidFill>
                    <w14:schemeClr w14:val="tx1"/>
                  </w14:solidFill>
                </w14:textFill>
              </w:rPr>
            </w:pPr>
            <w:r>
              <w:rPr>
                <w:color w:val="000000" w:themeColor="text1"/>
                <w:kern w:val="21"/>
                <w:sz w:val="21"/>
                <w:szCs w:val="21"/>
                <w14:textFill>
                  <w14:solidFill>
                    <w14:schemeClr w14:val="tx1"/>
                  </w14:solidFill>
                </w14:textFill>
              </w:rPr>
              <w:t>2类区</w:t>
            </w:r>
          </w:p>
        </w:tc>
      </w:tr>
      <w:tr w14:paraId="0EDCA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835" w:type="pct"/>
            <w:vMerge w:val="continue"/>
            <w:noWrap w:val="0"/>
            <w:vAlign w:val="center"/>
          </w:tcPr>
          <w:p w14:paraId="73CAB453">
            <w:pPr>
              <w:spacing w:line="240" w:lineRule="auto"/>
              <w:ind w:firstLine="0" w:firstLineChars="0"/>
              <w:jc w:val="center"/>
              <w:rPr>
                <w:color w:val="000000" w:themeColor="text1"/>
                <w:kern w:val="21"/>
                <w:sz w:val="21"/>
                <w:szCs w:val="21"/>
                <w14:textFill>
                  <w14:solidFill>
                    <w14:schemeClr w14:val="tx1"/>
                  </w14:solidFill>
                </w14:textFill>
              </w:rPr>
            </w:pPr>
          </w:p>
        </w:tc>
        <w:tc>
          <w:tcPr>
            <w:tcW w:w="1637" w:type="pct"/>
            <w:noWrap w:val="0"/>
            <w:vAlign w:val="center"/>
          </w:tcPr>
          <w:p w14:paraId="05FF07DA">
            <w:pPr>
              <w:spacing w:line="240" w:lineRule="auto"/>
              <w:ind w:firstLine="0" w:firstLineChars="0"/>
              <w:jc w:val="center"/>
              <w:rPr>
                <w:color w:val="000000" w:themeColor="text1"/>
                <w:kern w:val="21"/>
                <w:sz w:val="21"/>
                <w:szCs w:val="21"/>
                <w14:textFill>
                  <w14:solidFill>
                    <w14:schemeClr w14:val="tx1"/>
                  </w14:solidFill>
                </w14:textFill>
              </w:rPr>
            </w:pPr>
            <w:r>
              <w:rPr>
                <w:color w:val="000000" w:themeColor="text1"/>
                <w:kern w:val="21"/>
                <w:sz w:val="21"/>
                <w:szCs w:val="21"/>
                <w14:textFill>
                  <w14:solidFill>
                    <w14:schemeClr w14:val="tx1"/>
                  </w14:solidFill>
                </w14:textFill>
              </w:rPr>
              <w:t>20</w:t>
            </w:r>
          </w:p>
        </w:tc>
        <w:tc>
          <w:tcPr>
            <w:tcW w:w="1526" w:type="pct"/>
            <w:noWrap w:val="0"/>
            <w:vAlign w:val="center"/>
          </w:tcPr>
          <w:p w14:paraId="3BC060EB">
            <w:pPr>
              <w:spacing w:line="240" w:lineRule="auto"/>
              <w:ind w:firstLine="0" w:firstLineChars="0"/>
              <w:jc w:val="center"/>
              <w:rPr>
                <w:color w:val="000000" w:themeColor="text1"/>
                <w:kern w:val="21"/>
                <w:sz w:val="21"/>
                <w:szCs w:val="21"/>
                <w14:textFill>
                  <w14:solidFill>
                    <w14:schemeClr w14:val="tx1"/>
                  </w14:solidFill>
                </w14:textFill>
              </w:rPr>
            </w:pPr>
            <w:r>
              <w:rPr>
                <w:color w:val="000000" w:themeColor="text1"/>
                <w:kern w:val="21"/>
                <w:sz w:val="21"/>
                <w:szCs w:val="21"/>
                <w14:textFill>
                  <w14:solidFill>
                    <w14:schemeClr w14:val="tx1"/>
                  </w14:solidFill>
                </w14:textFill>
              </w:rPr>
              <w:t>3类区</w:t>
            </w:r>
          </w:p>
        </w:tc>
      </w:tr>
      <w:tr w14:paraId="7ABFB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835" w:type="pct"/>
            <w:vMerge w:val="restart"/>
            <w:noWrap w:val="0"/>
            <w:vAlign w:val="center"/>
          </w:tcPr>
          <w:p w14:paraId="161ABE47">
            <w:pPr>
              <w:spacing w:line="240" w:lineRule="auto"/>
              <w:ind w:firstLine="0" w:firstLineChars="0"/>
              <w:jc w:val="center"/>
              <w:rPr>
                <w:color w:val="000000" w:themeColor="text1"/>
                <w:kern w:val="21"/>
                <w:sz w:val="21"/>
                <w:szCs w:val="21"/>
                <w14:textFill>
                  <w14:solidFill>
                    <w14:schemeClr w14:val="tx1"/>
                  </w14:solidFill>
                </w14:textFill>
              </w:rPr>
            </w:pPr>
            <w:r>
              <w:rPr>
                <w:color w:val="000000" w:themeColor="text1"/>
                <w:kern w:val="21"/>
                <w:sz w:val="21"/>
                <w:szCs w:val="21"/>
                <w14:textFill>
                  <w14:solidFill>
                    <w14:schemeClr w14:val="tx1"/>
                  </w14:solidFill>
                </w14:textFill>
              </w:rPr>
              <w:t>城市次干路、二级公路</w:t>
            </w:r>
          </w:p>
        </w:tc>
        <w:tc>
          <w:tcPr>
            <w:tcW w:w="1637" w:type="pct"/>
            <w:noWrap w:val="0"/>
            <w:vAlign w:val="center"/>
          </w:tcPr>
          <w:p w14:paraId="61A90004">
            <w:pPr>
              <w:spacing w:line="240" w:lineRule="auto"/>
              <w:ind w:firstLine="0" w:firstLineChars="0"/>
              <w:jc w:val="center"/>
              <w:rPr>
                <w:color w:val="000000" w:themeColor="text1"/>
                <w:kern w:val="21"/>
                <w:sz w:val="21"/>
                <w:szCs w:val="21"/>
                <w14:textFill>
                  <w14:solidFill>
                    <w14:schemeClr w14:val="tx1"/>
                  </w14:solidFill>
                </w14:textFill>
              </w:rPr>
            </w:pPr>
            <w:r>
              <w:rPr>
                <w:color w:val="000000" w:themeColor="text1"/>
                <w:kern w:val="21"/>
                <w:sz w:val="21"/>
                <w:szCs w:val="21"/>
                <w14:textFill>
                  <w14:solidFill>
                    <w14:schemeClr w14:val="tx1"/>
                  </w14:solidFill>
                </w14:textFill>
              </w:rPr>
              <w:t>45</w:t>
            </w:r>
          </w:p>
        </w:tc>
        <w:tc>
          <w:tcPr>
            <w:tcW w:w="1526" w:type="pct"/>
            <w:noWrap w:val="0"/>
            <w:vAlign w:val="center"/>
          </w:tcPr>
          <w:p w14:paraId="698D8B15">
            <w:pPr>
              <w:spacing w:line="240" w:lineRule="auto"/>
              <w:ind w:firstLine="0" w:firstLineChars="0"/>
              <w:jc w:val="center"/>
              <w:rPr>
                <w:color w:val="000000" w:themeColor="text1"/>
                <w:kern w:val="21"/>
                <w:sz w:val="21"/>
                <w:szCs w:val="21"/>
                <w14:textFill>
                  <w14:solidFill>
                    <w14:schemeClr w14:val="tx1"/>
                  </w14:solidFill>
                </w14:textFill>
              </w:rPr>
            </w:pPr>
            <w:r>
              <w:rPr>
                <w:color w:val="000000" w:themeColor="text1"/>
                <w:kern w:val="21"/>
                <w:sz w:val="21"/>
                <w:szCs w:val="21"/>
                <w14:textFill>
                  <w14:solidFill>
                    <w14:schemeClr w14:val="tx1"/>
                  </w14:solidFill>
                </w14:textFill>
              </w:rPr>
              <w:t>1类区</w:t>
            </w:r>
          </w:p>
        </w:tc>
      </w:tr>
      <w:tr w14:paraId="28E0B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835" w:type="pct"/>
            <w:vMerge w:val="continue"/>
            <w:noWrap w:val="0"/>
            <w:vAlign w:val="center"/>
          </w:tcPr>
          <w:p w14:paraId="6435495B">
            <w:pPr>
              <w:spacing w:line="240" w:lineRule="auto"/>
              <w:ind w:firstLine="0" w:firstLineChars="0"/>
              <w:jc w:val="center"/>
              <w:rPr>
                <w:color w:val="000000" w:themeColor="text1"/>
                <w:kern w:val="21"/>
                <w:sz w:val="21"/>
                <w:szCs w:val="21"/>
                <w14:textFill>
                  <w14:solidFill>
                    <w14:schemeClr w14:val="tx1"/>
                  </w14:solidFill>
                </w14:textFill>
              </w:rPr>
            </w:pPr>
          </w:p>
        </w:tc>
        <w:tc>
          <w:tcPr>
            <w:tcW w:w="1637" w:type="pct"/>
            <w:noWrap w:val="0"/>
            <w:vAlign w:val="center"/>
          </w:tcPr>
          <w:p w14:paraId="3903E69D">
            <w:pPr>
              <w:spacing w:line="240" w:lineRule="auto"/>
              <w:ind w:firstLine="0" w:firstLineChars="0"/>
              <w:jc w:val="center"/>
              <w:rPr>
                <w:color w:val="000000" w:themeColor="text1"/>
                <w:kern w:val="21"/>
                <w:sz w:val="21"/>
                <w:szCs w:val="21"/>
                <w14:textFill>
                  <w14:solidFill>
                    <w14:schemeClr w14:val="tx1"/>
                  </w14:solidFill>
                </w14:textFill>
              </w:rPr>
            </w:pPr>
            <w:r>
              <w:rPr>
                <w:color w:val="000000" w:themeColor="text1"/>
                <w:kern w:val="21"/>
                <w:sz w:val="21"/>
                <w:szCs w:val="21"/>
                <w14:textFill>
                  <w14:solidFill>
                    <w14:schemeClr w14:val="tx1"/>
                  </w14:solidFill>
                </w14:textFill>
              </w:rPr>
              <w:t>30</w:t>
            </w:r>
          </w:p>
        </w:tc>
        <w:tc>
          <w:tcPr>
            <w:tcW w:w="1526" w:type="pct"/>
            <w:noWrap w:val="0"/>
            <w:vAlign w:val="center"/>
          </w:tcPr>
          <w:p w14:paraId="25A892E9">
            <w:pPr>
              <w:spacing w:line="240" w:lineRule="auto"/>
              <w:ind w:firstLine="0" w:firstLineChars="0"/>
              <w:jc w:val="center"/>
              <w:rPr>
                <w:color w:val="000000" w:themeColor="text1"/>
                <w:kern w:val="21"/>
                <w:sz w:val="21"/>
                <w:szCs w:val="21"/>
                <w14:textFill>
                  <w14:solidFill>
                    <w14:schemeClr w14:val="tx1"/>
                  </w14:solidFill>
                </w14:textFill>
              </w:rPr>
            </w:pPr>
            <w:r>
              <w:rPr>
                <w:color w:val="000000" w:themeColor="text1"/>
                <w:kern w:val="21"/>
                <w:sz w:val="21"/>
                <w:szCs w:val="21"/>
                <w14:textFill>
                  <w14:solidFill>
                    <w14:schemeClr w14:val="tx1"/>
                  </w14:solidFill>
                </w14:textFill>
              </w:rPr>
              <w:t>2类区</w:t>
            </w:r>
          </w:p>
        </w:tc>
      </w:tr>
      <w:tr w14:paraId="0F8D83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835" w:type="pct"/>
            <w:vMerge w:val="continue"/>
            <w:noWrap w:val="0"/>
            <w:vAlign w:val="center"/>
          </w:tcPr>
          <w:p w14:paraId="530D9AF8">
            <w:pPr>
              <w:spacing w:line="240" w:lineRule="auto"/>
              <w:ind w:firstLine="0" w:firstLineChars="0"/>
              <w:jc w:val="center"/>
              <w:rPr>
                <w:color w:val="000000" w:themeColor="text1"/>
                <w:kern w:val="21"/>
                <w:sz w:val="21"/>
                <w:szCs w:val="21"/>
                <w14:textFill>
                  <w14:solidFill>
                    <w14:schemeClr w14:val="tx1"/>
                  </w14:solidFill>
                </w14:textFill>
              </w:rPr>
            </w:pPr>
          </w:p>
        </w:tc>
        <w:tc>
          <w:tcPr>
            <w:tcW w:w="1637" w:type="pct"/>
            <w:noWrap w:val="0"/>
            <w:vAlign w:val="center"/>
          </w:tcPr>
          <w:p w14:paraId="3C10B425">
            <w:pPr>
              <w:spacing w:line="240" w:lineRule="auto"/>
              <w:ind w:firstLine="0" w:firstLineChars="0"/>
              <w:jc w:val="center"/>
              <w:rPr>
                <w:color w:val="000000" w:themeColor="text1"/>
                <w:kern w:val="21"/>
                <w:sz w:val="21"/>
                <w:szCs w:val="21"/>
                <w14:textFill>
                  <w14:solidFill>
                    <w14:schemeClr w14:val="tx1"/>
                  </w14:solidFill>
                </w14:textFill>
              </w:rPr>
            </w:pPr>
            <w:r>
              <w:rPr>
                <w:color w:val="000000" w:themeColor="text1"/>
                <w:kern w:val="21"/>
                <w:sz w:val="21"/>
                <w:szCs w:val="21"/>
                <w14:textFill>
                  <w14:solidFill>
                    <w14:schemeClr w14:val="tx1"/>
                  </w14:solidFill>
                </w14:textFill>
              </w:rPr>
              <w:t>15</w:t>
            </w:r>
          </w:p>
        </w:tc>
        <w:tc>
          <w:tcPr>
            <w:tcW w:w="1526" w:type="pct"/>
            <w:noWrap w:val="0"/>
            <w:vAlign w:val="center"/>
          </w:tcPr>
          <w:p w14:paraId="59919ABA">
            <w:pPr>
              <w:spacing w:line="240" w:lineRule="auto"/>
              <w:ind w:firstLine="0" w:firstLineChars="0"/>
              <w:jc w:val="center"/>
              <w:rPr>
                <w:color w:val="000000" w:themeColor="text1"/>
                <w:kern w:val="21"/>
                <w:sz w:val="21"/>
                <w:szCs w:val="21"/>
                <w14:textFill>
                  <w14:solidFill>
                    <w14:schemeClr w14:val="tx1"/>
                  </w14:solidFill>
                </w14:textFill>
              </w:rPr>
            </w:pPr>
            <w:r>
              <w:rPr>
                <w:color w:val="000000" w:themeColor="text1"/>
                <w:kern w:val="21"/>
                <w:sz w:val="21"/>
                <w:szCs w:val="21"/>
                <w14:textFill>
                  <w14:solidFill>
                    <w14:schemeClr w14:val="tx1"/>
                  </w14:solidFill>
                </w14:textFill>
              </w:rPr>
              <w:t>3类区</w:t>
            </w:r>
          </w:p>
        </w:tc>
      </w:tr>
    </w:tbl>
    <w:p w14:paraId="5CE5E8A2">
      <w:pPr>
        <w:pStyle w:val="4"/>
        <w:rPr>
          <w:rFonts w:hint="eastAsia"/>
          <w:color w:val="000000" w:themeColor="text1"/>
          <w14:textFill>
            <w14:solidFill>
              <w14:schemeClr w14:val="tx1"/>
            </w14:solidFill>
          </w14:textFill>
        </w:rPr>
      </w:pPr>
      <w:bookmarkStart w:id="125" w:name="_Toc19291"/>
      <w:r>
        <w:rPr>
          <w:rFonts w:hint="eastAsia"/>
          <w:color w:val="000000" w:themeColor="text1"/>
          <w14:textFill>
            <w14:solidFill>
              <w14:schemeClr w14:val="tx1"/>
            </w14:solidFill>
          </w14:textFill>
        </w:rPr>
        <w:t>4.2.5</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临街建筑4类声环境功能区划分</w:t>
      </w:r>
      <w:bookmarkEnd w:id="125"/>
    </w:p>
    <w:p w14:paraId="5D009314">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（1）若临街建筑以低于三层楼房的建筑（含开阔地）为主，线路边界线外一定距离内（见表4-</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）的区域为4a类声环境功能区。</w:t>
      </w:r>
    </w:p>
    <w:p w14:paraId="24791CB4">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（2）若划分距离范围内临路建筑以高于三层楼房以上（含三层）的建筑为主，第一排建筑面向线路一侧至线路边界线的区域及该建筑物的两侧一定纵深距离（见表4-</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）范围内受交通噪声直达声影响的区域为4a类声环境功能区。</w:t>
      </w:r>
    </w:p>
    <w:p w14:paraId="6809C835">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（3）对于第二排及以后的建筑，若其高于前排建筑或虽低于前排建筑但因楼座错落设置使部分</w:t>
      </w:r>
      <w:r>
        <w:rPr>
          <w:rFonts w:hint="eastAsia"/>
          <w:color w:val="000000" w:themeColor="text1"/>
          <w:lang w:val="en-US" w:eastAsia="zh-CN"/>
          <w14:textFill>
            <w14:solidFill>
              <w14:schemeClr w14:val="tx1"/>
            </w14:solidFill>
          </w14:textFill>
        </w:rPr>
        <w:t>楼体</w:t>
      </w:r>
      <w:r>
        <w:rPr>
          <w:rFonts w:hint="eastAsia"/>
          <w:color w:val="000000" w:themeColor="text1"/>
          <w14:textFill>
            <w14:solidFill>
              <w14:schemeClr w14:val="tx1"/>
            </w14:solidFill>
          </w14:textFill>
        </w:rPr>
        <w:t>探出前排遮挡并受到线路交通噪声的直达声影响，则高出及探出部分的楼层面向线路一侧范围为4a类区。其余部分未受到交通噪声直达声影响的区域执行相邻声环境功能区要求。</w:t>
      </w:r>
    </w:p>
    <w:p w14:paraId="0D2A74F8">
      <w:pPr>
        <w:pStyle w:val="4"/>
        <w:rPr>
          <w:rFonts w:hint="eastAsia"/>
          <w:color w:val="000000" w:themeColor="text1"/>
          <w14:textFill>
            <w14:solidFill>
              <w14:schemeClr w14:val="tx1"/>
            </w14:solidFill>
          </w14:textFill>
        </w:rPr>
      </w:pPr>
      <w:bookmarkStart w:id="126" w:name="_Toc29758"/>
      <w:r>
        <w:rPr>
          <w:rFonts w:hint="eastAsia"/>
          <w:color w:val="000000" w:themeColor="text1"/>
          <w14:textFill>
            <w14:solidFill>
              <w14:schemeClr w14:val="tx1"/>
            </w14:solidFill>
          </w14:textFill>
        </w:rPr>
        <w:t>4.2.6</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乡村声环境功能的确定</w:t>
      </w:r>
      <w:bookmarkEnd w:id="126"/>
    </w:p>
    <w:p w14:paraId="73F70D4E">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乡村区域一般不划分声环境功能区，根据环境管理的需求，区（县）级以上人民政府环境保护行政主管部门可按以下要求确定乡村区域适用的声环境质量要求：</w:t>
      </w:r>
    </w:p>
    <w:p w14:paraId="53D45DF9">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（1）位于乡村的康复疗养区执行0类声环境功能区要求；</w:t>
      </w:r>
    </w:p>
    <w:p w14:paraId="6BE46237">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（2）村庄原则上执行1类声环境功能区要求，工业活动较多的村庄以及有交通干线经过的村庄（执行4类声环境功能区要求以外的地区）可局部或全部执行2类声环境功能区要求；</w:t>
      </w:r>
    </w:p>
    <w:p w14:paraId="1D99D85F">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（3）集镇执行2类声环境功能区要求；</w:t>
      </w:r>
    </w:p>
    <w:p w14:paraId="63B8E1E8">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（4）独立于村庄、集镇之外的工业、仓储集中区执行3类声环境功能区要求；</w:t>
      </w:r>
    </w:p>
    <w:p w14:paraId="1A176F1D">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（5）位于交通干线两侧一定距离内的噪声敏感建筑物执行4类声环境功能区要求。</w:t>
      </w:r>
    </w:p>
    <w:p w14:paraId="71AF5208">
      <w:pPr>
        <w:pStyle w:val="4"/>
        <w:rPr>
          <w:rFonts w:hint="eastAsia"/>
          <w:color w:val="000000" w:themeColor="text1"/>
          <w14:textFill>
            <w14:solidFill>
              <w14:schemeClr w14:val="tx1"/>
            </w14:solidFill>
          </w14:textFill>
        </w:rPr>
      </w:pPr>
      <w:bookmarkStart w:id="127" w:name="_Toc26467"/>
      <w:r>
        <w:rPr>
          <w:rFonts w:hint="eastAsia"/>
          <w:color w:val="000000" w:themeColor="text1"/>
          <w14:textFill>
            <w14:solidFill>
              <w14:schemeClr w14:val="tx1"/>
            </w14:solidFill>
          </w14:textFill>
        </w:rPr>
        <w:t>4.2.7</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声环境功能区划的其他规定</w:t>
      </w:r>
      <w:bookmarkEnd w:id="127"/>
    </w:p>
    <w:p w14:paraId="67514E93">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（1）大型工业区中的生活小区，根据其与生产现场的距离和环境噪声现状水平，可从工业区中划出，定为2类或1类声环境功能区。</w:t>
      </w:r>
    </w:p>
    <w:p w14:paraId="33A8E959">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（2）铁路和城市轨道交通（地面）场站、公交枢纽、港口站场、高速公路服务区等具有一定规模的交通服务区域，划为4a类或4b类声环境功能区。</w:t>
      </w:r>
    </w:p>
    <w:p w14:paraId="417FA190">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（3）尽量避免0类声环境功能区紧邻3类、4类声环境功能区的情况。</w:t>
      </w:r>
    </w:p>
    <w:p w14:paraId="6B840278">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（4）近期内区域功能与规划目标相差较大的区域，以用地现状作为区划的主要依据；随着总体规划的逐步实现，及时调整声环境功能区。</w:t>
      </w:r>
    </w:p>
    <w:p w14:paraId="268FB186">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（5）未建成的规划区内，按其规划性质或按区域声环境质量现状，结合可能的发展划定区域类型。</w:t>
      </w:r>
    </w:p>
    <w:p w14:paraId="6FB0F687">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（6）区划图图示</w:t>
      </w:r>
    </w:p>
    <w:p w14:paraId="5F26AE84">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区划图用不同颜色或阴影线在相应地图上绘制，各区域的颜色或阴影线规定如下</w:t>
      </w:r>
      <w:r>
        <w:rPr>
          <w:rFonts w:hint="eastAsia"/>
          <w:color w:val="000000" w:themeColor="text1"/>
          <w:lang w:val="en-US" w:eastAsia="zh-CN"/>
          <w14:textFill>
            <w14:solidFill>
              <w14:schemeClr w14:val="tx1"/>
            </w14:solidFill>
          </w14:textFill>
        </w:rPr>
        <w:t>图</w:t>
      </w:r>
      <w:r>
        <w:rPr>
          <w:rFonts w:hint="eastAsia"/>
          <w:color w:val="000000" w:themeColor="text1"/>
          <w14:textFill>
            <w14:solidFill>
              <w14:schemeClr w14:val="tx1"/>
            </w14:solidFill>
          </w14:textFill>
        </w:rPr>
        <w:t>所示。</w:t>
      </w:r>
    </w:p>
    <w:p w14:paraId="4EBBE472">
      <w:pPr>
        <w:pStyle w:val="3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4737100" cy="2743200"/>
            <wp:effectExtent l="0" t="0" r="2540" b="0"/>
            <wp:docPr id="10" name="图片 7" descr="各类声环境功能区图示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各类声环境功能区图示表"/>
                    <pic:cNvPicPr>
                      <a:picLocks noChangeAspect="1"/>
                    </pic:cNvPicPr>
                  </pic:nvPicPr>
                  <pic:blipFill>
                    <a:blip r:embed="rId26"/>
                    <a:stretch>
                      <a:fillRect/>
                    </a:stretch>
                  </pic:blipFill>
                  <pic:spPr>
                    <a:xfrm>
                      <a:off x="0" y="0"/>
                      <a:ext cx="4737100" cy="2743200"/>
                    </a:xfrm>
                    <a:prstGeom prst="rect">
                      <a:avLst/>
                    </a:prstGeom>
                    <a:noFill/>
                    <a:ln>
                      <a:noFill/>
                    </a:ln>
                  </pic:spPr>
                </pic:pic>
              </a:graphicData>
            </a:graphic>
          </wp:inline>
        </w:drawing>
      </w:r>
    </w:p>
    <w:p w14:paraId="7953AADF">
      <w:pPr>
        <w:pStyle w:val="3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图4-1</w:t>
      </w:r>
      <w:r>
        <w:rPr>
          <w:rFonts w:hint="eastAsia"/>
          <w:color w:val="000000" w:themeColor="text1"/>
          <w:lang w:val="en-US" w:eastAsia="zh-CN"/>
          <w14:textFill>
            <w14:solidFill>
              <w14:schemeClr w14:val="tx1"/>
            </w14:solidFill>
          </w14:textFill>
        </w:rPr>
        <w:t xml:space="preserve">  </w:t>
      </w:r>
      <w:r>
        <w:rPr>
          <w:color w:val="000000" w:themeColor="text1"/>
          <w14:textFill>
            <w14:solidFill>
              <w14:schemeClr w14:val="tx1"/>
            </w14:solidFill>
          </w14:textFill>
        </w:rPr>
        <w:t>各类声环境功能区图示</w:t>
      </w:r>
    </w:p>
    <w:p w14:paraId="3456A541">
      <w:pPr>
        <w:pStyle w:val="3"/>
        <w:keepNext/>
        <w:keepLines/>
        <w:rPr>
          <w:color w:val="000000" w:themeColor="text1"/>
          <w:kern w:val="2"/>
          <w14:textFill>
            <w14:solidFill>
              <w14:schemeClr w14:val="tx1"/>
            </w14:solidFill>
          </w14:textFill>
        </w:rPr>
      </w:pPr>
      <w:bookmarkStart w:id="128" w:name="_Toc22562"/>
      <w:bookmarkStart w:id="129" w:name="_Toc27275"/>
      <w:bookmarkStart w:id="130" w:name="_Toc19334"/>
      <w:bookmarkStart w:id="131" w:name="_Toc3773"/>
      <w:r>
        <w:rPr>
          <w:color w:val="000000" w:themeColor="text1"/>
          <w:kern w:val="2"/>
          <w14:textFill>
            <w14:solidFill>
              <w14:schemeClr w14:val="tx1"/>
            </w14:solidFill>
          </w14:textFill>
        </w:rPr>
        <w:t>4.3</w:t>
      </w:r>
      <w:r>
        <w:rPr>
          <w:rFonts w:hint="eastAsia"/>
          <w:color w:val="000000" w:themeColor="text1"/>
          <w:kern w:val="2"/>
          <w:lang w:val="en-US" w:eastAsia="zh-CN"/>
          <w14:textFill>
            <w14:solidFill>
              <w14:schemeClr w14:val="tx1"/>
            </w14:solidFill>
          </w14:textFill>
        </w:rPr>
        <w:t xml:space="preserve"> </w:t>
      </w:r>
      <w:r>
        <w:rPr>
          <w:rFonts w:hint="eastAsia"/>
          <w:color w:val="000000" w:themeColor="text1"/>
          <w:kern w:val="2"/>
          <w:lang w:eastAsia="zh-CN"/>
          <w14:textFill>
            <w14:solidFill>
              <w14:schemeClr w14:val="tx1"/>
            </w14:solidFill>
          </w14:textFill>
        </w:rPr>
        <w:t>声功能区划分</w:t>
      </w:r>
      <w:r>
        <w:rPr>
          <w:color w:val="000000" w:themeColor="text1"/>
          <w:kern w:val="2"/>
          <w14:textFill>
            <w14:solidFill>
              <w14:schemeClr w14:val="tx1"/>
            </w14:solidFill>
          </w14:textFill>
        </w:rPr>
        <w:t>方案</w:t>
      </w:r>
      <w:bookmarkEnd w:id="128"/>
      <w:bookmarkEnd w:id="129"/>
      <w:bookmarkEnd w:id="130"/>
      <w:bookmarkEnd w:id="131"/>
    </w:p>
    <w:p w14:paraId="00128A0E">
      <w:pPr>
        <w:pStyle w:val="4"/>
        <w:rPr>
          <w:rFonts w:hint="eastAsia"/>
          <w:color w:val="000000" w:themeColor="text1"/>
          <w14:textFill>
            <w14:solidFill>
              <w14:schemeClr w14:val="tx1"/>
            </w14:solidFill>
          </w14:textFill>
        </w:rPr>
      </w:pPr>
      <w:bookmarkStart w:id="132" w:name="_Toc30657"/>
      <w:r>
        <w:rPr>
          <w:rFonts w:hint="eastAsia"/>
          <w:color w:val="000000" w:themeColor="text1"/>
          <w14:textFill>
            <w14:solidFill>
              <w14:schemeClr w14:val="tx1"/>
            </w14:solidFill>
          </w14:textFill>
        </w:rPr>
        <w:t>4.3.1</w:t>
      </w:r>
      <w:r>
        <w:rPr>
          <w:rFonts w:hint="eastAsia"/>
          <w:color w:val="000000" w:themeColor="text1"/>
          <w:lang w:val="en-US" w:eastAsia="zh-CN"/>
          <w14:textFill>
            <w14:solidFill>
              <w14:schemeClr w14:val="tx1"/>
            </w14:solidFill>
          </w14:textFill>
        </w:rPr>
        <w:t xml:space="preserve"> </w:t>
      </w:r>
      <w:r>
        <w:rPr>
          <w:rFonts w:hint="eastAsia"/>
          <w:color w:val="000000" w:themeColor="text1"/>
          <w:lang w:eastAsia="zh-CN"/>
          <w14:textFill>
            <w14:solidFill>
              <w14:schemeClr w14:val="tx1"/>
            </w14:solidFill>
          </w14:textFill>
        </w:rPr>
        <w:t>确定</w:t>
      </w:r>
      <w:r>
        <w:rPr>
          <w:rFonts w:hint="eastAsia"/>
          <w:color w:val="000000" w:themeColor="text1"/>
          <w14:textFill>
            <w14:solidFill>
              <w14:schemeClr w14:val="tx1"/>
            </w14:solidFill>
          </w14:textFill>
        </w:rPr>
        <w:t>划分范围</w:t>
      </w:r>
      <w:bookmarkEnd w:id="132"/>
    </w:p>
    <w:p w14:paraId="3998A733">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本技术报告以《</w:t>
      </w:r>
      <w:r>
        <w:rPr>
          <w:rFonts w:hint="eastAsia"/>
          <w:color w:val="000000" w:themeColor="text1"/>
          <w:lang w:eastAsia="zh-CN"/>
          <w14:textFill>
            <w14:solidFill>
              <w14:schemeClr w14:val="tx1"/>
            </w14:solidFill>
          </w14:textFill>
        </w:rPr>
        <w:t>绥滨县</w:t>
      </w:r>
      <w:r>
        <w:rPr>
          <w:rFonts w:hint="eastAsia"/>
          <w:color w:val="000000" w:themeColor="text1"/>
          <w:lang w:val="en-US" w:eastAsia="zh-CN"/>
          <w14:textFill>
            <w14:solidFill>
              <w14:schemeClr w14:val="tx1"/>
            </w14:solidFill>
          </w14:textFill>
        </w:rPr>
        <w:t>国土空间</w:t>
      </w:r>
      <w:r>
        <w:rPr>
          <w:rFonts w:hint="eastAsia"/>
          <w:color w:val="000000" w:themeColor="text1"/>
          <w14:textFill>
            <w14:solidFill>
              <w14:schemeClr w14:val="tx1"/>
            </w14:solidFill>
          </w14:textFill>
        </w:rPr>
        <w:t>总体规划（</w:t>
      </w:r>
      <w:r>
        <w:rPr>
          <w:rFonts w:hint="eastAsia"/>
          <w:color w:val="000000" w:themeColor="text1"/>
          <w:lang w:val="en-US" w:eastAsia="zh-CN"/>
          <w14:textFill>
            <w14:solidFill>
              <w14:schemeClr w14:val="tx1"/>
            </w14:solidFill>
          </w14:textFill>
        </w:rPr>
        <w:t>2021—</w:t>
      </w:r>
      <w:r>
        <w:rPr>
          <w:rFonts w:hint="eastAsia"/>
          <w:color w:val="000000" w:themeColor="text1"/>
          <w14:textFill>
            <w14:solidFill>
              <w14:schemeClr w14:val="tx1"/>
            </w14:solidFill>
          </w14:textFill>
        </w:rPr>
        <w:t>203</w:t>
      </w: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年）》为依据，按照《城市用地分类与规划建设用地标准》（GB</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50137-2011）中规定的居住用地（R1类和R2类）、公园绿地（G1类）、防护绿地（G2类）、广场用地（G3类）、行政办公用地（A1类）、文化设施用地（A2类）、教育科研用地（A3类）、体育用地（A4类）、医疗卫生用地（A5类）、社会福利设施用地（A6类）、商业设施用地（B1类）、商务设施用地（B2类）、公共设施营业网点用地（B4类）、综合交通枢纽用地（S3类）、交通场站用地（S4类）、二类工业用地（M2类）、供应设施用地（U1类）、环境设施用地（U2类）、环境设施用地（U3类）、一类物流仓储用地（W1类）、特殊用地（H4类），对</w:t>
      </w: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地块功能进行划分并统计分析，确定</w:t>
      </w:r>
      <w:r>
        <w:rPr>
          <w:rFonts w:hint="eastAsia"/>
          <w:color w:val="000000" w:themeColor="text1"/>
          <w:lang w:eastAsia="zh-CN"/>
          <w14:textFill>
            <w14:solidFill>
              <w14:schemeClr w14:val="tx1"/>
            </w14:solidFill>
          </w14:textFill>
        </w:rPr>
        <w:t>绥滨县中心城区声环境功能区划分</w:t>
      </w:r>
      <w:r>
        <w:rPr>
          <w:rFonts w:hint="eastAsia"/>
          <w:color w:val="000000" w:themeColor="text1"/>
          <w14:textFill>
            <w14:solidFill>
              <w14:schemeClr w14:val="tx1"/>
            </w14:solidFill>
          </w14:textFill>
        </w:rPr>
        <w:t>的范围。</w:t>
      </w:r>
    </w:p>
    <w:p w14:paraId="065D3FA4">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按照《关于加强和规范声环境功能区划分管理工作的通知》（环办大气函﹝2017﹞1709号）要求，交通干线建设规划未实施前应按照当前声环境功能区类别管理，规划实施后适时调整为4类区。</w:t>
      </w:r>
    </w:p>
    <w:p w14:paraId="134CD3C1">
      <w:pPr>
        <w:pStyle w:val="5"/>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4.3.1.1</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确定用地现状</w:t>
      </w:r>
    </w:p>
    <w:p w14:paraId="1BA81B5B">
      <w:pPr>
        <w:ind w:firstLine="471" w:firstLineChars="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依据《</w:t>
      </w:r>
      <w:r>
        <w:rPr>
          <w:rFonts w:hint="eastAsia"/>
          <w:color w:val="000000" w:themeColor="text1"/>
          <w:lang w:eastAsia="zh-CN"/>
          <w14:textFill>
            <w14:solidFill>
              <w14:schemeClr w14:val="tx1"/>
            </w14:solidFill>
          </w14:textFill>
        </w:rPr>
        <w:t>绥滨县国土空间总体规划</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2021—</w:t>
      </w:r>
      <w:r>
        <w:rPr>
          <w:rFonts w:hint="eastAsia"/>
          <w:color w:val="000000" w:themeColor="text1"/>
          <w14:textFill>
            <w14:solidFill>
              <w14:schemeClr w14:val="tx1"/>
            </w14:solidFill>
          </w14:textFill>
        </w:rPr>
        <w:t>203</w:t>
      </w: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年）》及现状用地情况，在总规图中优先划定网格，以便于后续确定各区域声环境功能区。根据《声环境功能区划分技术规范》（GB/T</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15190-2014）要求，对各网格内土地现状情况进行统计，明确各类用地构成及比例。此次</w:t>
      </w:r>
      <w:r>
        <w:rPr>
          <w:rFonts w:hint="eastAsia"/>
          <w:color w:val="000000" w:themeColor="text1"/>
          <w:lang w:val="en-US" w:eastAsia="zh-CN"/>
          <w14:textFill>
            <w14:solidFill>
              <w14:schemeClr w14:val="tx1"/>
            </w14:solidFill>
          </w14:textFill>
        </w:rPr>
        <w:t>区划</w:t>
      </w:r>
      <w:r>
        <w:rPr>
          <w:rFonts w:hint="eastAsia"/>
          <w:color w:val="000000" w:themeColor="text1"/>
          <w14:textFill>
            <w14:solidFill>
              <w14:schemeClr w14:val="tx1"/>
            </w14:solidFill>
          </w14:textFill>
        </w:rPr>
        <w:t>每个网格设置为</w:t>
      </w:r>
      <w:r>
        <w:rPr>
          <w:rFonts w:hint="eastAsia"/>
          <w:color w:val="000000" w:themeColor="text1"/>
          <w:lang w:val="en-US" w:eastAsia="zh-CN"/>
          <w14:textFill>
            <w14:solidFill>
              <w14:schemeClr w14:val="tx1"/>
            </w14:solidFill>
          </w14:textFill>
        </w:rPr>
        <w:t>25</w:t>
      </w:r>
      <w:r>
        <w:rPr>
          <w:rFonts w:hint="eastAsia"/>
          <w:color w:val="000000" w:themeColor="text1"/>
          <w14:textFill>
            <w14:solidFill>
              <w14:schemeClr w14:val="tx1"/>
            </w14:solidFill>
          </w14:textFill>
        </w:rPr>
        <w:t>0m×</w:t>
      </w:r>
      <w:r>
        <w:rPr>
          <w:rFonts w:hint="eastAsia"/>
          <w:color w:val="000000" w:themeColor="text1"/>
          <w:lang w:val="en-US" w:eastAsia="zh-CN"/>
          <w14:textFill>
            <w14:solidFill>
              <w14:schemeClr w14:val="tx1"/>
            </w14:solidFill>
          </w14:textFill>
        </w:rPr>
        <w:t>25</w:t>
      </w:r>
      <w:r>
        <w:rPr>
          <w:rFonts w:hint="eastAsia"/>
          <w:color w:val="000000" w:themeColor="text1"/>
          <w14:textFill>
            <w14:solidFill>
              <w14:schemeClr w14:val="tx1"/>
            </w14:solidFill>
          </w14:textFill>
        </w:rPr>
        <w:t>0m范围，</w:t>
      </w: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区域网格图见图4-</w:t>
      </w: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w:t>
      </w:r>
    </w:p>
    <w:p w14:paraId="53E5FF5C">
      <w:pPr>
        <w:pStyle w:val="31"/>
        <w:rPr>
          <w:rFonts w:hint="eastAsia" w:eastAsia="黑体"/>
          <w:color w:val="000000" w:themeColor="text1"/>
          <w:lang w:eastAsia="zh-CN"/>
          <w14:textFill>
            <w14:solidFill>
              <w14:schemeClr w14:val="tx1"/>
            </w14:solidFill>
          </w14:textFill>
        </w:rPr>
        <w:sectPr>
          <w:pgSz w:w="11906" w:h="16838"/>
          <w:pgMar w:top="1440" w:right="1803" w:bottom="1440" w:left="1803" w:header="794" w:footer="992" w:gutter="0"/>
          <w:pgBorders>
            <w:top w:val="none" w:sz="0" w:space="0"/>
            <w:left w:val="none" w:sz="0" w:space="0"/>
            <w:bottom w:val="none" w:sz="0" w:space="0"/>
            <w:right w:val="none" w:sz="0" w:space="0"/>
          </w:pgBorders>
          <w:pgNumType w:fmt="numberInDash"/>
          <w:cols w:space="720" w:num="1"/>
          <w:rtlGutter w:val="0"/>
          <w:docGrid w:type="linesAndChars" w:linePitch="347" w:charSpace="-874"/>
        </w:sectPr>
      </w:pPr>
    </w:p>
    <w:p w14:paraId="28175E8D">
      <w:pPr>
        <w:pStyle w:val="31"/>
        <w:jc w:val="center"/>
        <w:rPr>
          <w:rFonts w:hint="eastAsia" w:eastAsia="黑体"/>
          <w:color w:val="000000" w:themeColor="text1"/>
          <w:lang w:eastAsia="zh-CN"/>
          <w14:textFill>
            <w14:solidFill>
              <w14:schemeClr w14:val="tx1"/>
            </w14:solidFill>
          </w14:textFill>
        </w:rPr>
      </w:pPr>
      <w:r>
        <w:rPr>
          <w:rFonts w:hint="eastAsia" w:eastAsia="黑体"/>
          <w:color w:val="000000" w:themeColor="text1"/>
          <w:lang w:eastAsia="zh-CN"/>
          <w14:textFill>
            <w14:solidFill>
              <w14:schemeClr w14:val="tx1"/>
            </w14:solidFill>
          </w14:textFill>
        </w:rPr>
        <w:drawing>
          <wp:inline distT="0" distB="0" distL="114300" distR="114300">
            <wp:extent cx="8736965" cy="4500245"/>
            <wp:effectExtent l="0" t="0" r="10795" b="10795"/>
            <wp:docPr id="8" name="图片 8" descr="914846ba2024dc58ddb8dc548edd7c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914846ba2024dc58ddb8dc548edd7c95"/>
                    <pic:cNvPicPr>
                      <a:picLocks noChangeAspect="1"/>
                    </pic:cNvPicPr>
                  </pic:nvPicPr>
                  <pic:blipFill>
                    <a:blip r:embed="rId27"/>
                    <a:srcRect l="7072" t="19299" r="11065" b="11016"/>
                    <a:stretch>
                      <a:fillRect/>
                    </a:stretch>
                  </pic:blipFill>
                  <pic:spPr>
                    <a:xfrm>
                      <a:off x="0" y="0"/>
                      <a:ext cx="8736965" cy="4500245"/>
                    </a:xfrm>
                    <a:prstGeom prst="rect">
                      <a:avLst/>
                    </a:prstGeom>
                  </pic:spPr>
                </pic:pic>
              </a:graphicData>
            </a:graphic>
          </wp:inline>
        </w:drawing>
      </w:r>
    </w:p>
    <w:p w14:paraId="4410D0D5">
      <w:pPr>
        <w:pStyle w:val="31"/>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图4-</w:t>
      </w:r>
      <w:r>
        <w:rPr>
          <w:rFonts w:hint="eastAsia"/>
          <w:color w:val="000000" w:themeColor="text1"/>
          <w:highlight w:val="none"/>
          <w:lang w:val="en-US" w:eastAsia="zh-CN"/>
          <w14:textFill>
            <w14:solidFill>
              <w14:schemeClr w14:val="tx1"/>
            </w14:solidFill>
          </w14:textFill>
        </w:rPr>
        <w:t xml:space="preserve">2  </w:t>
      </w:r>
      <w:r>
        <w:rPr>
          <w:rFonts w:hint="eastAsia"/>
          <w:color w:val="000000" w:themeColor="text1"/>
          <w:highlight w:val="none"/>
          <w:lang w:eastAsia="zh-CN"/>
          <w14:textFill>
            <w14:solidFill>
              <w14:schemeClr w14:val="tx1"/>
            </w14:solidFill>
          </w14:textFill>
        </w:rPr>
        <w:t>绥滨县中心城区</w:t>
      </w:r>
      <w:r>
        <w:rPr>
          <w:rFonts w:hint="eastAsia"/>
          <w:color w:val="000000" w:themeColor="text1"/>
          <w:highlight w:val="none"/>
          <w14:textFill>
            <w14:solidFill>
              <w14:schemeClr w14:val="tx1"/>
            </w14:solidFill>
          </w14:textFill>
        </w:rPr>
        <w:t>区域网格图</w:t>
      </w:r>
    </w:p>
    <w:p w14:paraId="38DA8309">
      <w:pPr>
        <w:pStyle w:val="5"/>
        <w:rPr>
          <w:rFonts w:hint="eastAsia"/>
          <w:color w:val="000000" w:themeColor="text1"/>
          <w14:textFill>
            <w14:solidFill>
              <w14:schemeClr w14:val="tx1"/>
            </w14:solidFill>
          </w14:textFill>
        </w:rPr>
        <w:sectPr>
          <w:pgSz w:w="16838" w:h="11906" w:orient="landscape"/>
          <w:pgMar w:top="1803" w:right="1440" w:bottom="1803" w:left="1440" w:header="794" w:footer="992" w:gutter="0"/>
          <w:pgBorders>
            <w:top w:val="none" w:sz="0" w:space="0"/>
            <w:left w:val="none" w:sz="0" w:space="0"/>
            <w:bottom w:val="none" w:sz="0" w:space="0"/>
            <w:right w:val="none" w:sz="0" w:space="0"/>
          </w:pgBorders>
          <w:pgNumType w:fmt="numberInDash"/>
          <w:cols w:space="0" w:num="1"/>
          <w:rtlGutter w:val="0"/>
          <w:docGrid w:type="linesAndChars" w:linePitch="360" w:charSpace="-874"/>
        </w:sectPr>
      </w:pPr>
    </w:p>
    <w:p w14:paraId="363FBD49">
      <w:pPr>
        <w:pStyle w:val="5"/>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4.3.1.2</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确定单元区划类型</w:t>
      </w:r>
    </w:p>
    <w:p w14:paraId="235BC7B6">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以</w:t>
      </w:r>
      <w:r>
        <w:rPr>
          <w:rFonts w:hint="eastAsia"/>
          <w:color w:val="000000" w:themeColor="text1"/>
          <w:lang w:eastAsia="zh-CN"/>
          <w14:textFill>
            <w14:solidFill>
              <w14:schemeClr w14:val="tx1"/>
            </w14:solidFill>
          </w14:textFill>
        </w:rPr>
        <w:t>绥滨县国土空间总体规划</w:t>
      </w:r>
      <w:r>
        <w:rPr>
          <w:rFonts w:hint="eastAsia"/>
          <w:color w:val="000000" w:themeColor="text1"/>
          <w14:textFill>
            <w14:solidFill>
              <w14:schemeClr w14:val="tx1"/>
            </w14:solidFill>
          </w14:textFill>
        </w:rPr>
        <w:t>以及土地利用现状为基础，按照《声环境功能区划分技术规范》（GB/T</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15190-2014）确定</w:t>
      </w: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区域声环境功能区划单元，</w:t>
      </w:r>
      <w:r>
        <w:rPr>
          <w:rFonts w:hint="eastAsia"/>
          <w:color w:val="000000" w:themeColor="text1"/>
          <w:lang w:eastAsia="zh-CN"/>
          <w14:textFill>
            <w14:solidFill>
              <w14:schemeClr w14:val="tx1"/>
            </w14:solidFill>
          </w14:textFill>
        </w:rPr>
        <w:t>在</w:t>
      </w:r>
      <w:r>
        <w:rPr>
          <w:rFonts w:hint="eastAsia"/>
          <w:color w:val="000000" w:themeColor="text1"/>
          <w14:textFill>
            <w14:solidFill>
              <w14:schemeClr w14:val="tx1"/>
            </w14:solidFill>
          </w14:textFill>
        </w:rPr>
        <w:t>划分过程中把多个区域类型相同且相邻的单元连成片，充分利用交通干线、区行政边界、河流、沟壑、绿地等地形地貌</w:t>
      </w:r>
      <w:r>
        <w:rPr>
          <w:rFonts w:hint="eastAsia"/>
          <w:color w:val="000000" w:themeColor="text1"/>
          <w:lang w:eastAsia="zh-CN"/>
          <w14:textFill>
            <w14:solidFill>
              <w14:schemeClr w14:val="tx1"/>
            </w14:solidFill>
          </w14:textFill>
        </w:rPr>
        <w:t>、地物地标</w:t>
      </w:r>
      <w:r>
        <w:rPr>
          <w:rFonts w:hint="eastAsia"/>
          <w:color w:val="000000" w:themeColor="text1"/>
          <w14:textFill>
            <w14:solidFill>
              <w14:schemeClr w14:val="tx1"/>
            </w14:solidFill>
          </w14:textFill>
        </w:rPr>
        <w:t>作为区划边界，划定各区划单元的区划类型。</w:t>
      </w:r>
    </w:p>
    <w:p w14:paraId="228957AC">
      <w:pPr>
        <w:pStyle w:val="4"/>
        <w:rPr>
          <w:color w:val="000000" w:themeColor="text1"/>
          <w14:textFill>
            <w14:solidFill>
              <w14:schemeClr w14:val="tx1"/>
            </w14:solidFill>
          </w14:textFill>
        </w:rPr>
      </w:pPr>
      <w:bookmarkStart w:id="133" w:name="_Toc15148"/>
      <w:r>
        <w:rPr>
          <w:rFonts w:hint="eastAsia"/>
          <w:color w:val="000000" w:themeColor="text1"/>
          <w14:textFill>
            <w14:solidFill>
              <w14:schemeClr w14:val="tx1"/>
            </w14:solidFill>
          </w14:textFill>
        </w:rPr>
        <w:t>4.3.2</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交通干道划分</w:t>
      </w:r>
      <w:bookmarkEnd w:id="133"/>
    </w:p>
    <w:p w14:paraId="28015C46">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根据</w:t>
      </w: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区域现状主要交通干线</w:t>
      </w:r>
      <w:r>
        <w:rPr>
          <w:rFonts w:hint="eastAsia"/>
          <w:color w:val="000000" w:themeColor="text1"/>
          <w:highlight w:val="none"/>
          <w14:textFill>
            <w14:solidFill>
              <w14:schemeClr w14:val="tx1"/>
            </w14:solidFill>
          </w14:textFill>
        </w:rPr>
        <w:t>分布情况，</w:t>
      </w:r>
      <w:r>
        <w:rPr>
          <w:rFonts w:hint="eastAsia"/>
          <w:color w:val="000000" w:themeColor="text1"/>
          <w14:textFill>
            <w14:solidFill>
              <w14:schemeClr w14:val="tx1"/>
            </w14:solidFill>
          </w14:textFill>
        </w:rPr>
        <w:t>划定本次区划中4类声环境功能区域。</w:t>
      </w: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主要交通干道情况见表4-</w:t>
      </w: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w:t>
      </w:r>
    </w:p>
    <w:p w14:paraId="6136EC74">
      <w:pPr>
        <w:pStyle w:val="3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表4-</w:t>
      </w:r>
      <w:r>
        <w:rPr>
          <w:rFonts w:hint="eastAsia"/>
          <w:color w:val="000000" w:themeColor="text1"/>
          <w:lang w:val="en-US" w:eastAsia="zh-CN"/>
          <w14:textFill>
            <w14:solidFill>
              <w14:schemeClr w14:val="tx1"/>
            </w14:solidFill>
          </w14:textFill>
        </w:rPr>
        <w:t xml:space="preserve">4  </w:t>
      </w:r>
      <w:r>
        <w:rPr>
          <w:rFonts w:hint="eastAsia"/>
          <w:color w:val="000000" w:themeColor="text1"/>
          <w14:textFill>
            <w14:solidFill>
              <w14:schemeClr w14:val="tx1"/>
            </w14:solidFill>
          </w14:textFill>
        </w:rPr>
        <w:t>城市主要交通干道划分情况</w:t>
      </w:r>
    </w:p>
    <w:tbl>
      <w:tblPr>
        <w:tblStyle w:val="19"/>
        <w:tblW w:w="501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72"/>
        <w:gridCol w:w="1278"/>
        <w:gridCol w:w="3147"/>
        <w:gridCol w:w="1551"/>
        <w:gridCol w:w="1579"/>
      </w:tblGrid>
      <w:tr w14:paraId="3C7AB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blHeader/>
        </w:trPr>
        <w:tc>
          <w:tcPr>
            <w:tcW w:w="464" w:type="pct"/>
            <w:noWrap w:val="0"/>
            <w:vAlign w:val="center"/>
          </w:tcPr>
          <w:p w14:paraId="4C12A2D5">
            <w:pPr>
              <w:pStyle w:val="30"/>
              <w:rPr>
                <w:rFonts w:hint="default" w:ascii="Times New Roman" w:hAnsi="Times New Roman" w:eastAsia="宋体" w:cs="Times New Roman"/>
                <w:b w:val="0"/>
                <w:bCs w:val="0"/>
                <w:color w:val="000000" w:themeColor="text1"/>
                <w:spacing w:val="0"/>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highlight w:val="none"/>
                <w14:textFill>
                  <w14:solidFill>
                    <w14:schemeClr w14:val="tx1"/>
                  </w14:solidFill>
                </w14:textFill>
              </w:rPr>
              <w:t>序号</w:t>
            </w:r>
          </w:p>
        </w:tc>
        <w:tc>
          <w:tcPr>
            <w:tcW w:w="767" w:type="pct"/>
            <w:noWrap w:val="0"/>
            <w:vAlign w:val="center"/>
          </w:tcPr>
          <w:p w14:paraId="0C332768">
            <w:pPr>
              <w:pStyle w:val="30"/>
              <w:rPr>
                <w:rFonts w:hint="default" w:ascii="Times New Roman" w:hAnsi="Times New Roman" w:eastAsia="宋体" w:cs="Times New Roman"/>
                <w:b w:val="0"/>
                <w:bCs w:val="0"/>
                <w:color w:val="000000" w:themeColor="text1"/>
                <w:spacing w:val="0"/>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highlight w:val="none"/>
                <w14:textFill>
                  <w14:solidFill>
                    <w14:schemeClr w14:val="tx1"/>
                  </w14:solidFill>
                </w14:textFill>
              </w:rPr>
              <w:t>道路名称</w:t>
            </w:r>
          </w:p>
        </w:tc>
        <w:tc>
          <w:tcPr>
            <w:tcW w:w="1889" w:type="pct"/>
            <w:noWrap w:val="0"/>
            <w:vAlign w:val="center"/>
          </w:tcPr>
          <w:p w14:paraId="30E0571E">
            <w:pPr>
              <w:pStyle w:val="30"/>
              <w:rPr>
                <w:rFonts w:hint="default" w:ascii="Times New Roman" w:hAnsi="Times New Roman" w:eastAsia="宋体" w:cs="Times New Roman"/>
                <w:b w:val="0"/>
                <w:bCs w:val="0"/>
                <w:color w:val="000000" w:themeColor="text1"/>
                <w:spacing w:val="0"/>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highlight w:val="none"/>
                <w14:textFill>
                  <w14:solidFill>
                    <w14:schemeClr w14:val="tx1"/>
                  </w14:solidFill>
                </w14:textFill>
              </w:rPr>
              <w:t>道路起止端</w:t>
            </w:r>
          </w:p>
        </w:tc>
        <w:tc>
          <w:tcPr>
            <w:tcW w:w="931" w:type="pct"/>
            <w:noWrap w:val="0"/>
            <w:vAlign w:val="center"/>
          </w:tcPr>
          <w:p w14:paraId="4F6A7D47">
            <w:pPr>
              <w:pStyle w:val="30"/>
              <w:rPr>
                <w:rFonts w:hint="default" w:ascii="Times New Roman" w:hAnsi="Times New Roman" w:eastAsia="宋体" w:cs="Times New Roman"/>
                <w:b w:val="0"/>
                <w:bCs w:val="0"/>
                <w:color w:val="000000" w:themeColor="text1"/>
                <w:spacing w:val="0"/>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highlight w:val="none"/>
                <w14:textFill>
                  <w14:solidFill>
                    <w14:schemeClr w14:val="tx1"/>
                  </w14:solidFill>
                </w14:textFill>
              </w:rPr>
              <w:t>道路性质</w:t>
            </w:r>
          </w:p>
        </w:tc>
        <w:tc>
          <w:tcPr>
            <w:tcW w:w="948" w:type="pct"/>
            <w:noWrap w:val="0"/>
            <w:vAlign w:val="center"/>
          </w:tcPr>
          <w:p w14:paraId="6CE8F1D4">
            <w:pPr>
              <w:pStyle w:val="30"/>
              <w:rPr>
                <w:rFonts w:hint="default" w:ascii="Times New Roman" w:hAnsi="Times New Roman" w:eastAsia="宋体" w:cs="Times New Roman"/>
                <w:b w:val="0"/>
                <w:bCs w:val="0"/>
                <w:color w:val="000000" w:themeColor="text1"/>
                <w:spacing w:val="0"/>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highlight w:val="none"/>
                <w14:textFill>
                  <w14:solidFill>
                    <w14:schemeClr w14:val="tx1"/>
                  </w14:solidFill>
                </w14:textFill>
              </w:rPr>
              <w:t>道路长度（m）</w:t>
            </w:r>
          </w:p>
        </w:tc>
      </w:tr>
      <w:tr w14:paraId="431DB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464" w:type="pct"/>
            <w:noWrap w:val="0"/>
            <w:vAlign w:val="center"/>
          </w:tcPr>
          <w:p w14:paraId="4A96E6FF">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1</w:t>
            </w:r>
          </w:p>
        </w:tc>
        <w:tc>
          <w:tcPr>
            <w:tcW w:w="1276" w:type="dxa"/>
            <w:noWrap w:val="0"/>
            <w:vAlign w:val="center"/>
          </w:tcPr>
          <w:p w14:paraId="3C59648B">
            <w:pPr>
              <w:pStyle w:val="29"/>
              <w:ind w:firstLine="0" w:firstLineChars="0"/>
              <w:rPr>
                <w:rFonts w:hint="default" w:ascii="Times New Roman" w:hAnsi="Times New Roman" w:eastAsia="宋体" w:cs="Times New Roman"/>
                <w:color w:val="000000" w:themeColor="text1"/>
                <w:spacing w:val="0"/>
                <w14:textFill>
                  <w14:solidFill>
                    <w14:schemeClr w14:val="tx1"/>
                  </w14:solidFill>
                </w14:textFill>
              </w:rPr>
            </w:pPr>
            <w:r>
              <w:rPr>
                <w:rStyle w:val="36"/>
                <w:color w:val="000000" w:themeColor="text1"/>
                <w:spacing w:val="0"/>
                <w:lang w:val="en-US" w:eastAsia="zh-CN" w:bidi="ar"/>
                <w14:textFill>
                  <w14:solidFill>
                    <w14:schemeClr w14:val="tx1"/>
                  </w14:solidFill>
                </w14:textFill>
              </w:rPr>
              <w:t>松滨大街</w:t>
            </w:r>
          </w:p>
        </w:tc>
        <w:tc>
          <w:tcPr>
            <w:tcW w:w="1889" w:type="pct"/>
            <w:noWrap w:val="0"/>
            <w:vAlign w:val="center"/>
          </w:tcPr>
          <w:p w14:paraId="468E62B7">
            <w:pPr>
              <w:pStyle w:val="29"/>
              <w:rPr>
                <w:rFonts w:hint="default"/>
                <w:color w:val="000000" w:themeColor="text1"/>
                <w:spacing w:val="0"/>
                <w:sz w:val="21"/>
                <w:szCs w:val="21"/>
                <w14:textFill>
                  <w14:solidFill>
                    <w14:schemeClr w14:val="tx1"/>
                  </w14:solidFill>
                </w14:textFill>
              </w:rPr>
            </w:pPr>
            <w:r>
              <w:rPr>
                <w:rFonts w:hint="eastAsia"/>
                <w:color w:val="000000" w:themeColor="text1"/>
                <w:spacing w:val="0"/>
                <w:sz w:val="21"/>
                <w:szCs w:val="21"/>
                <w:lang w:val="zh-CN"/>
                <w14:textFill>
                  <w14:solidFill>
                    <w14:schemeClr w14:val="tx1"/>
                  </w14:solidFill>
                </w14:textFill>
              </w:rPr>
              <w:t>傲来路</w:t>
            </w:r>
            <w:r>
              <w:rPr>
                <w:rFonts w:hint="default"/>
                <w:color w:val="000000" w:themeColor="text1"/>
                <w:spacing w:val="0"/>
                <w:sz w:val="21"/>
                <w:szCs w:val="21"/>
                <w:lang w:val="zh-CN"/>
                <w14:textFill>
                  <w14:solidFill>
                    <w14:schemeClr w14:val="tx1"/>
                  </w14:solidFill>
                </w14:textFill>
              </w:rPr>
              <w:t>――</w:t>
            </w:r>
            <w:r>
              <w:rPr>
                <w:rFonts w:hint="eastAsia"/>
                <w:color w:val="000000" w:themeColor="text1"/>
                <w:spacing w:val="0"/>
                <w:sz w:val="21"/>
                <w:szCs w:val="21"/>
                <w:lang w:val="zh-CN"/>
                <w14:textFill>
                  <w14:solidFill>
                    <w14:schemeClr w14:val="tx1"/>
                  </w14:solidFill>
                </w14:textFill>
              </w:rPr>
              <w:t>东郊路</w:t>
            </w:r>
          </w:p>
        </w:tc>
        <w:tc>
          <w:tcPr>
            <w:tcW w:w="931" w:type="pct"/>
            <w:noWrap w:val="0"/>
            <w:vAlign w:val="center"/>
          </w:tcPr>
          <w:p w14:paraId="2F9B1443">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城市主干路</w:t>
            </w:r>
          </w:p>
        </w:tc>
        <w:tc>
          <w:tcPr>
            <w:tcW w:w="948" w:type="pct"/>
            <w:noWrap w:val="0"/>
            <w:vAlign w:val="center"/>
          </w:tcPr>
          <w:p w14:paraId="6BEE6A96">
            <w:pPr>
              <w:spacing w:line="240" w:lineRule="auto"/>
              <w:ind w:firstLine="0" w:firstLineChars="0"/>
              <w:jc w:val="center"/>
              <w:rPr>
                <w:rFonts w:hint="default" w:ascii="Times New Roman" w:hAnsi="Times New Roman" w:eastAsia="宋体" w:cs="Times New Roman"/>
                <w:color w:val="000000" w:themeColor="text1"/>
                <w:spacing w:val="0"/>
                <w:sz w:val="21"/>
                <w:szCs w:val="21"/>
                <w:lang w:val="en-US"/>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5926</w:t>
            </w:r>
          </w:p>
        </w:tc>
      </w:tr>
      <w:tr w14:paraId="08DA8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464" w:type="pct"/>
            <w:noWrap w:val="0"/>
            <w:vAlign w:val="center"/>
          </w:tcPr>
          <w:p w14:paraId="130F7A56">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2</w:t>
            </w:r>
          </w:p>
        </w:tc>
        <w:tc>
          <w:tcPr>
            <w:tcW w:w="1276" w:type="dxa"/>
            <w:noWrap w:val="0"/>
            <w:vAlign w:val="center"/>
          </w:tcPr>
          <w:p w14:paraId="5F15DADE">
            <w:pPr>
              <w:pStyle w:val="29"/>
              <w:ind w:firstLine="0" w:firstLineChars="0"/>
              <w:rPr>
                <w:rFonts w:hint="default" w:ascii="Times New Roman" w:hAnsi="Times New Roman" w:eastAsia="宋体" w:cs="Times New Roman"/>
                <w:color w:val="000000" w:themeColor="text1"/>
                <w:spacing w:val="0"/>
                <w14:textFill>
                  <w14:solidFill>
                    <w14:schemeClr w14:val="tx1"/>
                  </w14:solidFill>
                </w14:textFill>
              </w:rPr>
            </w:pPr>
            <w:r>
              <w:rPr>
                <w:rStyle w:val="36"/>
                <w:color w:val="000000" w:themeColor="text1"/>
                <w:spacing w:val="0"/>
                <w:lang w:val="en-US" w:eastAsia="zh-CN" w:bidi="ar"/>
                <w14:textFill>
                  <w14:solidFill>
                    <w14:schemeClr w14:val="tx1"/>
                  </w14:solidFill>
                </w14:textFill>
              </w:rPr>
              <w:t>红星大街</w:t>
            </w:r>
          </w:p>
        </w:tc>
        <w:tc>
          <w:tcPr>
            <w:tcW w:w="1889" w:type="pct"/>
            <w:noWrap w:val="0"/>
            <w:vAlign w:val="center"/>
          </w:tcPr>
          <w:p w14:paraId="7F268231">
            <w:pPr>
              <w:pStyle w:val="29"/>
              <w:rPr>
                <w:rFonts w:hint="default"/>
                <w:color w:val="000000" w:themeColor="text1"/>
                <w:spacing w:val="0"/>
                <w:sz w:val="21"/>
                <w:szCs w:val="21"/>
                <w14:textFill>
                  <w14:solidFill>
                    <w14:schemeClr w14:val="tx1"/>
                  </w14:solidFill>
                </w14:textFill>
              </w:rPr>
            </w:pPr>
            <w:r>
              <w:rPr>
                <w:rFonts w:hint="eastAsia"/>
                <w:color w:val="000000" w:themeColor="text1"/>
                <w:spacing w:val="0"/>
                <w:sz w:val="21"/>
                <w:szCs w:val="21"/>
                <w:lang w:val="zh-CN"/>
                <w14:textFill>
                  <w14:solidFill>
                    <w14:schemeClr w14:val="tx1"/>
                  </w14:solidFill>
                </w14:textFill>
              </w:rPr>
              <w:t>傲来路</w:t>
            </w:r>
            <w:r>
              <w:rPr>
                <w:rFonts w:hint="default"/>
                <w:color w:val="000000" w:themeColor="text1"/>
                <w:spacing w:val="0"/>
                <w:sz w:val="21"/>
                <w:szCs w:val="21"/>
                <w:lang w:val="zh-CN"/>
                <w14:textFill>
                  <w14:solidFill>
                    <w14:schemeClr w14:val="tx1"/>
                  </w14:solidFill>
                </w14:textFill>
              </w:rPr>
              <w:t>――</w:t>
            </w:r>
            <w:r>
              <w:rPr>
                <w:rFonts w:hint="eastAsia"/>
                <w:color w:val="000000" w:themeColor="text1"/>
                <w:spacing w:val="0"/>
                <w:sz w:val="21"/>
                <w:szCs w:val="21"/>
                <w:lang w:val="zh-CN"/>
                <w14:textFill>
                  <w14:solidFill>
                    <w14:schemeClr w14:val="tx1"/>
                  </w14:solidFill>
                </w14:textFill>
              </w:rPr>
              <w:t>通达路</w:t>
            </w:r>
          </w:p>
        </w:tc>
        <w:tc>
          <w:tcPr>
            <w:tcW w:w="931" w:type="pct"/>
            <w:noWrap w:val="0"/>
            <w:vAlign w:val="center"/>
          </w:tcPr>
          <w:p w14:paraId="4231E06B">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城市主干路</w:t>
            </w:r>
          </w:p>
        </w:tc>
        <w:tc>
          <w:tcPr>
            <w:tcW w:w="948" w:type="pct"/>
            <w:noWrap w:val="0"/>
            <w:vAlign w:val="center"/>
          </w:tcPr>
          <w:p w14:paraId="54D22D8D">
            <w:pPr>
              <w:spacing w:line="240" w:lineRule="auto"/>
              <w:ind w:firstLine="0" w:firstLineChars="0"/>
              <w:jc w:val="cente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3719</w:t>
            </w:r>
          </w:p>
        </w:tc>
      </w:tr>
      <w:tr w14:paraId="03034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464" w:type="pct"/>
            <w:noWrap w:val="0"/>
            <w:vAlign w:val="center"/>
          </w:tcPr>
          <w:p w14:paraId="09E801BA">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3</w:t>
            </w:r>
          </w:p>
        </w:tc>
        <w:tc>
          <w:tcPr>
            <w:tcW w:w="1276" w:type="dxa"/>
            <w:noWrap w:val="0"/>
            <w:vAlign w:val="center"/>
          </w:tcPr>
          <w:p w14:paraId="46C7AB4A">
            <w:pPr>
              <w:pStyle w:val="29"/>
              <w:ind w:firstLine="0" w:firstLineChars="0"/>
              <w:rPr>
                <w:rFonts w:hint="default" w:ascii="Times New Roman" w:hAnsi="Times New Roman" w:eastAsia="宋体" w:cs="Times New Roman"/>
                <w:color w:val="000000" w:themeColor="text1"/>
                <w:spacing w:val="0"/>
                <w14:textFill>
                  <w14:solidFill>
                    <w14:schemeClr w14:val="tx1"/>
                  </w14:solidFill>
                </w14:textFill>
              </w:rPr>
            </w:pPr>
            <w:r>
              <w:rPr>
                <w:rStyle w:val="36"/>
                <w:color w:val="000000" w:themeColor="text1"/>
                <w:spacing w:val="0"/>
                <w:lang w:val="en-US" w:eastAsia="zh-CN" w:bidi="ar"/>
                <w14:textFill>
                  <w14:solidFill>
                    <w14:schemeClr w14:val="tx1"/>
                  </w14:solidFill>
                </w14:textFill>
              </w:rPr>
              <w:t>通达</w:t>
            </w:r>
            <w:r>
              <w:rPr>
                <w:rFonts w:hint="eastAsia"/>
                <w:color w:val="000000" w:themeColor="text1"/>
                <w:spacing w:val="0"/>
                <w:lang w:val="zh-CN"/>
                <w14:textFill>
                  <w14:solidFill>
                    <w14:schemeClr w14:val="tx1"/>
                  </w14:solidFill>
                </w14:textFill>
              </w:rPr>
              <w:t>路</w:t>
            </w:r>
          </w:p>
        </w:tc>
        <w:tc>
          <w:tcPr>
            <w:tcW w:w="1889" w:type="pct"/>
            <w:noWrap w:val="0"/>
            <w:vAlign w:val="center"/>
          </w:tcPr>
          <w:p w14:paraId="5312CCDB">
            <w:pPr>
              <w:pStyle w:val="29"/>
              <w:rPr>
                <w:rFonts w:hint="default"/>
                <w:color w:val="000000" w:themeColor="text1"/>
                <w:spacing w:val="0"/>
                <w:sz w:val="21"/>
                <w:szCs w:val="21"/>
                <w14:textFill>
                  <w14:solidFill>
                    <w14:schemeClr w14:val="tx1"/>
                  </w14:solidFill>
                </w14:textFill>
              </w:rPr>
            </w:pPr>
            <w:r>
              <w:rPr>
                <w:rStyle w:val="36"/>
                <w:color w:val="000000" w:themeColor="text1"/>
                <w:spacing w:val="0"/>
                <w:sz w:val="21"/>
                <w:szCs w:val="21"/>
                <w:lang w:val="en-US" w:eastAsia="zh-CN" w:bidi="ar"/>
                <w14:textFill>
                  <w14:solidFill>
                    <w14:schemeClr w14:val="tx1"/>
                  </w14:solidFill>
                </w14:textFill>
              </w:rPr>
              <w:t>松滨大街</w:t>
            </w:r>
            <w:r>
              <w:rPr>
                <w:color w:val="000000" w:themeColor="text1"/>
                <w:spacing w:val="0"/>
                <w:sz w:val="21"/>
                <w:szCs w:val="21"/>
                <w:lang w:val="zh-CN"/>
                <w14:textFill>
                  <w14:solidFill>
                    <w14:schemeClr w14:val="tx1"/>
                  </w14:solidFill>
                </w14:textFill>
              </w:rPr>
              <w:t>――</w:t>
            </w:r>
            <w:r>
              <w:rPr>
                <w:rFonts w:hint="eastAsia"/>
                <w:color w:val="000000" w:themeColor="text1"/>
                <w:spacing w:val="0"/>
                <w:sz w:val="21"/>
                <w:szCs w:val="21"/>
                <w:lang w:val="zh-CN"/>
                <w14:textFill>
                  <w14:solidFill>
                    <w14:schemeClr w14:val="tx1"/>
                  </w14:solidFill>
                </w14:textFill>
              </w:rPr>
              <w:t>大同街</w:t>
            </w:r>
          </w:p>
        </w:tc>
        <w:tc>
          <w:tcPr>
            <w:tcW w:w="931" w:type="pct"/>
            <w:noWrap w:val="0"/>
            <w:vAlign w:val="center"/>
          </w:tcPr>
          <w:p w14:paraId="16CA7575">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城市主干路</w:t>
            </w:r>
          </w:p>
        </w:tc>
        <w:tc>
          <w:tcPr>
            <w:tcW w:w="948" w:type="pct"/>
            <w:noWrap w:val="0"/>
            <w:vAlign w:val="center"/>
          </w:tcPr>
          <w:p w14:paraId="6B2A0CA4">
            <w:pPr>
              <w:spacing w:line="240" w:lineRule="auto"/>
              <w:ind w:firstLine="0" w:firstLineChars="0"/>
              <w:jc w:val="cente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1964</w:t>
            </w:r>
          </w:p>
        </w:tc>
      </w:tr>
      <w:tr w14:paraId="7FD390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464" w:type="pct"/>
            <w:noWrap w:val="0"/>
            <w:vAlign w:val="center"/>
          </w:tcPr>
          <w:p w14:paraId="38F7201B">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4</w:t>
            </w:r>
          </w:p>
        </w:tc>
        <w:tc>
          <w:tcPr>
            <w:tcW w:w="1276" w:type="dxa"/>
            <w:noWrap w:val="0"/>
            <w:vAlign w:val="center"/>
          </w:tcPr>
          <w:p w14:paraId="521AAE2F">
            <w:pPr>
              <w:pStyle w:val="29"/>
              <w:ind w:firstLine="0" w:firstLineChars="0"/>
              <w:rPr>
                <w:rFonts w:hint="default" w:ascii="Times New Roman" w:hAnsi="Times New Roman" w:eastAsia="宋体" w:cs="Times New Roman"/>
                <w:color w:val="000000" w:themeColor="text1"/>
                <w:spacing w:val="0"/>
                <w14:textFill>
                  <w14:solidFill>
                    <w14:schemeClr w14:val="tx1"/>
                  </w14:solidFill>
                </w14:textFill>
              </w:rPr>
            </w:pPr>
            <w:r>
              <w:rPr>
                <w:rStyle w:val="36"/>
                <w:color w:val="000000" w:themeColor="text1"/>
                <w:spacing w:val="0"/>
                <w:lang w:val="en-US" w:eastAsia="zh-CN" w:bidi="ar"/>
                <w14:textFill>
                  <w14:solidFill>
                    <w14:schemeClr w14:val="tx1"/>
                  </w14:solidFill>
                </w14:textFill>
              </w:rPr>
              <w:t>振荣大街</w:t>
            </w:r>
          </w:p>
        </w:tc>
        <w:tc>
          <w:tcPr>
            <w:tcW w:w="1889" w:type="pct"/>
            <w:noWrap w:val="0"/>
            <w:vAlign w:val="center"/>
          </w:tcPr>
          <w:p w14:paraId="0C284147">
            <w:pPr>
              <w:pStyle w:val="29"/>
              <w:rPr>
                <w:rFonts w:hint="default"/>
                <w:color w:val="000000" w:themeColor="text1"/>
                <w:spacing w:val="0"/>
                <w:sz w:val="21"/>
                <w:szCs w:val="21"/>
                <w14:textFill>
                  <w14:solidFill>
                    <w14:schemeClr w14:val="tx1"/>
                  </w14:solidFill>
                </w14:textFill>
              </w:rPr>
            </w:pPr>
            <w:r>
              <w:rPr>
                <w:rFonts w:hint="eastAsia"/>
                <w:color w:val="000000" w:themeColor="text1"/>
                <w:spacing w:val="0"/>
                <w:sz w:val="21"/>
                <w:szCs w:val="21"/>
                <w:lang w:val="zh-CN"/>
                <w14:textFill>
                  <w14:solidFill>
                    <w14:schemeClr w14:val="tx1"/>
                  </w14:solidFill>
                </w14:textFill>
              </w:rPr>
              <w:t>光辉路</w:t>
            </w:r>
            <w:r>
              <w:rPr>
                <w:rFonts w:hint="default"/>
                <w:color w:val="000000" w:themeColor="text1"/>
                <w:spacing w:val="0"/>
                <w:sz w:val="21"/>
                <w:szCs w:val="21"/>
                <w:lang w:val="zh-CN"/>
                <w14:textFill>
                  <w14:solidFill>
                    <w14:schemeClr w14:val="tx1"/>
                  </w14:solidFill>
                </w14:textFill>
              </w:rPr>
              <w:t>――</w:t>
            </w:r>
            <w:r>
              <w:rPr>
                <w:rFonts w:hint="eastAsia"/>
                <w:color w:val="000000" w:themeColor="text1"/>
                <w:spacing w:val="0"/>
                <w:sz w:val="21"/>
                <w:szCs w:val="21"/>
                <w:lang w:val="zh-CN"/>
                <w14:textFill>
                  <w14:solidFill>
                    <w14:schemeClr w14:val="tx1"/>
                  </w14:solidFill>
                </w14:textFill>
              </w:rPr>
              <w:t>东郊路</w:t>
            </w:r>
          </w:p>
        </w:tc>
        <w:tc>
          <w:tcPr>
            <w:tcW w:w="931" w:type="pct"/>
            <w:noWrap w:val="0"/>
            <w:vAlign w:val="center"/>
          </w:tcPr>
          <w:p w14:paraId="049EBDA2">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城市主干路</w:t>
            </w:r>
          </w:p>
        </w:tc>
        <w:tc>
          <w:tcPr>
            <w:tcW w:w="948" w:type="pct"/>
            <w:noWrap w:val="0"/>
            <w:vAlign w:val="center"/>
          </w:tcPr>
          <w:p w14:paraId="177969BB">
            <w:pPr>
              <w:spacing w:line="240" w:lineRule="auto"/>
              <w:ind w:firstLine="0" w:firstLineChars="0"/>
              <w:jc w:val="cente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3002</w:t>
            </w:r>
          </w:p>
        </w:tc>
      </w:tr>
      <w:tr w14:paraId="1944A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464" w:type="pct"/>
            <w:noWrap w:val="0"/>
            <w:vAlign w:val="center"/>
          </w:tcPr>
          <w:p w14:paraId="0AA06D68">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5</w:t>
            </w:r>
          </w:p>
        </w:tc>
        <w:tc>
          <w:tcPr>
            <w:tcW w:w="1276" w:type="dxa"/>
            <w:noWrap w:val="0"/>
            <w:vAlign w:val="center"/>
          </w:tcPr>
          <w:p w14:paraId="004666C2">
            <w:pPr>
              <w:pStyle w:val="29"/>
              <w:ind w:firstLine="0" w:firstLineChars="0"/>
              <w:rPr>
                <w:rFonts w:hint="default" w:ascii="Times New Roman" w:hAnsi="Times New Roman" w:eastAsia="宋体" w:cs="Times New Roman"/>
                <w:color w:val="000000" w:themeColor="text1"/>
                <w:spacing w:val="0"/>
                <w14:textFill>
                  <w14:solidFill>
                    <w14:schemeClr w14:val="tx1"/>
                  </w14:solidFill>
                </w14:textFill>
              </w:rPr>
            </w:pPr>
            <w:r>
              <w:rPr>
                <w:rStyle w:val="36"/>
                <w:color w:val="000000" w:themeColor="text1"/>
                <w:spacing w:val="0"/>
                <w:lang w:val="en-US" w:eastAsia="zh-CN" w:bidi="ar"/>
                <w14:textFill>
                  <w14:solidFill>
                    <w14:schemeClr w14:val="tx1"/>
                  </w14:solidFill>
                </w14:textFill>
              </w:rPr>
              <w:t>东环路</w:t>
            </w:r>
          </w:p>
        </w:tc>
        <w:tc>
          <w:tcPr>
            <w:tcW w:w="1889" w:type="pct"/>
            <w:noWrap w:val="0"/>
            <w:vAlign w:val="center"/>
          </w:tcPr>
          <w:p w14:paraId="6A7CFE59">
            <w:pPr>
              <w:pStyle w:val="29"/>
              <w:rPr>
                <w:rFonts w:hint="default"/>
                <w:color w:val="000000" w:themeColor="text1"/>
                <w:spacing w:val="0"/>
                <w:sz w:val="21"/>
                <w:szCs w:val="21"/>
                <w14:textFill>
                  <w14:solidFill>
                    <w14:schemeClr w14:val="tx1"/>
                  </w14:solidFill>
                </w14:textFill>
              </w:rPr>
            </w:pPr>
            <w:r>
              <w:rPr>
                <w:rFonts w:hint="eastAsia"/>
                <w:color w:val="000000" w:themeColor="text1"/>
                <w:spacing w:val="0"/>
                <w:sz w:val="21"/>
                <w:szCs w:val="21"/>
                <w:lang w:val="zh-CN"/>
                <w14:textFill>
                  <w14:solidFill>
                    <w14:schemeClr w14:val="tx1"/>
                  </w14:solidFill>
                </w14:textFill>
              </w:rPr>
              <w:t>顺通路</w:t>
            </w:r>
            <w:r>
              <w:rPr>
                <w:rFonts w:hint="default"/>
                <w:color w:val="000000" w:themeColor="text1"/>
                <w:spacing w:val="0"/>
                <w:sz w:val="21"/>
                <w:szCs w:val="21"/>
                <w:lang w:val="zh-CN"/>
                <w14:textFill>
                  <w14:solidFill>
                    <w14:schemeClr w14:val="tx1"/>
                  </w14:solidFill>
                </w14:textFill>
              </w:rPr>
              <w:t>――</w:t>
            </w:r>
            <w:r>
              <w:rPr>
                <w:rStyle w:val="36"/>
                <w:color w:val="000000" w:themeColor="text1"/>
                <w:spacing w:val="0"/>
                <w:sz w:val="21"/>
                <w:szCs w:val="21"/>
                <w:lang w:val="en-US" w:eastAsia="zh-CN" w:bidi="ar"/>
                <w14:textFill>
                  <w14:solidFill>
                    <w14:schemeClr w14:val="tx1"/>
                  </w14:solidFill>
                </w14:textFill>
              </w:rPr>
              <w:t>松滨大街</w:t>
            </w:r>
          </w:p>
        </w:tc>
        <w:tc>
          <w:tcPr>
            <w:tcW w:w="931" w:type="pct"/>
            <w:noWrap w:val="0"/>
            <w:vAlign w:val="center"/>
          </w:tcPr>
          <w:p w14:paraId="07CF1C75">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城市主干路</w:t>
            </w:r>
          </w:p>
        </w:tc>
        <w:tc>
          <w:tcPr>
            <w:tcW w:w="948" w:type="pct"/>
            <w:noWrap w:val="0"/>
            <w:vAlign w:val="center"/>
          </w:tcPr>
          <w:p w14:paraId="76D5F29A">
            <w:pPr>
              <w:spacing w:line="240" w:lineRule="auto"/>
              <w:ind w:firstLine="0" w:firstLineChars="0"/>
              <w:jc w:val="cente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1216</w:t>
            </w:r>
          </w:p>
        </w:tc>
      </w:tr>
      <w:tr w14:paraId="3A63F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464" w:type="pct"/>
            <w:noWrap w:val="0"/>
            <w:vAlign w:val="center"/>
          </w:tcPr>
          <w:p w14:paraId="43B546DA">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6</w:t>
            </w:r>
          </w:p>
        </w:tc>
        <w:tc>
          <w:tcPr>
            <w:tcW w:w="1276" w:type="dxa"/>
            <w:noWrap w:val="0"/>
            <w:vAlign w:val="center"/>
          </w:tcPr>
          <w:p w14:paraId="3F17EF6E">
            <w:pPr>
              <w:pStyle w:val="29"/>
              <w:ind w:firstLine="0" w:firstLineChars="0"/>
              <w:rPr>
                <w:rFonts w:hint="default" w:ascii="Times New Roman" w:hAnsi="Times New Roman" w:eastAsia="宋体" w:cs="Times New Roman"/>
                <w:color w:val="000000" w:themeColor="text1"/>
                <w:spacing w:val="0"/>
                <w14:textFill>
                  <w14:solidFill>
                    <w14:schemeClr w14:val="tx1"/>
                  </w14:solidFill>
                </w14:textFill>
              </w:rPr>
            </w:pPr>
            <w:r>
              <w:rPr>
                <w:rStyle w:val="36"/>
                <w:color w:val="000000" w:themeColor="text1"/>
                <w:spacing w:val="0"/>
                <w:lang w:val="en-US" w:eastAsia="zh-CN" w:bidi="ar"/>
                <w14:textFill>
                  <w14:solidFill>
                    <w14:schemeClr w14:val="tx1"/>
                  </w14:solidFill>
                </w14:textFill>
              </w:rPr>
              <w:t>滨北路</w:t>
            </w:r>
          </w:p>
        </w:tc>
        <w:tc>
          <w:tcPr>
            <w:tcW w:w="1889" w:type="pct"/>
            <w:noWrap w:val="0"/>
            <w:vAlign w:val="center"/>
          </w:tcPr>
          <w:p w14:paraId="667ED5E6">
            <w:pPr>
              <w:pStyle w:val="29"/>
              <w:rPr>
                <w:rFonts w:hint="default"/>
                <w:color w:val="000000" w:themeColor="text1"/>
                <w:spacing w:val="0"/>
                <w:sz w:val="21"/>
                <w:szCs w:val="21"/>
                <w:highlight w:val="none"/>
                <w14:textFill>
                  <w14:solidFill>
                    <w14:schemeClr w14:val="tx1"/>
                  </w14:solidFill>
                </w14:textFill>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北环路</w:t>
            </w:r>
            <w:r>
              <w:rPr>
                <w:rFonts w:hint="default"/>
                <w:color w:val="000000" w:themeColor="text1"/>
                <w:spacing w:val="0"/>
                <w:sz w:val="21"/>
                <w:szCs w:val="21"/>
                <w:highlight w:val="none"/>
                <w:lang w:val="zh-CN"/>
                <w14:textFill>
                  <w14:solidFill>
                    <w14:schemeClr w14:val="tx1"/>
                  </w14:solidFill>
                </w14:textFill>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松滨大街</w:t>
            </w:r>
          </w:p>
        </w:tc>
        <w:tc>
          <w:tcPr>
            <w:tcW w:w="931" w:type="pct"/>
            <w:noWrap w:val="0"/>
            <w:vAlign w:val="center"/>
          </w:tcPr>
          <w:p w14:paraId="63784B9B">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城市主干路</w:t>
            </w:r>
          </w:p>
        </w:tc>
        <w:tc>
          <w:tcPr>
            <w:tcW w:w="948" w:type="pct"/>
            <w:noWrap w:val="0"/>
            <w:vAlign w:val="center"/>
          </w:tcPr>
          <w:p w14:paraId="1129A19D">
            <w:pPr>
              <w:spacing w:line="240" w:lineRule="auto"/>
              <w:ind w:firstLine="0" w:firstLineChars="0"/>
              <w:jc w:val="cente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1722</w:t>
            </w:r>
          </w:p>
        </w:tc>
      </w:tr>
      <w:tr w14:paraId="3B8D6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464" w:type="pct"/>
            <w:noWrap w:val="0"/>
            <w:vAlign w:val="center"/>
          </w:tcPr>
          <w:p w14:paraId="0EFE87A4">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7</w:t>
            </w:r>
          </w:p>
        </w:tc>
        <w:tc>
          <w:tcPr>
            <w:tcW w:w="1276" w:type="dxa"/>
            <w:noWrap w:val="0"/>
            <w:vAlign w:val="center"/>
          </w:tcPr>
          <w:p w14:paraId="23124DA0">
            <w:pPr>
              <w:pStyle w:val="29"/>
              <w:ind w:firstLine="0" w:firstLineChars="0"/>
              <w:rPr>
                <w:rFonts w:hint="default" w:ascii="Times New Roman" w:hAnsi="Times New Roman" w:eastAsia="宋体" w:cs="Times New Roman"/>
                <w:color w:val="000000" w:themeColor="text1"/>
                <w:spacing w:val="0"/>
                <w14:textFill>
                  <w14:solidFill>
                    <w14:schemeClr w14:val="tx1"/>
                  </w14:solidFill>
                </w14:textFill>
              </w:rPr>
            </w:pPr>
            <w:r>
              <w:rPr>
                <w:rStyle w:val="36"/>
                <w:color w:val="000000" w:themeColor="text1"/>
                <w:spacing w:val="0"/>
                <w:lang w:val="en-US" w:eastAsia="zh-CN" w:bidi="ar"/>
                <w14:textFill>
                  <w14:solidFill>
                    <w14:schemeClr w14:val="tx1"/>
                  </w14:solidFill>
                </w14:textFill>
              </w:rPr>
              <w:t>西环路</w:t>
            </w:r>
          </w:p>
        </w:tc>
        <w:tc>
          <w:tcPr>
            <w:tcW w:w="1889" w:type="pct"/>
            <w:noWrap w:val="0"/>
            <w:vAlign w:val="center"/>
          </w:tcPr>
          <w:p w14:paraId="759AB43B">
            <w:pPr>
              <w:pStyle w:val="29"/>
              <w:rPr>
                <w:rFonts w:hint="default"/>
                <w:color w:val="000000" w:themeColor="text1"/>
                <w:spacing w:val="0"/>
                <w:sz w:val="21"/>
                <w:szCs w:val="21"/>
                <w:highlight w:val="none"/>
                <w14:textFill>
                  <w14:solidFill>
                    <w14:schemeClr w14:val="tx1"/>
                  </w14:solidFill>
                </w14:textFill>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红星大街</w:t>
            </w:r>
            <w:r>
              <w:rPr>
                <w:rFonts w:hint="default"/>
                <w:color w:val="000000" w:themeColor="text1"/>
                <w:spacing w:val="0"/>
                <w:sz w:val="21"/>
                <w:szCs w:val="21"/>
                <w:highlight w:val="none"/>
                <w:lang w:val="zh-CN"/>
                <w14:textFill>
                  <w14:solidFill>
                    <w14:schemeClr w14:val="tx1"/>
                  </w14:solidFill>
                </w14:textFill>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松滨大街</w:t>
            </w:r>
          </w:p>
        </w:tc>
        <w:tc>
          <w:tcPr>
            <w:tcW w:w="931" w:type="pct"/>
            <w:noWrap w:val="0"/>
            <w:vAlign w:val="center"/>
          </w:tcPr>
          <w:p w14:paraId="1F00D2D2">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城市主干路</w:t>
            </w:r>
          </w:p>
        </w:tc>
        <w:tc>
          <w:tcPr>
            <w:tcW w:w="948" w:type="pct"/>
            <w:noWrap w:val="0"/>
            <w:vAlign w:val="center"/>
          </w:tcPr>
          <w:p w14:paraId="095AA0FF">
            <w:pPr>
              <w:spacing w:line="240" w:lineRule="auto"/>
              <w:ind w:firstLine="0" w:firstLineChars="0"/>
              <w:jc w:val="cente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834</w:t>
            </w:r>
          </w:p>
        </w:tc>
      </w:tr>
      <w:tr w14:paraId="31510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464" w:type="pct"/>
            <w:noWrap w:val="0"/>
            <w:vAlign w:val="center"/>
          </w:tcPr>
          <w:p w14:paraId="50F543B0">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8</w:t>
            </w:r>
          </w:p>
        </w:tc>
        <w:tc>
          <w:tcPr>
            <w:tcW w:w="1276" w:type="dxa"/>
            <w:noWrap w:val="0"/>
            <w:vAlign w:val="center"/>
          </w:tcPr>
          <w:p w14:paraId="2863F01F">
            <w:pPr>
              <w:pStyle w:val="29"/>
              <w:ind w:firstLine="0" w:firstLineChars="0"/>
              <w:rPr>
                <w:rFonts w:hint="default" w:ascii="Times New Roman" w:hAnsi="Times New Roman" w:eastAsia="宋体" w:cs="Times New Roman"/>
                <w:color w:val="000000" w:themeColor="text1"/>
                <w:spacing w:val="0"/>
                <w14:textFill>
                  <w14:solidFill>
                    <w14:schemeClr w14:val="tx1"/>
                  </w14:solidFill>
                </w14:textFill>
              </w:rPr>
            </w:pPr>
            <w:r>
              <w:rPr>
                <w:rStyle w:val="36"/>
                <w:color w:val="000000" w:themeColor="text1"/>
                <w:spacing w:val="0"/>
                <w:lang w:val="en-US" w:eastAsia="zh-CN" w:bidi="ar"/>
                <w14:textFill>
                  <w14:solidFill>
                    <w14:schemeClr w14:val="tx1"/>
                  </w14:solidFill>
                </w14:textFill>
              </w:rPr>
              <w:t>振兴大街</w:t>
            </w:r>
          </w:p>
        </w:tc>
        <w:tc>
          <w:tcPr>
            <w:tcW w:w="1889" w:type="pct"/>
            <w:noWrap w:val="0"/>
            <w:vAlign w:val="center"/>
          </w:tcPr>
          <w:p w14:paraId="342BFC3C">
            <w:pPr>
              <w:pStyle w:val="29"/>
              <w:rPr>
                <w:rFonts w:hint="default"/>
                <w:color w:val="000000" w:themeColor="text1"/>
                <w:spacing w:val="0"/>
                <w:sz w:val="21"/>
                <w:szCs w:val="21"/>
                <w:highlight w:val="none"/>
                <w14:textFill>
                  <w14:solidFill>
                    <w14:schemeClr w14:val="tx1"/>
                  </w14:solidFill>
                </w14:textFill>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红星大街</w:t>
            </w:r>
            <w:r>
              <w:rPr>
                <w:color w:val="000000" w:themeColor="text1"/>
                <w:spacing w:val="0"/>
                <w:sz w:val="21"/>
                <w:szCs w:val="21"/>
                <w:highlight w:val="none"/>
                <w:lang w:val="zh-CN"/>
                <w14:textFill>
                  <w14:solidFill>
                    <w14:schemeClr w14:val="tx1"/>
                  </w14:solidFill>
                </w14:textFill>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东辉路</w:t>
            </w:r>
          </w:p>
        </w:tc>
        <w:tc>
          <w:tcPr>
            <w:tcW w:w="931" w:type="pct"/>
            <w:noWrap w:val="0"/>
            <w:vAlign w:val="center"/>
          </w:tcPr>
          <w:p w14:paraId="01F5E6A9">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w:t>
            </w:r>
            <w:r>
              <w:rPr>
                <w:rFonts w:hint="eastAsia"/>
                <w:color w:val="000000" w:themeColor="text1"/>
                <w:spacing w:val="0"/>
                <w:sz w:val="21"/>
                <w:szCs w:val="21"/>
                <w:lang w:eastAsia="zh-CN"/>
                <w14:textFill>
                  <w14:solidFill>
                    <w14:schemeClr w14:val="tx1"/>
                  </w14:solidFill>
                </w14:textFill>
              </w:rPr>
              <w:t>次</w:t>
            </w:r>
            <w:r>
              <w:rPr>
                <w:rFonts w:hint="eastAsia"/>
                <w:color w:val="000000" w:themeColor="text1"/>
                <w:spacing w:val="0"/>
                <w:sz w:val="21"/>
                <w:szCs w:val="21"/>
                <w14:textFill>
                  <w14:solidFill>
                    <w14:schemeClr w14:val="tx1"/>
                  </w14:solidFill>
                </w14:textFill>
              </w:rPr>
              <w:t>干路</w:t>
            </w:r>
          </w:p>
        </w:tc>
        <w:tc>
          <w:tcPr>
            <w:tcW w:w="948" w:type="pct"/>
            <w:noWrap w:val="0"/>
            <w:vAlign w:val="center"/>
          </w:tcPr>
          <w:p w14:paraId="6BAA732D">
            <w:pPr>
              <w:spacing w:line="240" w:lineRule="auto"/>
              <w:ind w:firstLine="0" w:firstLineChars="0"/>
              <w:jc w:val="cente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3224</w:t>
            </w:r>
          </w:p>
        </w:tc>
      </w:tr>
      <w:tr w14:paraId="73595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464" w:type="pct"/>
            <w:noWrap w:val="0"/>
            <w:vAlign w:val="center"/>
          </w:tcPr>
          <w:p w14:paraId="7B22FC5C">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9</w:t>
            </w:r>
          </w:p>
        </w:tc>
        <w:tc>
          <w:tcPr>
            <w:tcW w:w="1276" w:type="dxa"/>
            <w:noWrap w:val="0"/>
            <w:vAlign w:val="center"/>
          </w:tcPr>
          <w:p w14:paraId="1EC59289">
            <w:pPr>
              <w:pStyle w:val="29"/>
              <w:ind w:firstLine="0" w:firstLineChars="0"/>
              <w:rPr>
                <w:rFonts w:hint="default" w:ascii="Times New Roman" w:hAnsi="Times New Roman" w:eastAsia="宋体" w:cs="Times New Roman"/>
                <w:color w:val="000000" w:themeColor="text1"/>
                <w:spacing w:val="0"/>
                <w14:textFill>
                  <w14:solidFill>
                    <w14:schemeClr w14:val="tx1"/>
                  </w14:solidFill>
                </w14:textFill>
              </w:rPr>
            </w:pPr>
            <w:r>
              <w:rPr>
                <w:rStyle w:val="36"/>
                <w:color w:val="000000" w:themeColor="text1"/>
                <w:spacing w:val="0"/>
                <w:lang w:val="en-US" w:eastAsia="zh-CN" w:bidi="ar"/>
                <w14:textFill>
                  <w14:solidFill>
                    <w14:schemeClr w14:val="tx1"/>
                  </w14:solidFill>
                </w14:textFill>
              </w:rPr>
              <w:t>田丰街</w:t>
            </w:r>
          </w:p>
        </w:tc>
        <w:tc>
          <w:tcPr>
            <w:tcW w:w="1889" w:type="pct"/>
            <w:noWrap w:val="0"/>
            <w:vAlign w:val="center"/>
          </w:tcPr>
          <w:p w14:paraId="7E691432">
            <w:pPr>
              <w:pStyle w:val="29"/>
              <w:rPr>
                <w:color w:val="000000" w:themeColor="text1"/>
                <w:spacing w:val="0"/>
                <w:sz w:val="21"/>
                <w:szCs w:val="21"/>
                <w:highlight w:val="none"/>
                <w14:textFill>
                  <w14:solidFill>
                    <w14:schemeClr w14:val="tx1"/>
                  </w14:solidFill>
                </w14:textFill>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近河路</w:t>
            </w:r>
            <w:r>
              <w:rPr>
                <w:rFonts w:hint="default"/>
                <w:color w:val="000000" w:themeColor="text1"/>
                <w:spacing w:val="0"/>
                <w:sz w:val="21"/>
                <w:szCs w:val="21"/>
                <w:highlight w:val="none"/>
                <w:lang w:val="zh-CN"/>
                <w14:textFill>
                  <w14:solidFill>
                    <w14:schemeClr w14:val="tx1"/>
                  </w14:solidFill>
                </w14:textFill>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通江路</w:t>
            </w:r>
          </w:p>
        </w:tc>
        <w:tc>
          <w:tcPr>
            <w:tcW w:w="931" w:type="pct"/>
            <w:noWrap w:val="0"/>
            <w:vAlign w:val="center"/>
          </w:tcPr>
          <w:p w14:paraId="164C2515">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w:t>
            </w:r>
            <w:r>
              <w:rPr>
                <w:rFonts w:hint="eastAsia"/>
                <w:color w:val="000000" w:themeColor="text1"/>
                <w:spacing w:val="0"/>
                <w:sz w:val="21"/>
                <w:szCs w:val="21"/>
                <w:lang w:eastAsia="zh-CN"/>
                <w14:textFill>
                  <w14:solidFill>
                    <w14:schemeClr w14:val="tx1"/>
                  </w14:solidFill>
                </w14:textFill>
              </w:rPr>
              <w:t>次</w:t>
            </w:r>
            <w:r>
              <w:rPr>
                <w:rFonts w:hint="eastAsia"/>
                <w:color w:val="000000" w:themeColor="text1"/>
                <w:spacing w:val="0"/>
                <w:sz w:val="21"/>
                <w:szCs w:val="21"/>
                <w14:textFill>
                  <w14:solidFill>
                    <w14:schemeClr w14:val="tx1"/>
                  </w14:solidFill>
                </w14:textFill>
              </w:rPr>
              <w:t>干路</w:t>
            </w:r>
          </w:p>
        </w:tc>
        <w:tc>
          <w:tcPr>
            <w:tcW w:w="948" w:type="pct"/>
            <w:noWrap w:val="0"/>
            <w:vAlign w:val="center"/>
          </w:tcPr>
          <w:p w14:paraId="2123EC91">
            <w:pPr>
              <w:spacing w:line="240" w:lineRule="auto"/>
              <w:ind w:firstLine="0" w:firstLineChars="0"/>
              <w:jc w:val="cente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1775</w:t>
            </w:r>
          </w:p>
        </w:tc>
      </w:tr>
      <w:tr w14:paraId="42E0A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464" w:type="pct"/>
            <w:noWrap w:val="0"/>
            <w:vAlign w:val="center"/>
          </w:tcPr>
          <w:p w14:paraId="43DC0A30">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10</w:t>
            </w:r>
          </w:p>
        </w:tc>
        <w:tc>
          <w:tcPr>
            <w:tcW w:w="1276" w:type="dxa"/>
            <w:noWrap w:val="0"/>
            <w:vAlign w:val="center"/>
          </w:tcPr>
          <w:p w14:paraId="7ECF0059">
            <w:pPr>
              <w:pStyle w:val="29"/>
              <w:ind w:firstLine="0" w:firstLineChars="0"/>
              <w:rPr>
                <w:rFonts w:hint="default" w:ascii="Times New Roman" w:hAnsi="Times New Roman" w:eastAsia="宋体" w:cs="Times New Roman"/>
                <w:color w:val="000000" w:themeColor="text1"/>
                <w:spacing w:val="0"/>
                <w14:textFill>
                  <w14:solidFill>
                    <w14:schemeClr w14:val="tx1"/>
                  </w14:solidFill>
                </w14:textFill>
              </w:rPr>
            </w:pPr>
            <w:r>
              <w:rPr>
                <w:rStyle w:val="36"/>
                <w:color w:val="000000" w:themeColor="text1"/>
                <w:spacing w:val="0"/>
                <w:lang w:val="en-US" w:eastAsia="zh-CN" w:bidi="ar"/>
                <w14:textFill>
                  <w14:solidFill>
                    <w14:schemeClr w14:val="tx1"/>
                  </w14:solidFill>
                </w14:textFill>
              </w:rPr>
              <w:t>渡口路</w:t>
            </w:r>
          </w:p>
        </w:tc>
        <w:tc>
          <w:tcPr>
            <w:tcW w:w="1889" w:type="pct"/>
            <w:noWrap w:val="0"/>
            <w:vAlign w:val="center"/>
          </w:tcPr>
          <w:p w14:paraId="4F4F8C81">
            <w:pPr>
              <w:pStyle w:val="29"/>
              <w:rPr>
                <w:rFonts w:hint="default"/>
                <w:color w:val="000000" w:themeColor="text1"/>
                <w:spacing w:val="0"/>
                <w:sz w:val="21"/>
                <w:szCs w:val="21"/>
                <w:highlight w:val="none"/>
                <w14:textFill>
                  <w14:solidFill>
                    <w14:schemeClr w14:val="tx1"/>
                  </w14:solidFill>
                </w14:textFill>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顺通街</w:t>
            </w:r>
            <w:r>
              <w:rPr>
                <w:rFonts w:hint="default"/>
                <w:color w:val="000000" w:themeColor="text1"/>
                <w:spacing w:val="0"/>
                <w:sz w:val="21"/>
                <w:szCs w:val="21"/>
                <w:highlight w:val="none"/>
                <w:lang w:val="zh-CN"/>
                <w14:textFill>
                  <w14:solidFill>
                    <w14:schemeClr w14:val="tx1"/>
                  </w14:solidFill>
                </w14:textFill>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江滨街</w:t>
            </w:r>
          </w:p>
        </w:tc>
        <w:tc>
          <w:tcPr>
            <w:tcW w:w="1551" w:type="dxa"/>
            <w:noWrap w:val="0"/>
            <w:vAlign w:val="center"/>
          </w:tcPr>
          <w:p w14:paraId="237BF635">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w:t>
            </w:r>
            <w:r>
              <w:rPr>
                <w:rFonts w:hint="eastAsia"/>
                <w:color w:val="000000" w:themeColor="text1"/>
                <w:spacing w:val="0"/>
                <w:sz w:val="21"/>
                <w:szCs w:val="21"/>
                <w:lang w:eastAsia="zh-CN"/>
                <w14:textFill>
                  <w14:solidFill>
                    <w14:schemeClr w14:val="tx1"/>
                  </w14:solidFill>
                </w14:textFill>
              </w:rPr>
              <w:t>次</w:t>
            </w:r>
            <w:r>
              <w:rPr>
                <w:rFonts w:hint="eastAsia"/>
                <w:color w:val="000000" w:themeColor="text1"/>
                <w:spacing w:val="0"/>
                <w:sz w:val="21"/>
                <w:szCs w:val="21"/>
                <w14:textFill>
                  <w14:solidFill>
                    <w14:schemeClr w14:val="tx1"/>
                  </w14:solidFill>
                </w14:textFill>
              </w:rPr>
              <w:t>干路</w:t>
            </w:r>
          </w:p>
        </w:tc>
        <w:tc>
          <w:tcPr>
            <w:tcW w:w="948" w:type="pct"/>
            <w:noWrap w:val="0"/>
            <w:vAlign w:val="center"/>
          </w:tcPr>
          <w:p w14:paraId="7CEEC6A0">
            <w:pPr>
              <w:spacing w:line="240" w:lineRule="auto"/>
              <w:ind w:firstLine="0" w:firstLineChars="0"/>
              <w:jc w:val="cente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2028</w:t>
            </w:r>
          </w:p>
        </w:tc>
      </w:tr>
      <w:tr w14:paraId="088EA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464" w:type="pct"/>
            <w:noWrap w:val="0"/>
            <w:vAlign w:val="center"/>
          </w:tcPr>
          <w:p w14:paraId="59ED6F9B">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11</w:t>
            </w:r>
          </w:p>
        </w:tc>
        <w:tc>
          <w:tcPr>
            <w:tcW w:w="1276" w:type="dxa"/>
            <w:noWrap w:val="0"/>
            <w:vAlign w:val="center"/>
          </w:tcPr>
          <w:p w14:paraId="65252590">
            <w:pPr>
              <w:pStyle w:val="29"/>
              <w:ind w:firstLine="0" w:firstLineChars="0"/>
              <w:rPr>
                <w:rFonts w:hint="default" w:ascii="Times New Roman" w:hAnsi="Times New Roman" w:eastAsia="宋体" w:cs="Times New Roman"/>
                <w:color w:val="000000" w:themeColor="text1"/>
                <w:spacing w:val="0"/>
                <w14:textFill>
                  <w14:solidFill>
                    <w14:schemeClr w14:val="tx1"/>
                  </w14:solidFill>
                </w14:textFill>
              </w:rPr>
            </w:pPr>
            <w:r>
              <w:rPr>
                <w:rStyle w:val="36"/>
                <w:color w:val="000000" w:themeColor="text1"/>
                <w:spacing w:val="0"/>
                <w:lang w:val="en-US" w:eastAsia="zh-CN" w:bidi="ar"/>
                <w14:textFill>
                  <w14:solidFill>
                    <w14:schemeClr w14:val="tx1"/>
                  </w14:solidFill>
                </w14:textFill>
              </w:rPr>
              <w:t>东辉路</w:t>
            </w:r>
          </w:p>
        </w:tc>
        <w:tc>
          <w:tcPr>
            <w:tcW w:w="1889" w:type="pct"/>
            <w:noWrap w:val="0"/>
            <w:vAlign w:val="center"/>
          </w:tcPr>
          <w:p w14:paraId="47617C63">
            <w:pPr>
              <w:pStyle w:val="29"/>
              <w:rPr>
                <w:rFonts w:hint="default"/>
                <w:color w:val="000000" w:themeColor="text1"/>
                <w:spacing w:val="0"/>
                <w:sz w:val="21"/>
                <w:szCs w:val="21"/>
                <w:highlight w:val="none"/>
                <w14:textFill>
                  <w14:solidFill>
                    <w14:schemeClr w14:val="tx1"/>
                  </w14:solidFill>
                </w14:textFill>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红星东街</w:t>
            </w:r>
            <w:r>
              <w:rPr>
                <w:rFonts w:hint="default"/>
                <w:color w:val="000000" w:themeColor="text1"/>
                <w:spacing w:val="0"/>
                <w:sz w:val="21"/>
                <w:szCs w:val="21"/>
                <w:highlight w:val="none"/>
                <w:lang w:val="zh-CN"/>
                <w14:textFill>
                  <w14:solidFill>
                    <w14:schemeClr w14:val="tx1"/>
                  </w14:solidFill>
                </w14:textFill>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江滨街</w:t>
            </w:r>
          </w:p>
        </w:tc>
        <w:tc>
          <w:tcPr>
            <w:tcW w:w="1551" w:type="dxa"/>
            <w:noWrap w:val="0"/>
            <w:vAlign w:val="center"/>
          </w:tcPr>
          <w:p w14:paraId="74B22610">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w:t>
            </w:r>
            <w:r>
              <w:rPr>
                <w:rFonts w:hint="eastAsia"/>
                <w:color w:val="000000" w:themeColor="text1"/>
                <w:spacing w:val="0"/>
                <w:sz w:val="21"/>
                <w:szCs w:val="21"/>
                <w:lang w:eastAsia="zh-CN"/>
                <w14:textFill>
                  <w14:solidFill>
                    <w14:schemeClr w14:val="tx1"/>
                  </w14:solidFill>
                </w14:textFill>
              </w:rPr>
              <w:t>次</w:t>
            </w:r>
            <w:r>
              <w:rPr>
                <w:rFonts w:hint="eastAsia"/>
                <w:color w:val="000000" w:themeColor="text1"/>
                <w:spacing w:val="0"/>
                <w:sz w:val="21"/>
                <w:szCs w:val="21"/>
                <w14:textFill>
                  <w14:solidFill>
                    <w14:schemeClr w14:val="tx1"/>
                  </w14:solidFill>
                </w14:textFill>
              </w:rPr>
              <w:t>干路</w:t>
            </w:r>
          </w:p>
        </w:tc>
        <w:tc>
          <w:tcPr>
            <w:tcW w:w="948" w:type="pct"/>
            <w:noWrap w:val="0"/>
            <w:vAlign w:val="center"/>
          </w:tcPr>
          <w:p w14:paraId="11C8C4C7">
            <w:pPr>
              <w:spacing w:line="240" w:lineRule="auto"/>
              <w:ind w:firstLine="0" w:firstLineChars="0"/>
              <w:jc w:val="cente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1120</w:t>
            </w:r>
          </w:p>
        </w:tc>
      </w:tr>
      <w:tr w14:paraId="776B0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464" w:type="pct"/>
            <w:noWrap w:val="0"/>
            <w:vAlign w:val="center"/>
          </w:tcPr>
          <w:p w14:paraId="1F7BCBCB">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12</w:t>
            </w:r>
          </w:p>
        </w:tc>
        <w:tc>
          <w:tcPr>
            <w:tcW w:w="1276" w:type="dxa"/>
            <w:noWrap w:val="0"/>
            <w:vAlign w:val="center"/>
          </w:tcPr>
          <w:p w14:paraId="5D8F0301">
            <w:pPr>
              <w:pStyle w:val="29"/>
              <w:ind w:firstLine="0" w:firstLineChars="0"/>
              <w:rPr>
                <w:rFonts w:hint="default" w:ascii="Times New Roman" w:hAnsi="Times New Roman" w:eastAsia="宋体" w:cs="Times New Roman"/>
                <w:color w:val="000000" w:themeColor="text1"/>
                <w:spacing w:val="0"/>
                <w14:textFill>
                  <w14:solidFill>
                    <w14:schemeClr w14:val="tx1"/>
                  </w14:solidFill>
                </w14:textFill>
              </w:rPr>
            </w:pPr>
            <w:r>
              <w:rPr>
                <w:rStyle w:val="36"/>
                <w:color w:val="000000" w:themeColor="text1"/>
                <w:spacing w:val="0"/>
                <w:lang w:val="en-US" w:eastAsia="zh-CN" w:bidi="ar"/>
                <w14:textFill>
                  <w14:solidFill>
                    <w14:schemeClr w14:val="tx1"/>
                  </w14:solidFill>
                </w14:textFill>
              </w:rPr>
              <w:t>通江路</w:t>
            </w:r>
          </w:p>
        </w:tc>
        <w:tc>
          <w:tcPr>
            <w:tcW w:w="1889" w:type="pct"/>
            <w:noWrap w:val="0"/>
            <w:vAlign w:val="center"/>
          </w:tcPr>
          <w:p w14:paraId="766BCB7D">
            <w:pPr>
              <w:pStyle w:val="29"/>
              <w:rPr>
                <w:color w:val="000000" w:themeColor="text1"/>
                <w:spacing w:val="0"/>
                <w:sz w:val="21"/>
                <w:szCs w:val="21"/>
                <w:highlight w:val="none"/>
                <w14:textFill>
                  <w14:solidFill>
                    <w14:schemeClr w14:val="tx1"/>
                  </w14:solidFill>
                </w14:textFill>
              </w:rPr>
            </w:pPr>
            <w:r>
              <w:rPr>
                <w:rStyle w:val="36"/>
                <w:color w:val="000000" w:themeColor="text1"/>
                <w:spacing w:val="0"/>
                <w:sz w:val="21"/>
                <w:szCs w:val="21"/>
                <w:highlight w:val="none"/>
                <w:lang w:val="en-US" w:eastAsia="zh-CN" w:bidi="ar"/>
                <w14:textFill>
                  <w14:solidFill>
                    <w14:schemeClr w14:val="tx1"/>
                  </w14:solidFill>
                </w14:textFill>
              </w:rPr>
              <w:t>松滨大街</w:t>
            </w:r>
            <w:r>
              <w:rPr>
                <w:rFonts w:hint="default"/>
                <w:color w:val="000000" w:themeColor="text1"/>
                <w:spacing w:val="0"/>
                <w:sz w:val="21"/>
                <w:szCs w:val="21"/>
                <w:highlight w:val="none"/>
                <w:lang w:val="zh-CN"/>
                <w14:textFill>
                  <w14:solidFill>
                    <w14:schemeClr w14:val="tx1"/>
                  </w14:solidFill>
                </w14:textFill>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江堤路</w:t>
            </w:r>
          </w:p>
        </w:tc>
        <w:tc>
          <w:tcPr>
            <w:tcW w:w="1551" w:type="dxa"/>
            <w:noWrap w:val="0"/>
            <w:vAlign w:val="center"/>
          </w:tcPr>
          <w:p w14:paraId="4A94E717">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w:t>
            </w:r>
            <w:r>
              <w:rPr>
                <w:rFonts w:hint="eastAsia"/>
                <w:color w:val="000000" w:themeColor="text1"/>
                <w:spacing w:val="0"/>
                <w:sz w:val="21"/>
                <w:szCs w:val="21"/>
                <w:lang w:eastAsia="zh-CN"/>
                <w14:textFill>
                  <w14:solidFill>
                    <w14:schemeClr w14:val="tx1"/>
                  </w14:solidFill>
                </w14:textFill>
              </w:rPr>
              <w:t>次</w:t>
            </w:r>
            <w:r>
              <w:rPr>
                <w:rFonts w:hint="eastAsia"/>
                <w:color w:val="000000" w:themeColor="text1"/>
                <w:spacing w:val="0"/>
                <w:sz w:val="21"/>
                <w:szCs w:val="21"/>
                <w14:textFill>
                  <w14:solidFill>
                    <w14:schemeClr w14:val="tx1"/>
                  </w14:solidFill>
                </w14:textFill>
              </w:rPr>
              <w:t>干路</w:t>
            </w:r>
          </w:p>
        </w:tc>
        <w:tc>
          <w:tcPr>
            <w:tcW w:w="948" w:type="pct"/>
            <w:noWrap w:val="0"/>
            <w:vAlign w:val="center"/>
          </w:tcPr>
          <w:p w14:paraId="7E6A16A6">
            <w:pPr>
              <w:spacing w:line="240" w:lineRule="auto"/>
              <w:ind w:firstLine="0" w:firstLineChars="0"/>
              <w:jc w:val="cente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492</w:t>
            </w:r>
          </w:p>
        </w:tc>
      </w:tr>
      <w:tr w14:paraId="3F70C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464" w:type="pct"/>
            <w:noWrap w:val="0"/>
            <w:vAlign w:val="center"/>
          </w:tcPr>
          <w:p w14:paraId="3E37C66A">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13</w:t>
            </w:r>
          </w:p>
        </w:tc>
        <w:tc>
          <w:tcPr>
            <w:tcW w:w="1276" w:type="dxa"/>
            <w:noWrap w:val="0"/>
            <w:vAlign w:val="center"/>
          </w:tcPr>
          <w:p w14:paraId="71BCCC9C">
            <w:pPr>
              <w:pStyle w:val="29"/>
              <w:ind w:firstLine="0" w:firstLineChars="0"/>
              <w:rPr>
                <w:rFonts w:hint="default" w:ascii="Times New Roman" w:hAnsi="Times New Roman" w:eastAsia="宋体" w:cs="Times New Roman"/>
                <w:color w:val="000000" w:themeColor="text1"/>
                <w:spacing w:val="0"/>
                <w14:textFill>
                  <w14:solidFill>
                    <w14:schemeClr w14:val="tx1"/>
                  </w14:solidFill>
                </w14:textFill>
              </w:rPr>
            </w:pPr>
            <w:r>
              <w:rPr>
                <w:rStyle w:val="36"/>
                <w:color w:val="000000" w:themeColor="text1"/>
                <w:spacing w:val="0"/>
                <w:lang w:val="en-US" w:eastAsia="zh-CN" w:bidi="ar"/>
                <w14:textFill>
                  <w14:solidFill>
                    <w14:schemeClr w14:val="tx1"/>
                  </w14:solidFill>
                </w14:textFill>
              </w:rPr>
              <w:t>向阳路</w:t>
            </w:r>
          </w:p>
        </w:tc>
        <w:tc>
          <w:tcPr>
            <w:tcW w:w="1889" w:type="pct"/>
            <w:noWrap w:val="0"/>
            <w:vAlign w:val="center"/>
          </w:tcPr>
          <w:p w14:paraId="63819579">
            <w:pPr>
              <w:pStyle w:val="29"/>
              <w:rPr>
                <w:rFonts w:hint="default"/>
                <w:color w:val="000000" w:themeColor="text1"/>
                <w:spacing w:val="0"/>
                <w:sz w:val="21"/>
                <w:szCs w:val="21"/>
                <w:highlight w:val="none"/>
                <w14:textFill>
                  <w14:solidFill>
                    <w14:schemeClr w14:val="tx1"/>
                  </w14:solidFill>
                </w14:textFill>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红星大街</w:t>
            </w:r>
            <w:r>
              <w:rPr>
                <w:rFonts w:hint="default"/>
                <w:color w:val="000000" w:themeColor="text1"/>
                <w:spacing w:val="0"/>
                <w:sz w:val="21"/>
                <w:szCs w:val="21"/>
                <w:highlight w:val="none"/>
                <w:lang w:val="zh-CN"/>
                <w14:textFill>
                  <w14:solidFill>
                    <w14:schemeClr w14:val="tx1"/>
                  </w14:solidFill>
                </w14:textFill>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江堤路</w:t>
            </w:r>
          </w:p>
        </w:tc>
        <w:tc>
          <w:tcPr>
            <w:tcW w:w="1551" w:type="dxa"/>
            <w:noWrap w:val="0"/>
            <w:vAlign w:val="center"/>
          </w:tcPr>
          <w:p w14:paraId="084731C3">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w:t>
            </w:r>
            <w:r>
              <w:rPr>
                <w:rFonts w:hint="eastAsia"/>
                <w:color w:val="000000" w:themeColor="text1"/>
                <w:spacing w:val="0"/>
                <w:sz w:val="21"/>
                <w:szCs w:val="21"/>
                <w:lang w:eastAsia="zh-CN"/>
                <w14:textFill>
                  <w14:solidFill>
                    <w14:schemeClr w14:val="tx1"/>
                  </w14:solidFill>
                </w14:textFill>
              </w:rPr>
              <w:t>次</w:t>
            </w:r>
            <w:r>
              <w:rPr>
                <w:rFonts w:hint="eastAsia"/>
                <w:color w:val="000000" w:themeColor="text1"/>
                <w:spacing w:val="0"/>
                <w:sz w:val="21"/>
                <w:szCs w:val="21"/>
                <w14:textFill>
                  <w14:solidFill>
                    <w14:schemeClr w14:val="tx1"/>
                  </w14:solidFill>
                </w14:textFill>
              </w:rPr>
              <w:t>干路</w:t>
            </w:r>
          </w:p>
        </w:tc>
        <w:tc>
          <w:tcPr>
            <w:tcW w:w="948" w:type="pct"/>
            <w:noWrap w:val="0"/>
            <w:vAlign w:val="center"/>
          </w:tcPr>
          <w:p w14:paraId="1A4507DB">
            <w:pPr>
              <w:spacing w:line="240" w:lineRule="auto"/>
              <w:ind w:firstLine="0" w:firstLineChars="0"/>
              <w:jc w:val="cente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1554</w:t>
            </w:r>
          </w:p>
        </w:tc>
      </w:tr>
      <w:tr w14:paraId="6C209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464" w:type="pct"/>
            <w:noWrap w:val="0"/>
            <w:vAlign w:val="center"/>
          </w:tcPr>
          <w:p w14:paraId="027329BA">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14</w:t>
            </w:r>
          </w:p>
        </w:tc>
        <w:tc>
          <w:tcPr>
            <w:tcW w:w="1276" w:type="dxa"/>
            <w:noWrap w:val="0"/>
            <w:vAlign w:val="center"/>
          </w:tcPr>
          <w:p w14:paraId="12F924B1">
            <w:pPr>
              <w:pStyle w:val="29"/>
              <w:ind w:firstLine="0" w:firstLineChars="0"/>
              <w:rPr>
                <w:rFonts w:hint="default" w:ascii="Times New Roman" w:hAnsi="Times New Roman" w:eastAsia="宋体" w:cs="Times New Roman"/>
                <w:color w:val="000000" w:themeColor="text1"/>
                <w:spacing w:val="0"/>
                <w14:textFill>
                  <w14:solidFill>
                    <w14:schemeClr w14:val="tx1"/>
                  </w14:solidFill>
                </w14:textFill>
              </w:rPr>
            </w:pPr>
            <w:r>
              <w:rPr>
                <w:rStyle w:val="36"/>
                <w:color w:val="000000" w:themeColor="text1"/>
                <w:spacing w:val="0"/>
                <w:lang w:val="en-US" w:eastAsia="zh-CN" w:bidi="ar"/>
                <w14:textFill>
                  <w14:solidFill>
                    <w14:schemeClr w14:val="tx1"/>
                  </w14:solidFill>
                </w14:textFill>
              </w:rPr>
              <w:t>奋斗路</w:t>
            </w:r>
          </w:p>
        </w:tc>
        <w:tc>
          <w:tcPr>
            <w:tcW w:w="1889" w:type="pct"/>
            <w:noWrap w:val="0"/>
            <w:vAlign w:val="center"/>
          </w:tcPr>
          <w:p w14:paraId="114D9A79">
            <w:pPr>
              <w:pStyle w:val="29"/>
              <w:rPr>
                <w:rFonts w:hint="default"/>
                <w:color w:val="000000" w:themeColor="text1"/>
                <w:spacing w:val="0"/>
                <w:sz w:val="21"/>
                <w:szCs w:val="21"/>
                <w:highlight w:val="none"/>
                <w14:textFill>
                  <w14:solidFill>
                    <w14:schemeClr w14:val="tx1"/>
                  </w14:solidFill>
                </w14:textFill>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红星大街</w:t>
            </w:r>
            <w:r>
              <w:rPr>
                <w:rFonts w:hint="default"/>
                <w:color w:val="000000" w:themeColor="text1"/>
                <w:spacing w:val="0"/>
                <w:sz w:val="21"/>
                <w:szCs w:val="21"/>
                <w:highlight w:val="none"/>
                <w:lang w:val="zh-CN"/>
                <w14:textFill>
                  <w14:solidFill>
                    <w14:schemeClr w14:val="tx1"/>
                  </w14:solidFill>
                </w14:textFill>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田丰街</w:t>
            </w:r>
          </w:p>
        </w:tc>
        <w:tc>
          <w:tcPr>
            <w:tcW w:w="1551" w:type="dxa"/>
            <w:noWrap w:val="0"/>
            <w:vAlign w:val="center"/>
          </w:tcPr>
          <w:p w14:paraId="4E623378">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w:t>
            </w:r>
            <w:r>
              <w:rPr>
                <w:rFonts w:hint="eastAsia"/>
                <w:color w:val="000000" w:themeColor="text1"/>
                <w:spacing w:val="0"/>
                <w:sz w:val="21"/>
                <w:szCs w:val="21"/>
                <w:lang w:eastAsia="zh-CN"/>
                <w14:textFill>
                  <w14:solidFill>
                    <w14:schemeClr w14:val="tx1"/>
                  </w14:solidFill>
                </w14:textFill>
              </w:rPr>
              <w:t>次</w:t>
            </w:r>
            <w:r>
              <w:rPr>
                <w:rFonts w:hint="eastAsia"/>
                <w:color w:val="000000" w:themeColor="text1"/>
                <w:spacing w:val="0"/>
                <w:sz w:val="21"/>
                <w:szCs w:val="21"/>
                <w14:textFill>
                  <w14:solidFill>
                    <w14:schemeClr w14:val="tx1"/>
                  </w14:solidFill>
                </w14:textFill>
              </w:rPr>
              <w:t>干路</w:t>
            </w:r>
          </w:p>
        </w:tc>
        <w:tc>
          <w:tcPr>
            <w:tcW w:w="948" w:type="pct"/>
            <w:noWrap w:val="0"/>
            <w:vAlign w:val="center"/>
          </w:tcPr>
          <w:p w14:paraId="51EEDFA7">
            <w:pPr>
              <w:spacing w:line="240" w:lineRule="auto"/>
              <w:ind w:firstLine="0" w:firstLineChars="0"/>
              <w:jc w:val="cente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1254</w:t>
            </w:r>
          </w:p>
        </w:tc>
      </w:tr>
      <w:tr w14:paraId="49B3D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464" w:type="pct"/>
            <w:noWrap w:val="0"/>
            <w:vAlign w:val="center"/>
          </w:tcPr>
          <w:p w14:paraId="328EA8E4">
            <w:pPr>
              <w:spacing w:line="240" w:lineRule="auto"/>
              <w:ind w:firstLine="0" w:firstLineChars="0"/>
              <w:jc w:val="center"/>
              <w:rPr>
                <w:color w:val="000000" w:themeColor="text1"/>
                <w:spacing w:val="0"/>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15</w:t>
            </w:r>
          </w:p>
        </w:tc>
        <w:tc>
          <w:tcPr>
            <w:tcW w:w="1276" w:type="dxa"/>
            <w:noWrap w:val="0"/>
            <w:vAlign w:val="center"/>
          </w:tcPr>
          <w:p w14:paraId="20E7D18C">
            <w:pPr>
              <w:pStyle w:val="29"/>
              <w:ind w:firstLine="0" w:firstLineChars="0"/>
              <w:rPr>
                <w:rFonts w:hint="default" w:ascii="Times New Roman" w:hAnsi="Times New Roman" w:eastAsia="宋体" w:cs="Times New Roman"/>
                <w:color w:val="000000" w:themeColor="text1"/>
                <w:spacing w:val="0"/>
                <w14:textFill>
                  <w14:solidFill>
                    <w14:schemeClr w14:val="tx1"/>
                  </w14:solidFill>
                </w14:textFill>
              </w:rPr>
            </w:pPr>
            <w:r>
              <w:rPr>
                <w:rStyle w:val="36"/>
                <w:color w:val="000000" w:themeColor="text1"/>
                <w:spacing w:val="0"/>
                <w:lang w:val="en-US" w:eastAsia="zh-CN" w:bidi="ar"/>
                <w14:textFill>
                  <w14:solidFill>
                    <w14:schemeClr w14:val="tx1"/>
                  </w14:solidFill>
                </w14:textFill>
              </w:rPr>
              <w:t>近河路</w:t>
            </w:r>
          </w:p>
        </w:tc>
        <w:tc>
          <w:tcPr>
            <w:tcW w:w="1889" w:type="pct"/>
            <w:noWrap w:val="0"/>
            <w:vAlign w:val="center"/>
          </w:tcPr>
          <w:p w14:paraId="7C985B14">
            <w:pPr>
              <w:pStyle w:val="29"/>
              <w:rPr>
                <w:rFonts w:hint="default" w:ascii="Times New Roman" w:hAnsi="Times New Roman" w:eastAsia="宋体" w:cs="Times New Roman"/>
                <w:color w:val="000000" w:themeColor="text1"/>
                <w:spacing w:val="0"/>
                <w:sz w:val="21"/>
                <w:szCs w:val="21"/>
                <w:highlight w:val="none"/>
                <w14:textFill>
                  <w14:solidFill>
                    <w14:schemeClr w14:val="tx1"/>
                  </w14:solidFill>
                </w14:textFill>
              </w:rPr>
            </w:pPr>
            <w:r>
              <w:rPr>
                <w:rStyle w:val="36"/>
                <w:color w:val="000000" w:themeColor="text1"/>
                <w:spacing w:val="0"/>
                <w:sz w:val="21"/>
                <w:szCs w:val="21"/>
                <w:highlight w:val="none"/>
                <w:lang w:val="en-US" w:eastAsia="zh-CN" w:bidi="ar"/>
                <w14:textFill>
                  <w14:solidFill>
                    <w14:schemeClr w14:val="tx1"/>
                  </w14:solidFill>
                </w14:textFill>
              </w:rPr>
              <w:t>松滨大街</w:t>
            </w:r>
            <w:r>
              <w:rPr>
                <w:rFonts w:hint="eastAsia"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江堤路</w:t>
            </w:r>
          </w:p>
        </w:tc>
        <w:tc>
          <w:tcPr>
            <w:tcW w:w="1551" w:type="dxa"/>
            <w:noWrap w:val="0"/>
            <w:vAlign w:val="center"/>
          </w:tcPr>
          <w:p w14:paraId="0AB5181F">
            <w:pPr>
              <w:spacing w:line="240" w:lineRule="auto"/>
              <w:ind w:firstLine="0" w:firstLineChars="0"/>
              <w:jc w:val="center"/>
              <w:rPr>
                <w:rFonts w:hint="default" w:ascii="Times New Roman" w:hAnsi="Times New Roman" w:eastAsia="宋体" w:cs="Times New Roman"/>
                <w:color w:val="000000" w:themeColor="text1"/>
                <w:spacing w:val="0"/>
                <w14:textFill>
                  <w14:solidFill>
                    <w14:schemeClr w14:val="tx1"/>
                  </w14:solidFill>
                </w14:textFill>
              </w:rPr>
            </w:pPr>
            <w:r>
              <w:rPr>
                <w:rFonts w:hint="eastAsia"/>
                <w:color w:val="000000" w:themeColor="text1"/>
                <w:spacing w:val="0"/>
                <w:sz w:val="21"/>
                <w:szCs w:val="21"/>
                <w14:textFill>
                  <w14:solidFill>
                    <w14:schemeClr w14:val="tx1"/>
                  </w14:solidFill>
                </w14:textFill>
              </w:rPr>
              <w:t>城市</w:t>
            </w:r>
            <w:r>
              <w:rPr>
                <w:rFonts w:hint="eastAsia"/>
                <w:color w:val="000000" w:themeColor="text1"/>
                <w:spacing w:val="0"/>
                <w:sz w:val="21"/>
                <w:szCs w:val="21"/>
                <w:lang w:eastAsia="zh-CN"/>
                <w14:textFill>
                  <w14:solidFill>
                    <w14:schemeClr w14:val="tx1"/>
                  </w14:solidFill>
                </w14:textFill>
              </w:rPr>
              <w:t>次</w:t>
            </w:r>
            <w:r>
              <w:rPr>
                <w:rFonts w:hint="eastAsia"/>
                <w:color w:val="000000" w:themeColor="text1"/>
                <w:spacing w:val="0"/>
                <w:sz w:val="21"/>
                <w:szCs w:val="21"/>
                <w14:textFill>
                  <w14:solidFill>
                    <w14:schemeClr w14:val="tx1"/>
                  </w14:solidFill>
                </w14:textFill>
              </w:rPr>
              <w:t>干路</w:t>
            </w:r>
          </w:p>
        </w:tc>
        <w:tc>
          <w:tcPr>
            <w:tcW w:w="948" w:type="pct"/>
            <w:noWrap w:val="0"/>
            <w:vAlign w:val="center"/>
          </w:tcPr>
          <w:p w14:paraId="25C20664">
            <w:pPr>
              <w:spacing w:line="240" w:lineRule="auto"/>
              <w:ind w:firstLine="0" w:firstLineChars="0"/>
              <w:jc w:val="cente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488</w:t>
            </w:r>
          </w:p>
        </w:tc>
      </w:tr>
    </w:tbl>
    <w:p w14:paraId="08A455F8">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4类声环境功能区域是城市道路中交通干线两侧区域。</w:t>
      </w:r>
    </w:p>
    <w:p w14:paraId="546BA016">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将交通干线边界线外一定距离内的区域划分为4a类声环境功能区。其距离划定如表</w:t>
      </w:r>
      <w:r>
        <w:rPr>
          <w:rFonts w:hint="eastAsia"/>
          <w:color w:val="000000" w:themeColor="text1"/>
          <w:lang w:val="en-US" w:eastAsia="zh-CN"/>
          <w14:textFill>
            <w14:solidFill>
              <w14:schemeClr w14:val="tx1"/>
            </w14:solidFill>
          </w14:textFill>
        </w:rPr>
        <w:t>4-5</w:t>
      </w:r>
      <w:r>
        <w:rPr>
          <w:rFonts w:hint="eastAsia"/>
          <w:color w:val="000000" w:themeColor="text1"/>
          <w14:textFill>
            <w14:solidFill>
              <w14:schemeClr w14:val="tx1"/>
            </w14:solidFill>
          </w14:textFill>
        </w:rPr>
        <w:t>。</w:t>
      </w:r>
    </w:p>
    <w:p w14:paraId="2CA4B7C4">
      <w:pPr>
        <w:pStyle w:val="3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表4-</w:t>
      </w:r>
      <w:r>
        <w:rPr>
          <w:rFonts w:hint="eastAsia"/>
          <w:color w:val="000000" w:themeColor="text1"/>
          <w:lang w:val="en-US" w:eastAsia="zh-CN"/>
          <w14:textFill>
            <w14:solidFill>
              <w14:schemeClr w14:val="tx1"/>
            </w14:solidFill>
          </w14:textFill>
        </w:rPr>
        <w:t xml:space="preserve">5  </w:t>
      </w:r>
      <w:r>
        <w:rPr>
          <w:rFonts w:hint="eastAsia"/>
          <w:color w:val="000000" w:themeColor="text1"/>
          <w:highlight w:val="none"/>
          <w:lang w:val="en-US" w:eastAsia="zh-CN"/>
          <w14:textFill>
            <w14:solidFill>
              <w14:schemeClr w14:val="tx1"/>
            </w14:solidFill>
          </w14:textFill>
        </w:rPr>
        <w:t>4a</w:t>
      </w:r>
      <w:r>
        <w:rPr>
          <w:rFonts w:hint="eastAsia"/>
          <w:color w:val="000000" w:themeColor="text1"/>
          <w:highlight w:val="none"/>
          <w14:textFill>
            <w14:solidFill>
              <w14:schemeClr w14:val="tx1"/>
            </w14:solidFill>
          </w14:textFill>
        </w:rPr>
        <w:t>类功</w:t>
      </w:r>
      <w:r>
        <w:rPr>
          <w:rFonts w:hint="eastAsia"/>
          <w:color w:val="000000" w:themeColor="text1"/>
          <w14:textFill>
            <w14:solidFill>
              <w14:schemeClr w14:val="tx1"/>
            </w14:solidFill>
          </w14:textFill>
        </w:rPr>
        <w:t>能区两侧距离的划定要求</w:t>
      </w:r>
    </w:p>
    <w:tbl>
      <w:tblPr>
        <w:tblStyle w:val="19"/>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467"/>
        <w:gridCol w:w="2253"/>
        <w:gridCol w:w="2585"/>
      </w:tblGrid>
      <w:tr w14:paraId="1133C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blHeader/>
        </w:trPr>
        <w:tc>
          <w:tcPr>
            <w:tcW w:w="2087" w:type="pct"/>
            <w:noWrap w:val="0"/>
            <w:vAlign w:val="center"/>
          </w:tcPr>
          <w:p w14:paraId="14EBB71A">
            <w:pPr>
              <w:pStyle w:val="30"/>
              <w:rPr>
                <w:rFonts w:hint="default" w:ascii="Times New Roman" w:hAnsi="Times New Roman" w:eastAsia="宋体" w:cs="Times New Roman"/>
                <w:b w:val="0"/>
                <w:bCs w:val="0"/>
                <w:color w:val="000000" w:themeColor="text1"/>
                <w14:textFill>
                  <w14:solidFill>
                    <w14:schemeClr w14:val="tx1"/>
                  </w14:solidFill>
                </w14:textFill>
              </w:rPr>
            </w:pPr>
            <w:r>
              <w:rPr>
                <w:rFonts w:hint="default" w:ascii="Times New Roman" w:hAnsi="Times New Roman" w:eastAsia="宋体" w:cs="Times New Roman"/>
                <w:b w:val="0"/>
                <w:bCs w:val="0"/>
                <w:color w:val="000000" w:themeColor="text1"/>
                <w14:textFill>
                  <w14:solidFill>
                    <w14:schemeClr w14:val="tx1"/>
                  </w14:solidFill>
                </w14:textFill>
              </w:rPr>
              <w:t>源强类型</w:t>
            </w:r>
          </w:p>
        </w:tc>
        <w:tc>
          <w:tcPr>
            <w:tcW w:w="1356" w:type="pct"/>
            <w:noWrap w:val="0"/>
            <w:vAlign w:val="center"/>
          </w:tcPr>
          <w:p w14:paraId="27D815C0">
            <w:pPr>
              <w:pStyle w:val="30"/>
              <w:rPr>
                <w:rFonts w:hint="default" w:ascii="Times New Roman" w:hAnsi="Times New Roman" w:eastAsia="宋体" w:cs="Times New Roman"/>
                <w:b w:val="0"/>
                <w:bCs w:val="0"/>
                <w:color w:val="000000" w:themeColor="text1"/>
                <w14:textFill>
                  <w14:solidFill>
                    <w14:schemeClr w14:val="tx1"/>
                  </w14:solidFill>
                </w14:textFill>
              </w:rPr>
            </w:pPr>
            <w:r>
              <w:rPr>
                <w:rFonts w:hint="default" w:ascii="Times New Roman" w:hAnsi="Times New Roman" w:eastAsia="宋体" w:cs="Times New Roman"/>
                <w:b w:val="0"/>
                <w:bCs w:val="0"/>
                <w:color w:val="000000" w:themeColor="text1"/>
                <w14:textFill>
                  <w14:solidFill>
                    <w14:schemeClr w14:val="tx1"/>
                  </w14:solidFill>
                </w14:textFill>
              </w:rPr>
              <w:t>划分距离（m）</w:t>
            </w:r>
          </w:p>
        </w:tc>
        <w:tc>
          <w:tcPr>
            <w:tcW w:w="1556" w:type="pct"/>
            <w:noWrap w:val="0"/>
            <w:vAlign w:val="center"/>
          </w:tcPr>
          <w:p w14:paraId="0F467381">
            <w:pPr>
              <w:pStyle w:val="30"/>
              <w:rPr>
                <w:rFonts w:hint="default" w:ascii="Times New Roman" w:hAnsi="Times New Roman" w:eastAsia="宋体" w:cs="Times New Roman"/>
                <w:b w:val="0"/>
                <w:bCs w:val="0"/>
                <w:color w:val="000000" w:themeColor="text1"/>
                <w14:textFill>
                  <w14:solidFill>
                    <w14:schemeClr w14:val="tx1"/>
                  </w14:solidFill>
                </w14:textFill>
              </w:rPr>
            </w:pPr>
            <w:r>
              <w:rPr>
                <w:rFonts w:hint="default" w:ascii="Times New Roman" w:hAnsi="Times New Roman" w:eastAsia="宋体" w:cs="Times New Roman"/>
                <w:b w:val="0"/>
                <w:bCs w:val="0"/>
                <w:color w:val="000000" w:themeColor="text1"/>
                <w14:textFill>
                  <w14:solidFill>
                    <w14:schemeClr w14:val="tx1"/>
                  </w14:solidFill>
                </w14:textFill>
              </w:rPr>
              <w:t>相邻功能区类型</w:t>
            </w:r>
          </w:p>
        </w:tc>
      </w:tr>
      <w:tr w14:paraId="62F5C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2087" w:type="pct"/>
            <w:vMerge w:val="restart"/>
            <w:noWrap w:val="0"/>
            <w:vAlign w:val="center"/>
          </w:tcPr>
          <w:p w14:paraId="069A56D6">
            <w:pPr>
              <w:spacing w:line="288" w:lineRule="auto"/>
              <w:ind w:firstLine="0" w:firstLineChars="0"/>
              <w:jc w:val="center"/>
              <w:rPr>
                <w:color w:val="000000" w:themeColor="text1"/>
                <w:sz w:val="21"/>
                <w:szCs w:val="21"/>
                <w14:textFill>
                  <w14:solidFill>
                    <w14:schemeClr w14:val="tx1"/>
                  </w14:solidFill>
                </w14:textFill>
              </w:rPr>
            </w:pPr>
            <w:r>
              <w:rPr>
                <w:color w:val="000000" w:themeColor="text1"/>
                <w:spacing w:val="-1"/>
                <w:sz w:val="21"/>
                <w:szCs w:val="21"/>
                <w14:textFill>
                  <w14:solidFill>
                    <w14:schemeClr w14:val="tx1"/>
                  </w14:solidFill>
                </w14:textFill>
              </w:rPr>
              <w:t>高速公路、城市快速路、一级公路、二级公路、城市主干路、城市次干路</w:t>
            </w:r>
          </w:p>
        </w:tc>
        <w:tc>
          <w:tcPr>
            <w:tcW w:w="1356" w:type="pct"/>
            <w:noWrap w:val="0"/>
            <w:vAlign w:val="center"/>
          </w:tcPr>
          <w:p w14:paraId="4B27954F">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50</w:t>
            </w:r>
          </w:p>
        </w:tc>
        <w:tc>
          <w:tcPr>
            <w:tcW w:w="1556" w:type="pct"/>
            <w:noWrap w:val="0"/>
            <w:vAlign w:val="center"/>
          </w:tcPr>
          <w:p w14:paraId="26BBE2D8">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10"/>
                <w:sz w:val="21"/>
                <w:szCs w:val="21"/>
                <w14:textFill>
                  <w14:solidFill>
                    <w14:schemeClr w14:val="tx1"/>
                  </w14:solidFill>
                </w14:textFill>
              </w:rPr>
              <w:t>1类区</w:t>
            </w:r>
          </w:p>
        </w:tc>
      </w:tr>
      <w:tr w14:paraId="4D1B6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2087" w:type="pct"/>
            <w:vMerge w:val="continue"/>
            <w:noWrap w:val="0"/>
            <w:vAlign w:val="center"/>
          </w:tcPr>
          <w:p w14:paraId="7466A513">
            <w:pPr>
              <w:spacing w:line="240" w:lineRule="auto"/>
              <w:ind w:firstLine="0" w:firstLineChars="0"/>
              <w:jc w:val="center"/>
              <w:rPr>
                <w:color w:val="000000" w:themeColor="text1"/>
                <w:sz w:val="21"/>
                <w14:textFill>
                  <w14:solidFill>
                    <w14:schemeClr w14:val="tx1"/>
                  </w14:solidFill>
                </w14:textFill>
              </w:rPr>
            </w:pPr>
          </w:p>
        </w:tc>
        <w:tc>
          <w:tcPr>
            <w:tcW w:w="1356" w:type="pct"/>
            <w:noWrap w:val="0"/>
            <w:vAlign w:val="center"/>
          </w:tcPr>
          <w:p w14:paraId="66B1838E">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35</w:t>
            </w:r>
          </w:p>
        </w:tc>
        <w:tc>
          <w:tcPr>
            <w:tcW w:w="1556" w:type="pct"/>
            <w:noWrap w:val="0"/>
            <w:vAlign w:val="center"/>
          </w:tcPr>
          <w:p w14:paraId="0CA8AD41">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2类区</w:t>
            </w:r>
          </w:p>
        </w:tc>
      </w:tr>
      <w:tr w14:paraId="1DC50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2087" w:type="pct"/>
            <w:vMerge w:val="continue"/>
            <w:noWrap w:val="0"/>
            <w:vAlign w:val="center"/>
          </w:tcPr>
          <w:p w14:paraId="4AC31F48">
            <w:pPr>
              <w:spacing w:line="240" w:lineRule="auto"/>
              <w:ind w:firstLine="0" w:firstLineChars="0"/>
              <w:jc w:val="center"/>
              <w:rPr>
                <w:color w:val="000000" w:themeColor="text1"/>
                <w:sz w:val="21"/>
                <w14:textFill>
                  <w14:solidFill>
                    <w14:schemeClr w14:val="tx1"/>
                  </w14:solidFill>
                </w14:textFill>
              </w:rPr>
            </w:pPr>
          </w:p>
        </w:tc>
        <w:tc>
          <w:tcPr>
            <w:tcW w:w="1356" w:type="pct"/>
            <w:noWrap w:val="0"/>
            <w:vAlign w:val="center"/>
          </w:tcPr>
          <w:p w14:paraId="61C658C3">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color w:val="000000" w:themeColor="text1"/>
                <w:spacing w:val="-2"/>
                <w:sz w:val="21"/>
                <w:szCs w:val="21"/>
                <w14:textFill>
                  <w14:solidFill>
                    <w14:schemeClr w14:val="tx1"/>
                  </w14:solidFill>
                </w14:textFill>
              </w:rPr>
              <w:t>20</w:t>
            </w:r>
          </w:p>
        </w:tc>
        <w:tc>
          <w:tcPr>
            <w:tcW w:w="1556" w:type="pct"/>
            <w:noWrap w:val="0"/>
            <w:vAlign w:val="center"/>
          </w:tcPr>
          <w:p w14:paraId="313E0CFD">
            <w:pPr>
              <w:spacing w:line="240" w:lineRule="auto"/>
              <w:ind w:firstLine="0" w:firstLineChars="0"/>
              <w:jc w:val="center"/>
              <w:rPr>
                <w:color w:val="000000" w:themeColor="text1"/>
                <w:sz w:val="21"/>
                <w:szCs w:val="21"/>
                <w14:textFill>
                  <w14:solidFill>
                    <w14:schemeClr w14:val="tx1"/>
                  </w14:solidFill>
                </w14:textFill>
              </w:rPr>
            </w:pPr>
            <w:r>
              <w:rPr>
                <w:color w:val="000000" w:themeColor="text1"/>
                <w:spacing w:val="-5"/>
                <w:sz w:val="21"/>
                <w:szCs w:val="21"/>
                <w14:textFill>
                  <w14:solidFill>
                    <w14:schemeClr w14:val="tx1"/>
                  </w14:solidFill>
                </w14:textFill>
              </w:rPr>
              <w:t>3类区</w:t>
            </w:r>
          </w:p>
        </w:tc>
      </w:tr>
    </w:tbl>
    <w:p w14:paraId="64BFC47F">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若临街建筑以低于三层楼房的建筑（含开阔地）为主，线路边界线外一定距离内的区域划为4a类声环境功能区。</w:t>
      </w:r>
    </w:p>
    <w:p w14:paraId="40FB7158">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若临街建筑高于三层楼房以上（含三层）时，将临街建筑面向交通干线一侧至交通干线边界线的区域定为4a类声环境功能区。</w:t>
      </w:r>
    </w:p>
    <w:p w14:paraId="7EA82E06">
      <w:pPr>
        <w:ind w:firstLine="471"/>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绥滨县中心城区没有铁路，因此不划分</w:t>
      </w:r>
      <w:r>
        <w:rPr>
          <w:rFonts w:hint="eastAsia"/>
          <w:color w:val="000000" w:themeColor="text1"/>
          <w14:textFill>
            <w14:solidFill>
              <w14:schemeClr w14:val="tx1"/>
            </w14:solidFill>
          </w14:textFill>
        </w:rPr>
        <w:t>4b类声环境功能区</w:t>
      </w:r>
      <w:r>
        <w:rPr>
          <w:rFonts w:hint="eastAsia"/>
          <w:color w:val="000000" w:themeColor="text1"/>
          <w:lang w:eastAsia="zh-CN"/>
          <w14:textFill>
            <w14:solidFill>
              <w14:schemeClr w14:val="tx1"/>
            </w14:solidFill>
          </w14:textFill>
        </w:rPr>
        <w:t>。</w:t>
      </w:r>
    </w:p>
    <w:p w14:paraId="7B3D7947">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4类区域具体划分情况见表4-</w:t>
      </w:r>
      <w:r>
        <w:rPr>
          <w:rFonts w:hint="eastAsia"/>
          <w:color w:val="000000" w:themeColor="text1"/>
          <w:lang w:val="en-US" w:eastAsia="zh-CN"/>
          <w14:textFill>
            <w14:solidFill>
              <w14:schemeClr w14:val="tx1"/>
            </w14:solidFill>
          </w14:textFill>
        </w:rPr>
        <w:t>6</w:t>
      </w:r>
      <w:r>
        <w:rPr>
          <w:rFonts w:hint="eastAsia"/>
          <w:color w:val="000000" w:themeColor="text1"/>
          <w14:textFill>
            <w14:solidFill>
              <w14:schemeClr w14:val="tx1"/>
            </w14:solidFill>
          </w14:textFill>
        </w:rPr>
        <w:t>。</w:t>
      </w:r>
    </w:p>
    <w:p w14:paraId="3058D1CD">
      <w:pPr>
        <w:pStyle w:val="31"/>
        <w:rPr>
          <w:color w:val="000000" w:themeColor="text1"/>
          <w14:textFill>
            <w14:solidFill>
              <w14:schemeClr w14:val="tx1"/>
            </w14:solidFill>
          </w14:textFill>
        </w:rPr>
      </w:pPr>
      <w:r>
        <w:rPr>
          <w:color w:val="000000" w:themeColor="text1"/>
          <w14:textFill>
            <w14:solidFill>
              <w14:schemeClr w14:val="tx1"/>
            </w14:solidFill>
          </w14:textFill>
        </w:rPr>
        <w:t>表4-</w:t>
      </w:r>
      <w:r>
        <w:rPr>
          <w:rFonts w:hint="eastAsia"/>
          <w:color w:val="000000" w:themeColor="text1"/>
          <w:lang w:val="en-US" w:eastAsia="zh-CN"/>
          <w14:textFill>
            <w14:solidFill>
              <w14:schemeClr w14:val="tx1"/>
            </w14:solidFill>
          </w14:textFill>
        </w:rPr>
        <w:t xml:space="preserve">6  </w:t>
      </w:r>
      <w:r>
        <w:rPr>
          <w:color w:val="000000" w:themeColor="text1"/>
          <w14:textFill>
            <w14:solidFill>
              <w14:schemeClr w14:val="tx1"/>
            </w14:solidFill>
          </w14:textFill>
        </w:rPr>
        <w:t>4类标准适用区域</w:t>
      </w:r>
    </w:p>
    <w:tbl>
      <w:tblPr>
        <w:tblStyle w:val="19"/>
        <w:tblW w:w="501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47"/>
        <w:gridCol w:w="1074"/>
        <w:gridCol w:w="2652"/>
        <w:gridCol w:w="1306"/>
        <w:gridCol w:w="1328"/>
        <w:gridCol w:w="1328"/>
      </w:tblGrid>
      <w:tr w14:paraId="07473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blHeader/>
        </w:trPr>
        <w:tc>
          <w:tcPr>
            <w:tcW w:w="388" w:type="pct"/>
            <w:noWrap w:val="0"/>
            <w:vAlign w:val="center"/>
          </w:tcPr>
          <w:p w14:paraId="34C69F95">
            <w:pPr>
              <w:pStyle w:val="30"/>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序号</w:t>
            </w:r>
          </w:p>
        </w:tc>
        <w:tc>
          <w:tcPr>
            <w:tcW w:w="644" w:type="pct"/>
            <w:noWrap w:val="0"/>
            <w:vAlign w:val="center"/>
          </w:tcPr>
          <w:p w14:paraId="79CCFA1A">
            <w:pPr>
              <w:pStyle w:val="30"/>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道路名称</w:t>
            </w:r>
          </w:p>
        </w:tc>
        <w:tc>
          <w:tcPr>
            <w:tcW w:w="1590" w:type="pct"/>
            <w:noWrap w:val="0"/>
            <w:vAlign w:val="center"/>
          </w:tcPr>
          <w:p w14:paraId="7E316075">
            <w:pPr>
              <w:pStyle w:val="30"/>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道路起止端</w:t>
            </w:r>
          </w:p>
        </w:tc>
        <w:tc>
          <w:tcPr>
            <w:tcW w:w="783" w:type="pct"/>
            <w:noWrap w:val="0"/>
            <w:vAlign w:val="center"/>
          </w:tcPr>
          <w:p w14:paraId="0DADA6CC">
            <w:pPr>
              <w:pStyle w:val="30"/>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道路性质</w:t>
            </w:r>
          </w:p>
        </w:tc>
        <w:tc>
          <w:tcPr>
            <w:tcW w:w="796" w:type="pct"/>
            <w:noWrap w:val="0"/>
            <w:vAlign w:val="center"/>
          </w:tcPr>
          <w:p w14:paraId="122BDF6A">
            <w:pPr>
              <w:pStyle w:val="30"/>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道路长度（m）</w:t>
            </w:r>
          </w:p>
        </w:tc>
        <w:tc>
          <w:tcPr>
            <w:tcW w:w="796" w:type="pct"/>
            <w:noWrap w:val="0"/>
            <w:vAlign w:val="center"/>
          </w:tcPr>
          <w:p w14:paraId="58967343">
            <w:pPr>
              <w:pStyle w:val="30"/>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适用区域</w:t>
            </w:r>
          </w:p>
        </w:tc>
      </w:tr>
      <w:tr w14:paraId="1C897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388" w:type="pct"/>
            <w:noWrap w:val="0"/>
            <w:vAlign w:val="center"/>
          </w:tcPr>
          <w:p w14:paraId="29EEE4C4">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2"/>
                <w:sz w:val="21"/>
                <w:szCs w:val="21"/>
                <w14:textFill>
                  <w14:solidFill>
                    <w14:schemeClr w14:val="tx1"/>
                  </w14:solidFill>
                </w14:textFill>
              </w:rPr>
              <w:t>1</w:t>
            </w:r>
          </w:p>
        </w:tc>
        <w:tc>
          <w:tcPr>
            <w:tcW w:w="1073" w:type="dxa"/>
            <w:noWrap w:val="0"/>
            <w:vAlign w:val="center"/>
          </w:tcPr>
          <w:p w14:paraId="3FB9DC08">
            <w:pPr>
              <w:pStyle w:val="29"/>
              <w:ind w:firstLine="0" w:firstLineChars="0"/>
              <w:rPr>
                <w:rFonts w:hint="default" w:ascii="Times New Roman" w:hAnsi="Times New Roman" w:eastAsia="宋体" w:cs="Times New Roman"/>
                <w:color w:val="000000" w:themeColor="text1"/>
                <w:spacing w:val="-2"/>
                <w14:textFill>
                  <w14:solidFill>
                    <w14:schemeClr w14:val="tx1"/>
                  </w14:solidFill>
                </w14:textFill>
              </w:rPr>
            </w:pPr>
            <w:r>
              <w:rPr>
                <w:rStyle w:val="36"/>
                <w:color w:val="000000" w:themeColor="text1"/>
                <w:spacing w:val="0"/>
                <w:lang w:val="en-US" w:eastAsia="zh-CN" w:bidi="ar"/>
                <w14:textFill>
                  <w14:solidFill>
                    <w14:schemeClr w14:val="tx1"/>
                  </w14:solidFill>
                </w14:textFill>
              </w:rPr>
              <w:t>松滨大街</w:t>
            </w:r>
          </w:p>
        </w:tc>
        <w:tc>
          <w:tcPr>
            <w:tcW w:w="2648" w:type="dxa"/>
            <w:noWrap w:val="0"/>
            <w:vAlign w:val="center"/>
          </w:tcPr>
          <w:p w14:paraId="6799AF9A">
            <w:pPr>
              <w:pStyle w:val="29"/>
              <w:ind w:firstLine="0" w:firstLineChars="0"/>
              <w:rPr>
                <w:rFonts w:hint="default"/>
                <w:color w:val="000000" w:themeColor="text1"/>
                <w:spacing w:val="-2"/>
                <w14:textFill>
                  <w14:solidFill>
                    <w14:schemeClr w14:val="tx1"/>
                  </w14:solidFill>
                </w14:textFill>
              </w:rPr>
            </w:pPr>
            <w:r>
              <w:rPr>
                <w:rFonts w:hint="eastAsia"/>
                <w:color w:val="000000" w:themeColor="text1"/>
                <w:spacing w:val="0"/>
                <w:sz w:val="21"/>
                <w:szCs w:val="21"/>
                <w:lang w:val="zh-CN"/>
                <w14:textFill>
                  <w14:solidFill>
                    <w14:schemeClr w14:val="tx1"/>
                  </w14:solidFill>
                </w14:textFill>
              </w:rPr>
              <w:t>傲来路</w:t>
            </w:r>
            <w:r>
              <w:rPr>
                <w:rFonts w:hint="default"/>
                <w:color w:val="000000" w:themeColor="text1"/>
                <w:spacing w:val="0"/>
                <w:sz w:val="21"/>
                <w:szCs w:val="21"/>
                <w:lang w:val="zh-CN"/>
                <w14:textFill>
                  <w14:solidFill>
                    <w14:schemeClr w14:val="tx1"/>
                  </w14:solidFill>
                </w14:textFill>
              </w:rPr>
              <w:t>――</w:t>
            </w:r>
            <w:r>
              <w:rPr>
                <w:rFonts w:hint="eastAsia"/>
                <w:color w:val="000000" w:themeColor="text1"/>
                <w:spacing w:val="0"/>
                <w:sz w:val="21"/>
                <w:szCs w:val="21"/>
                <w:lang w:val="zh-CN"/>
                <w14:textFill>
                  <w14:solidFill>
                    <w14:schemeClr w14:val="tx1"/>
                  </w14:solidFill>
                </w14:textFill>
              </w:rPr>
              <w:t>东郊路</w:t>
            </w:r>
          </w:p>
        </w:tc>
        <w:tc>
          <w:tcPr>
            <w:tcW w:w="1305" w:type="dxa"/>
            <w:noWrap w:val="0"/>
            <w:vAlign w:val="center"/>
          </w:tcPr>
          <w:p w14:paraId="2074632F">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城市主干路</w:t>
            </w:r>
          </w:p>
        </w:tc>
        <w:tc>
          <w:tcPr>
            <w:tcW w:w="1326" w:type="dxa"/>
            <w:noWrap w:val="0"/>
            <w:vAlign w:val="center"/>
          </w:tcPr>
          <w:p w14:paraId="6AE5D58D">
            <w:pPr>
              <w:spacing w:line="240" w:lineRule="auto"/>
              <w:ind w:firstLine="0" w:firstLineChars="0"/>
              <w:jc w:val="center"/>
              <w:rPr>
                <w:rFonts w:hint="default" w:ascii="Times New Roman" w:hAnsi="Times New Roman" w:eastAsia="宋体" w:cs="Times New Roman"/>
                <w:color w:val="000000" w:themeColor="text1"/>
                <w:spacing w:val="-2"/>
                <w:sz w:val="21"/>
                <w:szCs w:val="21"/>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5926</w:t>
            </w:r>
          </w:p>
        </w:tc>
        <w:tc>
          <w:tcPr>
            <w:tcW w:w="796" w:type="pct"/>
            <w:vMerge w:val="restart"/>
            <w:noWrap w:val="0"/>
            <w:vAlign w:val="center"/>
          </w:tcPr>
          <w:p w14:paraId="5DA9A38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000000" w:themeColor="text1"/>
                <w:spacing w:val="0"/>
                <w:w w:val="100"/>
                <w:sz w:val="21"/>
                <w:szCs w:val="21"/>
                <w14:textFill>
                  <w14:solidFill>
                    <w14:schemeClr w14:val="tx1"/>
                  </w14:solidFill>
                </w14:textFill>
              </w:rPr>
            </w:pPr>
            <w:r>
              <w:rPr>
                <w:rFonts w:hint="default" w:ascii="Times New Roman" w:hAnsi="Times New Roman" w:eastAsia="宋体" w:cs="Times New Roman"/>
                <w:color w:val="000000" w:themeColor="text1"/>
                <w:spacing w:val="0"/>
                <w:w w:val="100"/>
                <w:sz w:val="21"/>
                <w:szCs w:val="21"/>
                <w14:textFill>
                  <w14:solidFill>
                    <w14:schemeClr w14:val="tx1"/>
                  </w14:solidFill>
                </w14:textFill>
              </w:rPr>
              <w:t>道路两侧各距边界线垂直距</w:t>
            </w:r>
          </w:p>
          <w:p w14:paraId="407D015D">
            <w:pPr>
              <w:spacing w:line="240" w:lineRule="auto"/>
              <w:ind w:firstLine="0" w:firstLineChars="0"/>
              <w:jc w:val="center"/>
              <w:rPr>
                <w:rFonts w:hint="eastAsia" w:ascii="Times New Roman" w:hAnsi="Times New Roman" w:eastAsia="宋体" w:cs="Times New Roman"/>
                <w:color w:val="000000" w:themeColor="text1"/>
                <w:spacing w:val="-2"/>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sz w:val="21"/>
                <w:szCs w:val="21"/>
                <w14:textFill>
                  <w14:solidFill>
                    <w14:schemeClr w14:val="tx1"/>
                  </w14:solidFill>
                </w14:textFill>
              </w:rPr>
              <w:t>离为：相邻1类区域为50</w:t>
            </w:r>
            <w:r>
              <w:rPr>
                <w:rFonts w:hint="default" w:ascii="Times New Roman" w:hAnsi="Times New Roman" w:eastAsia="宋体" w:cs="Times New Roman"/>
                <w:color w:val="000000" w:themeColor="text1"/>
                <w:spacing w:val="0"/>
                <w:w w:val="100"/>
                <w:sz w:val="21"/>
                <w:szCs w:val="21"/>
                <w:lang w:val="en-US" w:eastAsia="zh-CN"/>
                <w14:textFill>
                  <w14:solidFill>
                    <w14:schemeClr w14:val="tx1"/>
                  </w14:solidFill>
                </w14:textFill>
              </w:rPr>
              <w:t>m</w:t>
            </w:r>
            <w:r>
              <w:rPr>
                <w:rFonts w:hint="default" w:ascii="Times New Roman" w:hAnsi="Times New Roman" w:eastAsia="宋体" w:cs="Times New Roman"/>
                <w:color w:val="000000" w:themeColor="text1"/>
                <w:spacing w:val="0"/>
                <w:w w:val="100"/>
                <w:sz w:val="21"/>
                <w:szCs w:val="21"/>
                <w14:textFill>
                  <w14:solidFill>
                    <w14:schemeClr w14:val="tx1"/>
                  </w14:solidFill>
                </w14:textFill>
              </w:rPr>
              <w:t>，2类区域为35</w:t>
            </w:r>
            <w:r>
              <w:rPr>
                <w:rFonts w:hint="default" w:ascii="Times New Roman" w:hAnsi="Times New Roman" w:eastAsia="宋体" w:cs="Times New Roman"/>
                <w:color w:val="000000" w:themeColor="text1"/>
                <w:spacing w:val="0"/>
                <w:w w:val="100"/>
                <w:sz w:val="21"/>
                <w:szCs w:val="21"/>
                <w:lang w:val="en-US" w:eastAsia="zh-CN"/>
                <w14:textFill>
                  <w14:solidFill>
                    <w14:schemeClr w14:val="tx1"/>
                  </w14:solidFill>
                </w14:textFill>
              </w:rPr>
              <w:t>m</w:t>
            </w:r>
            <w:r>
              <w:rPr>
                <w:rFonts w:hint="default" w:ascii="Times New Roman" w:hAnsi="Times New Roman" w:eastAsia="宋体" w:cs="Times New Roman"/>
                <w:color w:val="000000" w:themeColor="text1"/>
                <w:spacing w:val="0"/>
                <w:w w:val="100"/>
                <w:sz w:val="21"/>
                <w:szCs w:val="21"/>
                <w14:textFill>
                  <w14:solidFill>
                    <w14:schemeClr w14:val="tx1"/>
                  </w14:solidFill>
                </w14:textFill>
              </w:rPr>
              <w:t>，3类区域为20</w:t>
            </w:r>
            <w:r>
              <w:rPr>
                <w:rFonts w:hint="default" w:ascii="Times New Roman" w:hAnsi="Times New Roman" w:eastAsia="宋体" w:cs="Times New Roman"/>
                <w:color w:val="000000" w:themeColor="text1"/>
                <w:spacing w:val="0"/>
                <w:w w:val="100"/>
                <w:sz w:val="21"/>
                <w:szCs w:val="21"/>
                <w:lang w:val="en-US" w:eastAsia="zh-CN"/>
                <w14:textFill>
                  <w14:solidFill>
                    <w14:schemeClr w14:val="tx1"/>
                  </w14:solidFill>
                </w14:textFill>
              </w:rPr>
              <w:t>m</w:t>
            </w:r>
          </w:p>
        </w:tc>
      </w:tr>
      <w:tr w14:paraId="648E9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388" w:type="pct"/>
            <w:noWrap w:val="0"/>
            <w:vAlign w:val="center"/>
          </w:tcPr>
          <w:p w14:paraId="67704B94">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2"/>
                <w:sz w:val="21"/>
                <w:szCs w:val="21"/>
                <w14:textFill>
                  <w14:solidFill>
                    <w14:schemeClr w14:val="tx1"/>
                  </w14:solidFill>
                </w14:textFill>
              </w:rPr>
              <w:t>2</w:t>
            </w:r>
          </w:p>
        </w:tc>
        <w:tc>
          <w:tcPr>
            <w:tcW w:w="1073" w:type="dxa"/>
            <w:noWrap w:val="0"/>
            <w:vAlign w:val="center"/>
          </w:tcPr>
          <w:p w14:paraId="6D6EEDDD">
            <w:pPr>
              <w:pStyle w:val="29"/>
              <w:ind w:firstLine="0" w:firstLineChars="0"/>
              <w:rPr>
                <w:rFonts w:hint="default" w:ascii="Times New Roman" w:hAnsi="Times New Roman" w:eastAsia="宋体" w:cs="Times New Roman"/>
                <w:color w:val="000000" w:themeColor="text1"/>
                <w:spacing w:val="-2"/>
                <w14:textFill>
                  <w14:solidFill>
                    <w14:schemeClr w14:val="tx1"/>
                  </w14:solidFill>
                </w14:textFill>
              </w:rPr>
            </w:pPr>
            <w:r>
              <w:rPr>
                <w:rStyle w:val="36"/>
                <w:color w:val="000000" w:themeColor="text1"/>
                <w:spacing w:val="0"/>
                <w:lang w:val="en-US" w:eastAsia="zh-CN" w:bidi="ar"/>
                <w14:textFill>
                  <w14:solidFill>
                    <w14:schemeClr w14:val="tx1"/>
                  </w14:solidFill>
                </w14:textFill>
              </w:rPr>
              <w:t>红星大街</w:t>
            </w:r>
          </w:p>
        </w:tc>
        <w:tc>
          <w:tcPr>
            <w:tcW w:w="2648" w:type="dxa"/>
            <w:noWrap w:val="0"/>
            <w:vAlign w:val="center"/>
          </w:tcPr>
          <w:p w14:paraId="516C403F">
            <w:pPr>
              <w:pStyle w:val="29"/>
              <w:ind w:firstLine="0" w:firstLineChars="0"/>
              <w:rPr>
                <w:rFonts w:hint="default"/>
                <w:color w:val="000000" w:themeColor="text1"/>
                <w:spacing w:val="-2"/>
                <w14:textFill>
                  <w14:solidFill>
                    <w14:schemeClr w14:val="tx1"/>
                  </w14:solidFill>
                </w14:textFill>
              </w:rPr>
            </w:pPr>
            <w:r>
              <w:rPr>
                <w:rFonts w:hint="eastAsia"/>
                <w:color w:val="000000" w:themeColor="text1"/>
                <w:spacing w:val="0"/>
                <w:sz w:val="21"/>
                <w:szCs w:val="21"/>
                <w:lang w:val="zh-CN"/>
                <w14:textFill>
                  <w14:solidFill>
                    <w14:schemeClr w14:val="tx1"/>
                  </w14:solidFill>
                </w14:textFill>
              </w:rPr>
              <w:t>傲来路</w:t>
            </w:r>
            <w:r>
              <w:rPr>
                <w:rFonts w:hint="default"/>
                <w:color w:val="000000" w:themeColor="text1"/>
                <w:spacing w:val="0"/>
                <w:sz w:val="21"/>
                <w:szCs w:val="21"/>
                <w:lang w:val="zh-CN"/>
                <w14:textFill>
                  <w14:solidFill>
                    <w14:schemeClr w14:val="tx1"/>
                  </w14:solidFill>
                </w14:textFill>
              </w:rPr>
              <w:t>――</w:t>
            </w:r>
            <w:r>
              <w:rPr>
                <w:rFonts w:hint="eastAsia"/>
                <w:color w:val="000000" w:themeColor="text1"/>
                <w:spacing w:val="0"/>
                <w:sz w:val="21"/>
                <w:szCs w:val="21"/>
                <w:lang w:val="zh-CN"/>
                <w14:textFill>
                  <w14:solidFill>
                    <w14:schemeClr w14:val="tx1"/>
                  </w14:solidFill>
                </w14:textFill>
              </w:rPr>
              <w:t>通达路</w:t>
            </w:r>
          </w:p>
        </w:tc>
        <w:tc>
          <w:tcPr>
            <w:tcW w:w="1305" w:type="dxa"/>
            <w:noWrap w:val="0"/>
            <w:vAlign w:val="center"/>
          </w:tcPr>
          <w:p w14:paraId="29924B80">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城市主干路</w:t>
            </w:r>
          </w:p>
        </w:tc>
        <w:tc>
          <w:tcPr>
            <w:tcW w:w="1326" w:type="dxa"/>
            <w:noWrap w:val="0"/>
            <w:vAlign w:val="center"/>
          </w:tcPr>
          <w:p w14:paraId="51B45FB0">
            <w:pPr>
              <w:spacing w:line="240" w:lineRule="auto"/>
              <w:ind w:firstLine="0" w:firstLineChars="0"/>
              <w:jc w:val="center"/>
              <w:rPr>
                <w:rFonts w:hint="default" w:ascii="Times New Roman" w:hAnsi="Times New Roman" w:eastAsia="宋体" w:cs="Times New Roman"/>
                <w:color w:val="000000" w:themeColor="text1"/>
                <w:spacing w:val="-2"/>
                <w:sz w:val="21"/>
                <w:szCs w:val="21"/>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3719</w:t>
            </w:r>
          </w:p>
        </w:tc>
        <w:tc>
          <w:tcPr>
            <w:tcW w:w="796" w:type="pct"/>
            <w:vMerge w:val="continue"/>
            <w:noWrap w:val="0"/>
            <w:vAlign w:val="center"/>
          </w:tcPr>
          <w:p w14:paraId="3D26306B">
            <w:pPr>
              <w:spacing w:line="240" w:lineRule="auto"/>
              <w:ind w:firstLine="0" w:firstLineChars="0"/>
              <w:jc w:val="center"/>
              <w:rPr>
                <w:rFonts w:hint="eastAsia" w:ascii="Times New Roman" w:hAnsi="Times New Roman" w:eastAsia="宋体" w:cs="Times New Roman"/>
                <w:color w:val="000000" w:themeColor="text1"/>
                <w:spacing w:val="-2"/>
                <w:sz w:val="21"/>
                <w:szCs w:val="21"/>
                <w:lang w:val="en-US" w:eastAsia="zh-CN"/>
                <w14:textFill>
                  <w14:solidFill>
                    <w14:schemeClr w14:val="tx1"/>
                  </w14:solidFill>
                </w14:textFill>
              </w:rPr>
            </w:pPr>
          </w:p>
        </w:tc>
      </w:tr>
      <w:tr w14:paraId="6B49B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388" w:type="pct"/>
            <w:noWrap w:val="0"/>
            <w:vAlign w:val="center"/>
          </w:tcPr>
          <w:p w14:paraId="20F322D9">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2"/>
                <w:sz w:val="21"/>
                <w:szCs w:val="21"/>
                <w14:textFill>
                  <w14:solidFill>
                    <w14:schemeClr w14:val="tx1"/>
                  </w14:solidFill>
                </w14:textFill>
              </w:rPr>
              <w:t>3</w:t>
            </w:r>
          </w:p>
        </w:tc>
        <w:tc>
          <w:tcPr>
            <w:tcW w:w="1073" w:type="dxa"/>
            <w:noWrap w:val="0"/>
            <w:vAlign w:val="center"/>
          </w:tcPr>
          <w:p w14:paraId="3EAAAAA5">
            <w:pPr>
              <w:pStyle w:val="29"/>
              <w:ind w:firstLine="0" w:firstLineChars="0"/>
              <w:rPr>
                <w:rFonts w:hint="default" w:ascii="Times New Roman" w:hAnsi="Times New Roman" w:eastAsia="宋体" w:cs="Times New Roman"/>
                <w:color w:val="000000" w:themeColor="text1"/>
                <w:spacing w:val="-2"/>
                <w14:textFill>
                  <w14:solidFill>
                    <w14:schemeClr w14:val="tx1"/>
                  </w14:solidFill>
                </w14:textFill>
              </w:rPr>
            </w:pPr>
            <w:r>
              <w:rPr>
                <w:rStyle w:val="36"/>
                <w:color w:val="000000" w:themeColor="text1"/>
                <w:spacing w:val="0"/>
                <w:lang w:val="en-US" w:eastAsia="zh-CN" w:bidi="ar"/>
                <w14:textFill>
                  <w14:solidFill>
                    <w14:schemeClr w14:val="tx1"/>
                  </w14:solidFill>
                </w14:textFill>
              </w:rPr>
              <w:t>通达</w:t>
            </w:r>
            <w:r>
              <w:rPr>
                <w:rFonts w:hint="eastAsia"/>
                <w:color w:val="000000" w:themeColor="text1"/>
                <w:spacing w:val="0"/>
                <w:lang w:val="zh-CN"/>
                <w14:textFill>
                  <w14:solidFill>
                    <w14:schemeClr w14:val="tx1"/>
                  </w14:solidFill>
                </w14:textFill>
              </w:rPr>
              <w:t>路</w:t>
            </w:r>
          </w:p>
        </w:tc>
        <w:tc>
          <w:tcPr>
            <w:tcW w:w="2648" w:type="dxa"/>
            <w:noWrap w:val="0"/>
            <w:vAlign w:val="center"/>
          </w:tcPr>
          <w:p w14:paraId="4DFB4AA1">
            <w:pPr>
              <w:pStyle w:val="29"/>
              <w:ind w:firstLine="0" w:firstLineChars="0"/>
              <w:rPr>
                <w:rFonts w:hint="default"/>
                <w:color w:val="000000" w:themeColor="text1"/>
                <w:spacing w:val="-2"/>
                <w14:textFill>
                  <w14:solidFill>
                    <w14:schemeClr w14:val="tx1"/>
                  </w14:solidFill>
                </w14:textFill>
              </w:rPr>
            </w:pPr>
            <w:r>
              <w:rPr>
                <w:rStyle w:val="36"/>
                <w:color w:val="000000" w:themeColor="text1"/>
                <w:spacing w:val="0"/>
                <w:sz w:val="21"/>
                <w:szCs w:val="21"/>
                <w:lang w:val="en-US" w:eastAsia="zh-CN" w:bidi="ar"/>
                <w14:textFill>
                  <w14:solidFill>
                    <w14:schemeClr w14:val="tx1"/>
                  </w14:solidFill>
                </w14:textFill>
              </w:rPr>
              <w:t>松滨大街</w:t>
            </w:r>
            <w:r>
              <w:rPr>
                <w:color w:val="000000" w:themeColor="text1"/>
                <w:spacing w:val="0"/>
                <w:sz w:val="21"/>
                <w:szCs w:val="21"/>
                <w:lang w:val="zh-CN"/>
                <w14:textFill>
                  <w14:solidFill>
                    <w14:schemeClr w14:val="tx1"/>
                  </w14:solidFill>
                </w14:textFill>
              </w:rPr>
              <w:t>――</w:t>
            </w:r>
            <w:r>
              <w:rPr>
                <w:rFonts w:hint="eastAsia"/>
                <w:color w:val="000000" w:themeColor="text1"/>
                <w:spacing w:val="0"/>
                <w:sz w:val="21"/>
                <w:szCs w:val="21"/>
                <w:lang w:val="zh-CN"/>
                <w14:textFill>
                  <w14:solidFill>
                    <w14:schemeClr w14:val="tx1"/>
                  </w14:solidFill>
                </w14:textFill>
              </w:rPr>
              <w:t>大同街</w:t>
            </w:r>
          </w:p>
        </w:tc>
        <w:tc>
          <w:tcPr>
            <w:tcW w:w="1305" w:type="dxa"/>
            <w:noWrap w:val="0"/>
            <w:vAlign w:val="center"/>
          </w:tcPr>
          <w:p w14:paraId="2B757883">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城市主干路</w:t>
            </w:r>
          </w:p>
        </w:tc>
        <w:tc>
          <w:tcPr>
            <w:tcW w:w="1326" w:type="dxa"/>
            <w:noWrap w:val="0"/>
            <w:vAlign w:val="center"/>
          </w:tcPr>
          <w:p w14:paraId="1AD9A8A8">
            <w:pPr>
              <w:spacing w:line="240" w:lineRule="auto"/>
              <w:ind w:firstLine="0" w:firstLineChars="0"/>
              <w:jc w:val="center"/>
              <w:rPr>
                <w:rFonts w:hint="default" w:ascii="Times New Roman" w:hAnsi="Times New Roman" w:eastAsia="宋体" w:cs="Times New Roman"/>
                <w:color w:val="000000" w:themeColor="text1"/>
                <w:spacing w:val="-2"/>
                <w:sz w:val="21"/>
                <w:szCs w:val="21"/>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1964</w:t>
            </w:r>
          </w:p>
        </w:tc>
        <w:tc>
          <w:tcPr>
            <w:tcW w:w="796" w:type="pct"/>
            <w:vMerge w:val="continue"/>
            <w:noWrap w:val="0"/>
            <w:vAlign w:val="center"/>
          </w:tcPr>
          <w:p w14:paraId="04A0E885">
            <w:pPr>
              <w:spacing w:line="240" w:lineRule="auto"/>
              <w:ind w:firstLine="0" w:firstLineChars="0"/>
              <w:jc w:val="center"/>
              <w:rPr>
                <w:rFonts w:hint="eastAsia" w:ascii="Times New Roman" w:hAnsi="Times New Roman" w:eastAsia="宋体" w:cs="Times New Roman"/>
                <w:color w:val="000000" w:themeColor="text1"/>
                <w:spacing w:val="-2"/>
                <w:sz w:val="21"/>
                <w:szCs w:val="21"/>
                <w:lang w:val="en-US" w:eastAsia="zh-CN"/>
                <w14:textFill>
                  <w14:solidFill>
                    <w14:schemeClr w14:val="tx1"/>
                  </w14:solidFill>
                </w14:textFill>
              </w:rPr>
            </w:pPr>
          </w:p>
        </w:tc>
      </w:tr>
      <w:tr w14:paraId="2E28C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388" w:type="pct"/>
            <w:noWrap w:val="0"/>
            <w:vAlign w:val="center"/>
          </w:tcPr>
          <w:p w14:paraId="4035D5B9">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2"/>
                <w:sz w:val="21"/>
                <w:szCs w:val="21"/>
                <w14:textFill>
                  <w14:solidFill>
                    <w14:schemeClr w14:val="tx1"/>
                  </w14:solidFill>
                </w14:textFill>
              </w:rPr>
              <w:t>4</w:t>
            </w:r>
          </w:p>
        </w:tc>
        <w:tc>
          <w:tcPr>
            <w:tcW w:w="1073" w:type="dxa"/>
            <w:noWrap w:val="0"/>
            <w:vAlign w:val="center"/>
          </w:tcPr>
          <w:p w14:paraId="0286C2CB">
            <w:pPr>
              <w:pStyle w:val="29"/>
              <w:ind w:firstLine="0" w:firstLineChars="0"/>
              <w:rPr>
                <w:rFonts w:hint="default" w:ascii="Times New Roman" w:hAnsi="Times New Roman" w:eastAsia="宋体" w:cs="Times New Roman"/>
                <w:color w:val="000000" w:themeColor="text1"/>
                <w:spacing w:val="-2"/>
                <w14:textFill>
                  <w14:solidFill>
                    <w14:schemeClr w14:val="tx1"/>
                  </w14:solidFill>
                </w14:textFill>
              </w:rPr>
            </w:pPr>
            <w:r>
              <w:rPr>
                <w:rStyle w:val="36"/>
                <w:color w:val="000000" w:themeColor="text1"/>
                <w:spacing w:val="0"/>
                <w:lang w:val="en-US" w:eastAsia="zh-CN" w:bidi="ar"/>
                <w14:textFill>
                  <w14:solidFill>
                    <w14:schemeClr w14:val="tx1"/>
                  </w14:solidFill>
                </w14:textFill>
              </w:rPr>
              <w:t>振荣大街</w:t>
            </w:r>
          </w:p>
        </w:tc>
        <w:tc>
          <w:tcPr>
            <w:tcW w:w="2648" w:type="dxa"/>
            <w:noWrap w:val="0"/>
            <w:vAlign w:val="center"/>
          </w:tcPr>
          <w:p w14:paraId="4CA282CA">
            <w:pPr>
              <w:pStyle w:val="29"/>
              <w:ind w:firstLine="0" w:firstLineChars="0"/>
              <w:rPr>
                <w:rFonts w:hint="default"/>
                <w:color w:val="000000" w:themeColor="text1"/>
                <w:spacing w:val="-2"/>
                <w14:textFill>
                  <w14:solidFill>
                    <w14:schemeClr w14:val="tx1"/>
                  </w14:solidFill>
                </w14:textFill>
              </w:rPr>
            </w:pPr>
            <w:r>
              <w:rPr>
                <w:rFonts w:hint="eastAsia"/>
                <w:color w:val="000000" w:themeColor="text1"/>
                <w:spacing w:val="0"/>
                <w:sz w:val="21"/>
                <w:szCs w:val="21"/>
                <w:lang w:val="zh-CN"/>
                <w14:textFill>
                  <w14:solidFill>
                    <w14:schemeClr w14:val="tx1"/>
                  </w14:solidFill>
                </w14:textFill>
              </w:rPr>
              <w:t>光辉路</w:t>
            </w:r>
            <w:r>
              <w:rPr>
                <w:rFonts w:hint="default"/>
                <w:color w:val="000000" w:themeColor="text1"/>
                <w:spacing w:val="0"/>
                <w:sz w:val="21"/>
                <w:szCs w:val="21"/>
                <w:lang w:val="zh-CN"/>
                <w14:textFill>
                  <w14:solidFill>
                    <w14:schemeClr w14:val="tx1"/>
                  </w14:solidFill>
                </w14:textFill>
              </w:rPr>
              <w:t>――</w:t>
            </w:r>
            <w:r>
              <w:rPr>
                <w:rFonts w:hint="eastAsia"/>
                <w:color w:val="000000" w:themeColor="text1"/>
                <w:spacing w:val="0"/>
                <w:sz w:val="21"/>
                <w:szCs w:val="21"/>
                <w:lang w:val="zh-CN"/>
                <w14:textFill>
                  <w14:solidFill>
                    <w14:schemeClr w14:val="tx1"/>
                  </w14:solidFill>
                </w14:textFill>
              </w:rPr>
              <w:t>东郊路</w:t>
            </w:r>
          </w:p>
        </w:tc>
        <w:tc>
          <w:tcPr>
            <w:tcW w:w="1305" w:type="dxa"/>
            <w:noWrap w:val="0"/>
            <w:vAlign w:val="center"/>
          </w:tcPr>
          <w:p w14:paraId="143219F1">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城市主干路</w:t>
            </w:r>
          </w:p>
        </w:tc>
        <w:tc>
          <w:tcPr>
            <w:tcW w:w="1326" w:type="dxa"/>
            <w:noWrap w:val="0"/>
            <w:vAlign w:val="center"/>
          </w:tcPr>
          <w:p w14:paraId="7C63C96B">
            <w:pPr>
              <w:spacing w:line="240" w:lineRule="auto"/>
              <w:ind w:firstLine="0" w:firstLineChars="0"/>
              <w:jc w:val="center"/>
              <w:rPr>
                <w:rFonts w:hint="default" w:ascii="Times New Roman" w:hAnsi="Times New Roman" w:eastAsia="宋体" w:cs="Times New Roman"/>
                <w:color w:val="000000" w:themeColor="text1"/>
                <w:spacing w:val="-2"/>
                <w:sz w:val="21"/>
                <w:szCs w:val="21"/>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3002</w:t>
            </w:r>
          </w:p>
        </w:tc>
        <w:tc>
          <w:tcPr>
            <w:tcW w:w="796" w:type="pct"/>
            <w:vMerge w:val="continue"/>
            <w:noWrap w:val="0"/>
            <w:vAlign w:val="center"/>
          </w:tcPr>
          <w:p w14:paraId="668C0189">
            <w:pPr>
              <w:spacing w:line="240" w:lineRule="auto"/>
              <w:ind w:firstLine="0" w:firstLineChars="0"/>
              <w:jc w:val="center"/>
              <w:rPr>
                <w:rFonts w:hint="eastAsia" w:ascii="Times New Roman" w:hAnsi="Times New Roman" w:eastAsia="宋体" w:cs="Times New Roman"/>
                <w:color w:val="000000" w:themeColor="text1"/>
                <w:spacing w:val="-2"/>
                <w:sz w:val="21"/>
                <w:szCs w:val="21"/>
                <w:lang w:val="en-US" w:eastAsia="zh-CN"/>
                <w14:textFill>
                  <w14:solidFill>
                    <w14:schemeClr w14:val="tx1"/>
                  </w14:solidFill>
                </w14:textFill>
              </w:rPr>
            </w:pPr>
          </w:p>
        </w:tc>
      </w:tr>
      <w:tr w14:paraId="39708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388" w:type="pct"/>
            <w:noWrap w:val="0"/>
            <w:vAlign w:val="center"/>
          </w:tcPr>
          <w:p w14:paraId="19932EBA">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2"/>
                <w:sz w:val="21"/>
                <w:szCs w:val="21"/>
                <w14:textFill>
                  <w14:solidFill>
                    <w14:schemeClr w14:val="tx1"/>
                  </w14:solidFill>
                </w14:textFill>
              </w:rPr>
              <w:t>5</w:t>
            </w:r>
          </w:p>
        </w:tc>
        <w:tc>
          <w:tcPr>
            <w:tcW w:w="1073" w:type="dxa"/>
            <w:noWrap w:val="0"/>
            <w:vAlign w:val="center"/>
          </w:tcPr>
          <w:p w14:paraId="7B41740F">
            <w:pPr>
              <w:pStyle w:val="29"/>
              <w:ind w:firstLine="0" w:firstLineChars="0"/>
              <w:rPr>
                <w:rFonts w:hint="default" w:ascii="Times New Roman" w:hAnsi="Times New Roman" w:eastAsia="宋体" w:cs="Times New Roman"/>
                <w:color w:val="000000" w:themeColor="text1"/>
                <w:spacing w:val="-2"/>
                <w14:textFill>
                  <w14:solidFill>
                    <w14:schemeClr w14:val="tx1"/>
                  </w14:solidFill>
                </w14:textFill>
              </w:rPr>
            </w:pPr>
            <w:r>
              <w:rPr>
                <w:rStyle w:val="36"/>
                <w:color w:val="000000" w:themeColor="text1"/>
                <w:spacing w:val="0"/>
                <w:lang w:val="en-US" w:eastAsia="zh-CN" w:bidi="ar"/>
                <w14:textFill>
                  <w14:solidFill>
                    <w14:schemeClr w14:val="tx1"/>
                  </w14:solidFill>
                </w14:textFill>
              </w:rPr>
              <w:t>东环路</w:t>
            </w:r>
          </w:p>
        </w:tc>
        <w:tc>
          <w:tcPr>
            <w:tcW w:w="2648" w:type="dxa"/>
            <w:noWrap w:val="0"/>
            <w:vAlign w:val="center"/>
          </w:tcPr>
          <w:p w14:paraId="0F57CB46">
            <w:pPr>
              <w:pStyle w:val="29"/>
              <w:ind w:firstLine="0" w:firstLineChars="0"/>
              <w:rPr>
                <w:rFonts w:hint="default"/>
                <w:color w:val="000000" w:themeColor="text1"/>
                <w:spacing w:val="-2"/>
                <w14:textFill>
                  <w14:solidFill>
                    <w14:schemeClr w14:val="tx1"/>
                  </w14:solidFill>
                </w14:textFill>
              </w:rPr>
            </w:pPr>
            <w:r>
              <w:rPr>
                <w:rFonts w:hint="eastAsia"/>
                <w:color w:val="000000" w:themeColor="text1"/>
                <w:spacing w:val="0"/>
                <w:sz w:val="21"/>
                <w:szCs w:val="21"/>
                <w:lang w:val="zh-CN"/>
                <w14:textFill>
                  <w14:solidFill>
                    <w14:schemeClr w14:val="tx1"/>
                  </w14:solidFill>
                </w14:textFill>
              </w:rPr>
              <w:t>顺通路</w:t>
            </w:r>
            <w:r>
              <w:rPr>
                <w:rFonts w:hint="default"/>
                <w:color w:val="000000" w:themeColor="text1"/>
                <w:spacing w:val="0"/>
                <w:sz w:val="21"/>
                <w:szCs w:val="21"/>
                <w:lang w:val="zh-CN"/>
                <w14:textFill>
                  <w14:solidFill>
                    <w14:schemeClr w14:val="tx1"/>
                  </w14:solidFill>
                </w14:textFill>
              </w:rPr>
              <w:t>――</w:t>
            </w:r>
            <w:r>
              <w:rPr>
                <w:rStyle w:val="36"/>
                <w:color w:val="000000" w:themeColor="text1"/>
                <w:spacing w:val="0"/>
                <w:sz w:val="21"/>
                <w:szCs w:val="21"/>
                <w:lang w:val="en-US" w:eastAsia="zh-CN" w:bidi="ar"/>
                <w14:textFill>
                  <w14:solidFill>
                    <w14:schemeClr w14:val="tx1"/>
                  </w14:solidFill>
                </w14:textFill>
              </w:rPr>
              <w:t>松滨大街</w:t>
            </w:r>
          </w:p>
        </w:tc>
        <w:tc>
          <w:tcPr>
            <w:tcW w:w="1305" w:type="dxa"/>
            <w:noWrap w:val="0"/>
            <w:vAlign w:val="center"/>
          </w:tcPr>
          <w:p w14:paraId="7C93A089">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城市主干路</w:t>
            </w:r>
          </w:p>
        </w:tc>
        <w:tc>
          <w:tcPr>
            <w:tcW w:w="1326" w:type="dxa"/>
            <w:noWrap w:val="0"/>
            <w:vAlign w:val="center"/>
          </w:tcPr>
          <w:p w14:paraId="76C89238">
            <w:pPr>
              <w:spacing w:line="240" w:lineRule="auto"/>
              <w:ind w:firstLine="0" w:firstLineChars="0"/>
              <w:jc w:val="center"/>
              <w:rPr>
                <w:rFonts w:hint="default" w:ascii="Times New Roman" w:hAnsi="Times New Roman" w:eastAsia="宋体" w:cs="Times New Roman"/>
                <w:color w:val="000000" w:themeColor="text1"/>
                <w:spacing w:val="-2"/>
                <w:sz w:val="21"/>
                <w:szCs w:val="21"/>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1216</w:t>
            </w:r>
          </w:p>
        </w:tc>
        <w:tc>
          <w:tcPr>
            <w:tcW w:w="796" w:type="pct"/>
            <w:vMerge w:val="continue"/>
            <w:noWrap w:val="0"/>
            <w:vAlign w:val="center"/>
          </w:tcPr>
          <w:p w14:paraId="0B194462">
            <w:pPr>
              <w:spacing w:line="240" w:lineRule="auto"/>
              <w:ind w:firstLine="0" w:firstLineChars="0"/>
              <w:jc w:val="center"/>
              <w:rPr>
                <w:rFonts w:hint="eastAsia" w:ascii="Times New Roman" w:hAnsi="Times New Roman" w:eastAsia="宋体" w:cs="Times New Roman"/>
                <w:color w:val="000000" w:themeColor="text1"/>
                <w:spacing w:val="-2"/>
                <w:sz w:val="21"/>
                <w:szCs w:val="21"/>
                <w:lang w:val="en-US" w:eastAsia="zh-CN"/>
                <w14:textFill>
                  <w14:solidFill>
                    <w14:schemeClr w14:val="tx1"/>
                  </w14:solidFill>
                </w14:textFill>
              </w:rPr>
            </w:pPr>
          </w:p>
        </w:tc>
      </w:tr>
      <w:tr w14:paraId="49506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388" w:type="pct"/>
            <w:noWrap w:val="0"/>
            <w:vAlign w:val="center"/>
          </w:tcPr>
          <w:p w14:paraId="78BF2D56">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2"/>
                <w:sz w:val="21"/>
                <w:szCs w:val="21"/>
                <w14:textFill>
                  <w14:solidFill>
                    <w14:schemeClr w14:val="tx1"/>
                  </w14:solidFill>
                </w14:textFill>
              </w:rPr>
              <w:t>6</w:t>
            </w:r>
          </w:p>
        </w:tc>
        <w:tc>
          <w:tcPr>
            <w:tcW w:w="1073" w:type="dxa"/>
            <w:noWrap w:val="0"/>
            <w:vAlign w:val="center"/>
          </w:tcPr>
          <w:p w14:paraId="3F42F954">
            <w:pPr>
              <w:pStyle w:val="29"/>
              <w:ind w:firstLine="0" w:firstLineChars="0"/>
              <w:rPr>
                <w:rFonts w:hint="default" w:ascii="Times New Roman" w:hAnsi="Times New Roman" w:eastAsia="宋体" w:cs="Times New Roman"/>
                <w:color w:val="000000" w:themeColor="text1"/>
                <w:spacing w:val="-2"/>
                <w14:textFill>
                  <w14:solidFill>
                    <w14:schemeClr w14:val="tx1"/>
                  </w14:solidFill>
                </w14:textFill>
              </w:rPr>
            </w:pPr>
            <w:r>
              <w:rPr>
                <w:rStyle w:val="36"/>
                <w:color w:val="000000" w:themeColor="text1"/>
                <w:spacing w:val="0"/>
                <w:lang w:val="en-US" w:eastAsia="zh-CN" w:bidi="ar"/>
                <w14:textFill>
                  <w14:solidFill>
                    <w14:schemeClr w14:val="tx1"/>
                  </w14:solidFill>
                </w14:textFill>
              </w:rPr>
              <w:t>滨北路</w:t>
            </w:r>
          </w:p>
        </w:tc>
        <w:tc>
          <w:tcPr>
            <w:tcW w:w="2648" w:type="dxa"/>
            <w:noWrap w:val="0"/>
            <w:vAlign w:val="center"/>
          </w:tcPr>
          <w:p w14:paraId="50F61C87">
            <w:pPr>
              <w:pStyle w:val="29"/>
              <w:ind w:firstLine="0" w:firstLineChars="0"/>
              <w:rPr>
                <w:rFonts w:hint="default"/>
                <w:color w:val="000000" w:themeColor="text1"/>
                <w:spacing w:val="-2"/>
                <w14:textFill>
                  <w14:solidFill>
                    <w14:schemeClr w14:val="tx1"/>
                  </w14:solidFill>
                </w14:textFill>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北环路</w:t>
            </w:r>
            <w:r>
              <w:rPr>
                <w:rFonts w:hint="default"/>
                <w:color w:val="000000" w:themeColor="text1"/>
                <w:spacing w:val="0"/>
                <w:sz w:val="21"/>
                <w:szCs w:val="21"/>
                <w:highlight w:val="none"/>
                <w:lang w:val="zh-CN"/>
                <w14:textFill>
                  <w14:solidFill>
                    <w14:schemeClr w14:val="tx1"/>
                  </w14:solidFill>
                </w14:textFill>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松滨大街</w:t>
            </w:r>
          </w:p>
        </w:tc>
        <w:tc>
          <w:tcPr>
            <w:tcW w:w="1305" w:type="dxa"/>
            <w:noWrap w:val="0"/>
            <w:vAlign w:val="center"/>
          </w:tcPr>
          <w:p w14:paraId="6D33BCF6">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城市主干路</w:t>
            </w:r>
          </w:p>
        </w:tc>
        <w:tc>
          <w:tcPr>
            <w:tcW w:w="1326" w:type="dxa"/>
            <w:noWrap w:val="0"/>
            <w:vAlign w:val="center"/>
          </w:tcPr>
          <w:p w14:paraId="46C50748">
            <w:pPr>
              <w:spacing w:line="240" w:lineRule="auto"/>
              <w:ind w:firstLine="0" w:firstLineChars="0"/>
              <w:jc w:val="center"/>
              <w:rPr>
                <w:rFonts w:hint="default" w:ascii="Times New Roman" w:hAnsi="Times New Roman" w:eastAsia="宋体" w:cs="Times New Roman"/>
                <w:color w:val="000000" w:themeColor="text1"/>
                <w:spacing w:val="-2"/>
                <w:sz w:val="21"/>
                <w:szCs w:val="21"/>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1722</w:t>
            </w:r>
          </w:p>
        </w:tc>
        <w:tc>
          <w:tcPr>
            <w:tcW w:w="796" w:type="pct"/>
            <w:vMerge w:val="continue"/>
            <w:noWrap w:val="0"/>
            <w:vAlign w:val="center"/>
          </w:tcPr>
          <w:p w14:paraId="177E82CB">
            <w:pPr>
              <w:spacing w:line="240" w:lineRule="auto"/>
              <w:ind w:firstLine="0" w:firstLineChars="0"/>
              <w:jc w:val="center"/>
              <w:rPr>
                <w:rFonts w:hint="eastAsia" w:ascii="Times New Roman" w:hAnsi="Times New Roman" w:eastAsia="宋体" w:cs="Times New Roman"/>
                <w:color w:val="000000" w:themeColor="text1"/>
                <w:spacing w:val="-2"/>
                <w:sz w:val="21"/>
                <w:szCs w:val="21"/>
                <w:lang w:val="en-US" w:eastAsia="zh-CN"/>
                <w14:textFill>
                  <w14:solidFill>
                    <w14:schemeClr w14:val="tx1"/>
                  </w14:solidFill>
                </w14:textFill>
              </w:rPr>
            </w:pPr>
          </w:p>
        </w:tc>
      </w:tr>
      <w:tr w14:paraId="5C419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388" w:type="pct"/>
            <w:noWrap w:val="0"/>
            <w:vAlign w:val="center"/>
          </w:tcPr>
          <w:p w14:paraId="312AA7C8">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2"/>
                <w:sz w:val="21"/>
                <w:szCs w:val="21"/>
                <w14:textFill>
                  <w14:solidFill>
                    <w14:schemeClr w14:val="tx1"/>
                  </w14:solidFill>
                </w14:textFill>
              </w:rPr>
              <w:t>7</w:t>
            </w:r>
          </w:p>
        </w:tc>
        <w:tc>
          <w:tcPr>
            <w:tcW w:w="1073" w:type="dxa"/>
            <w:noWrap w:val="0"/>
            <w:vAlign w:val="center"/>
          </w:tcPr>
          <w:p w14:paraId="7C282954">
            <w:pPr>
              <w:pStyle w:val="29"/>
              <w:ind w:firstLine="0" w:firstLineChars="0"/>
              <w:rPr>
                <w:rFonts w:hint="default" w:ascii="Times New Roman" w:hAnsi="Times New Roman" w:eastAsia="宋体" w:cs="Times New Roman"/>
                <w:color w:val="000000" w:themeColor="text1"/>
                <w:spacing w:val="-2"/>
                <w14:textFill>
                  <w14:solidFill>
                    <w14:schemeClr w14:val="tx1"/>
                  </w14:solidFill>
                </w14:textFill>
              </w:rPr>
            </w:pPr>
            <w:r>
              <w:rPr>
                <w:rStyle w:val="36"/>
                <w:color w:val="000000" w:themeColor="text1"/>
                <w:spacing w:val="0"/>
                <w:lang w:val="en-US" w:eastAsia="zh-CN" w:bidi="ar"/>
                <w14:textFill>
                  <w14:solidFill>
                    <w14:schemeClr w14:val="tx1"/>
                  </w14:solidFill>
                </w14:textFill>
              </w:rPr>
              <w:t>西环路</w:t>
            </w:r>
          </w:p>
        </w:tc>
        <w:tc>
          <w:tcPr>
            <w:tcW w:w="2648" w:type="dxa"/>
            <w:noWrap w:val="0"/>
            <w:vAlign w:val="center"/>
          </w:tcPr>
          <w:p w14:paraId="1DC80467">
            <w:pPr>
              <w:pStyle w:val="29"/>
              <w:ind w:firstLine="0" w:firstLineChars="0"/>
              <w:rPr>
                <w:rFonts w:hint="default"/>
                <w:color w:val="000000" w:themeColor="text1"/>
                <w:spacing w:val="-2"/>
                <w14:textFill>
                  <w14:solidFill>
                    <w14:schemeClr w14:val="tx1"/>
                  </w14:solidFill>
                </w14:textFill>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红星大街</w:t>
            </w:r>
            <w:r>
              <w:rPr>
                <w:rFonts w:hint="default"/>
                <w:color w:val="000000" w:themeColor="text1"/>
                <w:spacing w:val="0"/>
                <w:sz w:val="21"/>
                <w:szCs w:val="21"/>
                <w:highlight w:val="none"/>
                <w:lang w:val="zh-CN"/>
                <w14:textFill>
                  <w14:solidFill>
                    <w14:schemeClr w14:val="tx1"/>
                  </w14:solidFill>
                </w14:textFill>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松滨大街</w:t>
            </w:r>
          </w:p>
        </w:tc>
        <w:tc>
          <w:tcPr>
            <w:tcW w:w="1305" w:type="dxa"/>
            <w:noWrap w:val="0"/>
            <w:vAlign w:val="center"/>
          </w:tcPr>
          <w:p w14:paraId="3A0DAF84">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城市主干路</w:t>
            </w:r>
          </w:p>
        </w:tc>
        <w:tc>
          <w:tcPr>
            <w:tcW w:w="1326" w:type="dxa"/>
            <w:noWrap w:val="0"/>
            <w:vAlign w:val="center"/>
          </w:tcPr>
          <w:p w14:paraId="3AA12926">
            <w:pPr>
              <w:spacing w:line="240" w:lineRule="auto"/>
              <w:ind w:firstLine="0" w:firstLineChars="0"/>
              <w:jc w:val="center"/>
              <w:rPr>
                <w:rFonts w:hint="default" w:ascii="Times New Roman" w:hAnsi="Times New Roman" w:eastAsia="宋体" w:cs="Times New Roman"/>
                <w:color w:val="000000" w:themeColor="text1"/>
                <w:spacing w:val="-2"/>
                <w:sz w:val="21"/>
                <w:szCs w:val="21"/>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834</w:t>
            </w:r>
          </w:p>
        </w:tc>
        <w:tc>
          <w:tcPr>
            <w:tcW w:w="796" w:type="pct"/>
            <w:vMerge w:val="continue"/>
            <w:noWrap w:val="0"/>
            <w:vAlign w:val="center"/>
          </w:tcPr>
          <w:p w14:paraId="05D0FBE2">
            <w:pPr>
              <w:spacing w:line="240" w:lineRule="auto"/>
              <w:ind w:firstLine="0" w:firstLineChars="0"/>
              <w:jc w:val="center"/>
              <w:rPr>
                <w:rFonts w:hint="eastAsia" w:ascii="Times New Roman" w:hAnsi="Times New Roman" w:eastAsia="宋体" w:cs="Times New Roman"/>
                <w:color w:val="000000" w:themeColor="text1"/>
                <w:spacing w:val="-2"/>
                <w:sz w:val="21"/>
                <w:szCs w:val="21"/>
                <w:lang w:val="en-US" w:eastAsia="zh-CN"/>
                <w14:textFill>
                  <w14:solidFill>
                    <w14:schemeClr w14:val="tx1"/>
                  </w14:solidFill>
                </w14:textFill>
              </w:rPr>
            </w:pPr>
          </w:p>
        </w:tc>
      </w:tr>
      <w:tr w14:paraId="2F05A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388" w:type="pct"/>
            <w:noWrap w:val="0"/>
            <w:vAlign w:val="center"/>
          </w:tcPr>
          <w:p w14:paraId="0DC2F85B">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2"/>
                <w:sz w:val="21"/>
                <w:szCs w:val="21"/>
                <w14:textFill>
                  <w14:solidFill>
                    <w14:schemeClr w14:val="tx1"/>
                  </w14:solidFill>
                </w14:textFill>
              </w:rPr>
              <w:t>8</w:t>
            </w:r>
          </w:p>
        </w:tc>
        <w:tc>
          <w:tcPr>
            <w:tcW w:w="1073" w:type="dxa"/>
            <w:noWrap w:val="0"/>
            <w:vAlign w:val="center"/>
          </w:tcPr>
          <w:p w14:paraId="327613C9">
            <w:pPr>
              <w:pStyle w:val="29"/>
              <w:ind w:firstLine="0" w:firstLineChars="0"/>
              <w:rPr>
                <w:rFonts w:hint="default" w:ascii="Times New Roman" w:hAnsi="Times New Roman" w:eastAsia="宋体" w:cs="Times New Roman"/>
                <w:color w:val="000000" w:themeColor="text1"/>
                <w:spacing w:val="-2"/>
                <w14:textFill>
                  <w14:solidFill>
                    <w14:schemeClr w14:val="tx1"/>
                  </w14:solidFill>
                </w14:textFill>
              </w:rPr>
            </w:pPr>
            <w:r>
              <w:rPr>
                <w:rStyle w:val="36"/>
                <w:color w:val="000000" w:themeColor="text1"/>
                <w:spacing w:val="0"/>
                <w:lang w:val="en-US" w:eastAsia="zh-CN" w:bidi="ar"/>
                <w14:textFill>
                  <w14:solidFill>
                    <w14:schemeClr w14:val="tx1"/>
                  </w14:solidFill>
                </w14:textFill>
              </w:rPr>
              <w:t>振兴大街</w:t>
            </w:r>
          </w:p>
        </w:tc>
        <w:tc>
          <w:tcPr>
            <w:tcW w:w="2648" w:type="dxa"/>
            <w:noWrap w:val="0"/>
            <w:vAlign w:val="center"/>
          </w:tcPr>
          <w:p w14:paraId="00F5E155">
            <w:pPr>
              <w:pStyle w:val="29"/>
              <w:ind w:firstLine="0" w:firstLineChars="0"/>
              <w:rPr>
                <w:rFonts w:hint="default"/>
                <w:color w:val="000000" w:themeColor="text1"/>
                <w:spacing w:val="-2"/>
                <w14:textFill>
                  <w14:solidFill>
                    <w14:schemeClr w14:val="tx1"/>
                  </w14:solidFill>
                </w14:textFill>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红星大街</w:t>
            </w:r>
            <w:r>
              <w:rPr>
                <w:color w:val="000000" w:themeColor="text1"/>
                <w:spacing w:val="0"/>
                <w:sz w:val="21"/>
                <w:szCs w:val="21"/>
                <w:highlight w:val="none"/>
                <w:lang w:val="zh-CN"/>
                <w14:textFill>
                  <w14:solidFill>
                    <w14:schemeClr w14:val="tx1"/>
                  </w14:solidFill>
                </w14:textFill>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东辉路</w:t>
            </w:r>
          </w:p>
        </w:tc>
        <w:tc>
          <w:tcPr>
            <w:tcW w:w="1305" w:type="dxa"/>
            <w:noWrap w:val="0"/>
            <w:vAlign w:val="center"/>
          </w:tcPr>
          <w:p w14:paraId="46D4805E">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w:t>
            </w:r>
            <w:r>
              <w:rPr>
                <w:rFonts w:hint="eastAsia"/>
                <w:color w:val="000000" w:themeColor="text1"/>
                <w:spacing w:val="0"/>
                <w:sz w:val="21"/>
                <w:szCs w:val="21"/>
                <w:lang w:eastAsia="zh-CN"/>
                <w14:textFill>
                  <w14:solidFill>
                    <w14:schemeClr w14:val="tx1"/>
                  </w14:solidFill>
                </w14:textFill>
              </w:rPr>
              <w:t>次</w:t>
            </w:r>
            <w:r>
              <w:rPr>
                <w:rFonts w:hint="eastAsia"/>
                <w:color w:val="000000" w:themeColor="text1"/>
                <w:spacing w:val="0"/>
                <w:sz w:val="21"/>
                <w:szCs w:val="21"/>
                <w14:textFill>
                  <w14:solidFill>
                    <w14:schemeClr w14:val="tx1"/>
                  </w14:solidFill>
                </w14:textFill>
              </w:rPr>
              <w:t>干路</w:t>
            </w:r>
          </w:p>
        </w:tc>
        <w:tc>
          <w:tcPr>
            <w:tcW w:w="1326" w:type="dxa"/>
            <w:noWrap w:val="0"/>
            <w:vAlign w:val="center"/>
          </w:tcPr>
          <w:p w14:paraId="24F2A8B4">
            <w:pPr>
              <w:spacing w:line="240" w:lineRule="auto"/>
              <w:ind w:firstLine="0" w:firstLineChars="0"/>
              <w:jc w:val="center"/>
              <w:rPr>
                <w:rFonts w:hint="default" w:ascii="Times New Roman" w:hAnsi="Times New Roman" w:eastAsia="宋体" w:cs="Times New Roman"/>
                <w:color w:val="000000" w:themeColor="text1"/>
                <w:spacing w:val="-2"/>
                <w:sz w:val="21"/>
                <w:szCs w:val="21"/>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3224</w:t>
            </w:r>
          </w:p>
        </w:tc>
        <w:tc>
          <w:tcPr>
            <w:tcW w:w="796" w:type="pct"/>
            <w:vMerge w:val="continue"/>
            <w:noWrap w:val="0"/>
            <w:vAlign w:val="center"/>
          </w:tcPr>
          <w:p w14:paraId="6F4AFA98">
            <w:pPr>
              <w:spacing w:line="240" w:lineRule="auto"/>
              <w:ind w:firstLine="0" w:firstLineChars="0"/>
              <w:jc w:val="center"/>
              <w:rPr>
                <w:rFonts w:hint="eastAsia" w:ascii="Times New Roman" w:hAnsi="Times New Roman" w:eastAsia="宋体" w:cs="Times New Roman"/>
                <w:color w:val="000000" w:themeColor="text1"/>
                <w:spacing w:val="-2"/>
                <w:sz w:val="21"/>
                <w:szCs w:val="21"/>
                <w:lang w:val="en-US" w:eastAsia="zh-CN"/>
                <w14:textFill>
                  <w14:solidFill>
                    <w14:schemeClr w14:val="tx1"/>
                  </w14:solidFill>
                </w14:textFill>
              </w:rPr>
            </w:pPr>
          </w:p>
        </w:tc>
      </w:tr>
      <w:tr w14:paraId="57D18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388" w:type="pct"/>
            <w:noWrap w:val="0"/>
            <w:vAlign w:val="center"/>
          </w:tcPr>
          <w:p w14:paraId="40F3EDC6">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2"/>
                <w:sz w:val="21"/>
                <w:szCs w:val="21"/>
                <w14:textFill>
                  <w14:solidFill>
                    <w14:schemeClr w14:val="tx1"/>
                  </w14:solidFill>
                </w14:textFill>
              </w:rPr>
              <w:t>9</w:t>
            </w:r>
          </w:p>
        </w:tc>
        <w:tc>
          <w:tcPr>
            <w:tcW w:w="1073" w:type="dxa"/>
            <w:noWrap w:val="0"/>
            <w:vAlign w:val="center"/>
          </w:tcPr>
          <w:p w14:paraId="0D1ECB33">
            <w:pPr>
              <w:pStyle w:val="29"/>
              <w:ind w:firstLine="0" w:firstLineChars="0"/>
              <w:rPr>
                <w:rFonts w:hint="default" w:ascii="Times New Roman" w:hAnsi="Times New Roman" w:eastAsia="宋体" w:cs="Times New Roman"/>
                <w:color w:val="000000" w:themeColor="text1"/>
                <w:spacing w:val="-2"/>
                <w14:textFill>
                  <w14:solidFill>
                    <w14:schemeClr w14:val="tx1"/>
                  </w14:solidFill>
                </w14:textFill>
              </w:rPr>
            </w:pPr>
            <w:r>
              <w:rPr>
                <w:rStyle w:val="36"/>
                <w:color w:val="000000" w:themeColor="text1"/>
                <w:spacing w:val="0"/>
                <w:lang w:val="en-US" w:eastAsia="zh-CN" w:bidi="ar"/>
                <w14:textFill>
                  <w14:solidFill>
                    <w14:schemeClr w14:val="tx1"/>
                  </w14:solidFill>
                </w14:textFill>
              </w:rPr>
              <w:t>田丰街</w:t>
            </w:r>
          </w:p>
        </w:tc>
        <w:tc>
          <w:tcPr>
            <w:tcW w:w="2648" w:type="dxa"/>
            <w:noWrap w:val="0"/>
            <w:vAlign w:val="center"/>
          </w:tcPr>
          <w:p w14:paraId="1E792345">
            <w:pPr>
              <w:pStyle w:val="29"/>
              <w:ind w:firstLine="0" w:firstLineChars="0"/>
              <w:rPr>
                <w:color w:val="000000" w:themeColor="text1"/>
                <w:spacing w:val="-2"/>
                <w14:textFill>
                  <w14:solidFill>
                    <w14:schemeClr w14:val="tx1"/>
                  </w14:solidFill>
                </w14:textFill>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近河路</w:t>
            </w:r>
            <w:r>
              <w:rPr>
                <w:rFonts w:hint="default"/>
                <w:color w:val="000000" w:themeColor="text1"/>
                <w:spacing w:val="0"/>
                <w:sz w:val="21"/>
                <w:szCs w:val="21"/>
                <w:highlight w:val="none"/>
                <w:lang w:val="zh-CN"/>
                <w14:textFill>
                  <w14:solidFill>
                    <w14:schemeClr w14:val="tx1"/>
                  </w14:solidFill>
                </w14:textFill>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通江路</w:t>
            </w:r>
          </w:p>
        </w:tc>
        <w:tc>
          <w:tcPr>
            <w:tcW w:w="1305" w:type="dxa"/>
            <w:noWrap w:val="0"/>
            <w:vAlign w:val="center"/>
          </w:tcPr>
          <w:p w14:paraId="37CCF63C">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w:t>
            </w:r>
            <w:r>
              <w:rPr>
                <w:rFonts w:hint="eastAsia"/>
                <w:color w:val="000000" w:themeColor="text1"/>
                <w:spacing w:val="0"/>
                <w:sz w:val="21"/>
                <w:szCs w:val="21"/>
                <w:lang w:eastAsia="zh-CN"/>
                <w14:textFill>
                  <w14:solidFill>
                    <w14:schemeClr w14:val="tx1"/>
                  </w14:solidFill>
                </w14:textFill>
              </w:rPr>
              <w:t>次</w:t>
            </w:r>
            <w:r>
              <w:rPr>
                <w:rFonts w:hint="eastAsia"/>
                <w:color w:val="000000" w:themeColor="text1"/>
                <w:spacing w:val="0"/>
                <w:sz w:val="21"/>
                <w:szCs w:val="21"/>
                <w14:textFill>
                  <w14:solidFill>
                    <w14:schemeClr w14:val="tx1"/>
                  </w14:solidFill>
                </w14:textFill>
              </w:rPr>
              <w:t>干路</w:t>
            </w:r>
          </w:p>
        </w:tc>
        <w:tc>
          <w:tcPr>
            <w:tcW w:w="1326" w:type="dxa"/>
            <w:noWrap w:val="0"/>
            <w:vAlign w:val="center"/>
          </w:tcPr>
          <w:p w14:paraId="1BE29C42">
            <w:pPr>
              <w:spacing w:line="240" w:lineRule="auto"/>
              <w:ind w:firstLine="0" w:firstLineChars="0"/>
              <w:jc w:val="center"/>
              <w:rPr>
                <w:rFonts w:hint="default" w:ascii="Times New Roman" w:hAnsi="Times New Roman" w:eastAsia="宋体" w:cs="Times New Roman"/>
                <w:color w:val="000000" w:themeColor="text1"/>
                <w:spacing w:val="-2"/>
                <w:sz w:val="21"/>
                <w:szCs w:val="21"/>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1775</w:t>
            </w:r>
          </w:p>
        </w:tc>
        <w:tc>
          <w:tcPr>
            <w:tcW w:w="796" w:type="pct"/>
            <w:vMerge w:val="continue"/>
            <w:noWrap w:val="0"/>
            <w:vAlign w:val="center"/>
          </w:tcPr>
          <w:p w14:paraId="5CEB9B19">
            <w:pPr>
              <w:spacing w:line="240" w:lineRule="auto"/>
              <w:ind w:firstLine="0" w:firstLineChars="0"/>
              <w:jc w:val="center"/>
              <w:rPr>
                <w:rFonts w:hint="eastAsia" w:ascii="Times New Roman" w:hAnsi="Times New Roman" w:eastAsia="宋体" w:cs="Times New Roman"/>
                <w:color w:val="000000" w:themeColor="text1"/>
                <w:spacing w:val="-2"/>
                <w:sz w:val="21"/>
                <w:szCs w:val="21"/>
                <w:lang w:val="en-US" w:eastAsia="zh-CN"/>
                <w14:textFill>
                  <w14:solidFill>
                    <w14:schemeClr w14:val="tx1"/>
                  </w14:solidFill>
                </w14:textFill>
              </w:rPr>
            </w:pPr>
          </w:p>
        </w:tc>
      </w:tr>
      <w:tr w14:paraId="4C282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388" w:type="pct"/>
            <w:noWrap w:val="0"/>
            <w:vAlign w:val="center"/>
          </w:tcPr>
          <w:p w14:paraId="0D6950BA">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2"/>
                <w:sz w:val="21"/>
                <w:szCs w:val="21"/>
                <w14:textFill>
                  <w14:solidFill>
                    <w14:schemeClr w14:val="tx1"/>
                  </w14:solidFill>
                </w14:textFill>
              </w:rPr>
              <w:t>10</w:t>
            </w:r>
          </w:p>
        </w:tc>
        <w:tc>
          <w:tcPr>
            <w:tcW w:w="1073" w:type="dxa"/>
            <w:noWrap w:val="0"/>
            <w:vAlign w:val="center"/>
          </w:tcPr>
          <w:p w14:paraId="42B75C3A">
            <w:pPr>
              <w:pStyle w:val="29"/>
              <w:ind w:firstLine="0" w:firstLineChars="0"/>
              <w:rPr>
                <w:rFonts w:hint="default" w:ascii="Times New Roman" w:hAnsi="Times New Roman" w:eastAsia="宋体" w:cs="Times New Roman"/>
                <w:color w:val="000000" w:themeColor="text1"/>
                <w:spacing w:val="-2"/>
                <w14:textFill>
                  <w14:solidFill>
                    <w14:schemeClr w14:val="tx1"/>
                  </w14:solidFill>
                </w14:textFill>
              </w:rPr>
            </w:pPr>
            <w:r>
              <w:rPr>
                <w:rStyle w:val="36"/>
                <w:color w:val="000000" w:themeColor="text1"/>
                <w:spacing w:val="0"/>
                <w:lang w:val="en-US" w:eastAsia="zh-CN" w:bidi="ar"/>
                <w14:textFill>
                  <w14:solidFill>
                    <w14:schemeClr w14:val="tx1"/>
                  </w14:solidFill>
                </w14:textFill>
              </w:rPr>
              <w:t>渡口路</w:t>
            </w:r>
          </w:p>
        </w:tc>
        <w:tc>
          <w:tcPr>
            <w:tcW w:w="2648" w:type="dxa"/>
            <w:noWrap w:val="0"/>
            <w:vAlign w:val="center"/>
          </w:tcPr>
          <w:p w14:paraId="20333D07">
            <w:pPr>
              <w:pStyle w:val="29"/>
              <w:ind w:firstLine="0" w:firstLineChars="0"/>
              <w:rPr>
                <w:rFonts w:hint="default"/>
                <w:color w:val="000000" w:themeColor="text1"/>
                <w:spacing w:val="-2"/>
                <w14:textFill>
                  <w14:solidFill>
                    <w14:schemeClr w14:val="tx1"/>
                  </w14:solidFill>
                </w14:textFill>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顺通街</w:t>
            </w:r>
            <w:r>
              <w:rPr>
                <w:rFonts w:hint="default"/>
                <w:color w:val="000000" w:themeColor="text1"/>
                <w:spacing w:val="0"/>
                <w:sz w:val="21"/>
                <w:szCs w:val="21"/>
                <w:highlight w:val="none"/>
                <w:lang w:val="zh-CN"/>
                <w14:textFill>
                  <w14:solidFill>
                    <w14:schemeClr w14:val="tx1"/>
                  </w14:solidFill>
                </w14:textFill>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江滨街</w:t>
            </w:r>
          </w:p>
        </w:tc>
        <w:tc>
          <w:tcPr>
            <w:tcW w:w="1305" w:type="dxa"/>
            <w:noWrap w:val="0"/>
            <w:vAlign w:val="center"/>
          </w:tcPr>
          <w:p w14:paraId="23104769">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w:t>
            </w:r>
            <w:r>
              <w:rPr>
                <w:rFonts w:hint="eastAsia"/>
                <w:color w:val="000000" w:themeColor="text1"/>
                <w:spacing w:val="0"/>
                <w:sz w:val="21"/>
                <w:szCs w:val="21"/>
                <w:lang w:eastAsia="zh-CN"/>
                <w14:textFill>
                  <w14:solidFill>
                    <w14:schemeClr w14:val="tx1"/>
                  </w14:solidFill>
                </w14:textFill>
              </w:rPr>
              <w:t>次</w:t>
            </w:r>
            <w:r>
              <w:rPr>
                <w:rFonts w:hint="eastAsia"/>
                <w:color w:val="000000" w:themeColor="text1"/>
                <w:spacing w:val="0"/>
                <w:sz w:val="21"/>
                <w:szCs w:val="21"/>
                <w14:textFill>
                  <w14:solidFill>
                    <w14:schemeClr w14:val="tx1"/>
                  </w14:solidFill>
                </w14:textFill>
              </w:rPr>
              <w:t>干路</w:t>
            </w:r>
          </w:p>
        </w:tc>
        <w:tc>
          <w:tcPr>
            <w:tcW w:w="1326" w:type="dxa"/>
            <w:noWrap w:val="0"/>
            <w:vAlign w:val="center"/>
          </w:tcPr>
          <w:p w14:paraId="258DE08B">
            <w:pPr>
              <w:spacing w:line="240" w:lineRule="auto"/>
              <w:ind w:firstLine="0" w:firstLineChars="0"/>
              <w:jc w:val="center"/>
              <w:rPr>
                <w:rFonts w:hint="default" w:ascii="Times New Roman" w:hAnsi="Times New Roman" w:eastAsia="宋体" w:cs="Times New Roman"/>
                <w:color w:val="000000" w:themeColor="text1"/>
                <w:spacing w:val="-2"/>
                <w:sz w:val="21"/>
                <w:szCs w:val="21"/>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2028</w:t>
            </w:r>
          </w:p>
        </w:tc>
        <w:tc>
          <w:tcPr>
            <w:tcW w:w="796" w:type="pct"/>
            <w:vMerge w:val="continue"/>
            <w:noWrap w:val="0"/>
            <w:vAlign w:val="center"/>
          </w:tcPr>
          <w:p w14:paraId="55C7D97F">
            <w:pPr>
              <w:spacing w:line="240" w:lineRule="auto"/>
              <w:ind w:firstLine="0" w:firstLineChars="0"/>
              <w:jc w:val="center"/>
              <w:rPr>
                <w:rFonts w:hint="eastAsia" w:ascii="Times New Roman" w:hAnsi="Times New Roman" w:eastAsia="宋体" w:cs="Times New Roman"/>
                <w:color w:val="000000" w:themeColor="text1"/>
                <w:spacing w:val="-2"/>
                <w:sz w:val="21"/>
                <w:szCs w:val="21"/>
                <w:lang w:val="en-US" w:eastAsia="zh-CN"/>
                <w14:textFill>
                  <w14:solidFill>
                    <w14:schemeClr w14:val="tx1"/>
                  </w14:solidFill>
                </w14:textFill>
              </w:rPr>
            </w:pPr>
          </w:p>
        </w:tc>
      </w:tr>
      <w:tr w14:paraId="6849C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388" w:type="pct"/>
            <w:noWrap w:val="0"/>
            <w:vAlign w:val="center"/>
          </w:tcPr>
          <w:p w14:paraId="70E6D726">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2"/>
                <w:sz w:val="21"/>
                <w:szCs w:val="21"/>
                <w14:textFill>
                  <w14:solidFill>
                    <w14:schemeClr w14:val="tx1"/>
                  </w14:solidFill>
                </w14:textFill>
              </w:rPr>
              <w:t>11</w:t>
            </w:r>
          </w:p>
        </w:tc>
        <w:tc>
          <w:tcPr>
            <w:tcW w:w="1073" w:type="dxa"/>
            <w:noWrap w:val="0"/>
            <w:vAlign w:val="center"/>
          </w:tcPr>
          <w:p w14:paraId="019B0CEB">
            <w:pPr>
              <w:pStyle w:val="29"/>
              <w:ind w:firstLine="0" w:firstLineChars="0"/>
              <w:rPr>
                <w:rFonts w:hint="default" w:ascii="Times New Roman" w:hAnsi="Times New Roman" w:eastAsia="宋体" w:cs="Times New Roman"/>
                <w:color w:val="000000" w:themeColor="text1"/>
                <w:spacing w:val="-2"/>
                <w14:textFill>
                  <w14:solidFill>
                    <w14:schemeClr w14:val="tx1"/>
                  </w14:solidFill>
                </w14:textFill>
              </w:rPr>
            </w:pPr>
            <w:r>
              <w:rPr>
                <w:rStyle w:val="36"/>
                <w:color w:val="000000" w:themeColor="text1"/>
                <w:spacing w:val="0"/>
                <w:lang w:val="en-US" w:eastAsia="zh-CN" w:bidi="ar"/>
                <w14:textFill>
                  <w14:solidFill>
                    <w14:schemeClr w14:val="tx1"/>
                  </w14:solidFill>
                </w14:textFill>
              </w:rPr>
              <w:t>东辉路</w:t>
            </w:r>
          </w:p>
        </w:tc>
        <w:tc>
          <w:tcPr>
            <w:tcW w:w="2648" w:type="dxa"/>
            <w:noWrap w:val="0"/>
            <w:vAlign w:val="center"/>
          </w:tcPr>
          <w:p w14:paraId="3459B938">
            <w:pPr>
              <w:pStyle w:val="29"/>
              <w:ind w:firstLine="0" w:firstLineChars="0"/>
              <w:rPr>
                <w:rFonts w:hint="default"/>
                <w:color w:val="000000" w:themeColor="text1"/>
                <w:spacing w:val="-2"/>
                <w14:textFill>
                  <w14:solidFill>
                    <w14:schemeClr w14:val="tx1"/>
                  </w14:solidFill>
                </w14:textFill>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红星东街</w:t>
            </w:r>
            <w:r>
              <w:rPr>
                <w:rFonts w:hint="default"/>
                <w:color w:val="000000" w:themeColor="text1"/>
                <w:spacing w:val="0"/>
                <w:sz w:val="21"/>
                <w:szCs w:val="21"/>
                <w:highlight w:val="none"/>
                <w:lang w:val="zh-CN"/>
                <w14:textFill>
                  <w14:solidFill>
                    <w14:schemeClr w14:val="tx1"/>
                  </w14:solidFill>
                </w14:textFill>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江滨街</w:t>
            </w:r>
          </w:p>
        </w:tc>
        <w:tc>
          <w:tcPr>
            <w:tcW w:w="1305" w:type="dxa"/>
            <w:noWrap w:val="0"/>
            <w:vAlign w:val="center"/>
          </w:tcPr>
          <w:p w14:paraId="0071F3B5">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w:t>
            </w:r>
            <w:r>
              <w:rPr>
                <w:rFonts w:hint="eastAsia"/>
                <w:color w:val="000000" w:themeColor="text1"/>
                <w:spacing w:val="0"/>
                <w:sz w:val="21"/>
                <w:szCs w:val="21"/>
                <w:lang w:eastAsia="zh-CN"/>
                <w14:textFill>
                  <w14:solidFill>
                    <w14:schemeClr w14:val="tx1"/>
                  </w14:solidFill>
                </w14:textFill>
              </w:rPr>
              <w:t>次</w:t>
            </w:r>
            <w:r>
              <w:rPr>
                <w:rFonts w:hint="eastAsia"/>
                <w:color w:val="000000" w:themeColor="text1"/>
                <w:spacing w:val="0"/>
                <w:sz w:val="21"/>
                <w:szCs w:val="21"/>
                <w14:textFill>
                  <w14:solidFill>
                    <w14:schemeClr w14:val="tx1"/>
                  </w14:solidFill>
                </w14:textFill>
              </w:rPr>
              <w:t>干路</w:t>
            </w:r>
          </w:p>
        </w:tc>
        <w:tc>
          <w:tcPr>
            <w:tcW w:w="1326" w:type="dxa"/>
            <w:noWrap w:val="0"/>
            <w:vAlign w:val="center"/>
          </w:tcPr>
          <w:p w14:paraId="129FC195">
            <w:pPr>
              <w:spacing w:line="240" w:lineRule="auto"/>
              <w:ind w:firstLine="0" w:firstLineChars="0"/>
              <w:jc w:val="center"/>
              <w:rPr>
                <w:rFonts w:hint="default" w:ascii="Times New Roman" w:hAnsi="Times New Roman" w:eastAsia="宋体" w:cs="Times New Roman"/>
                <w:color w:val="000000" w:themeColor="text1"/>
                <w:spacing w:val="-2"/>
                <w:sz w:val="21"/>
                <w:szCs w:val="21"/>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1120</w:t>
            </w:r>
          </w:p>
        </w:tc>
        <w:tc>
          <w:tcPr>
            <w:tcW w:w="796" w:type="pct"/>
            <w:vMerge w:val="continue"/>
            <w:noWrap w:val="0"/>
            <w:vAlign w:val="center"/>
          </w:tcPr>
          <w:p w14:paraId="105C703F">
            <w:pPr>
              <w:spacing w:line="240" w:lineRule="auto"/>
              <w:ind w:firstLine="0" w:firstLineChars="0"/>
              <w:jc w:val="center"/>
              <w:rPr>
                <w:rFonts w:hint="eastAsia" w:ascii="Times New Roman" w:hAnsi="Times New Roman" w:eastAsia="宋体" w:cs="Times New Roman"/>
                <w:color w:val="000000" w:themeColor="text1"/>
                <w:spacing w:val="-2"/>
                <w:sz w:val="21"/>
                <w:szCs w:val="21"/>
                <w:lang w:val="en-US" w:eastAsia="zh-CN"/>
                <w14:textFill>
                  <w14:solidFill>
                    <w14:schemeClr w14:val="tx1"/>
                  </w14:solidFill>
                </w14:textFill>
              </w:rPr>
            </w:pPr>
          </w:p>
        </w:tc>
      </w:tr>
      <w:tr w14:paraId="3DAB8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388" w:type="pct"/>
            <w:noWrap w:val="0"/>
            <w:vAlign w:val="center"/>
          </w:tcPr>
          <w:p w14:paraId="0310D2BC">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2"/>
                <w:sz w:val="21"/>
                <w:szCs w:val="21"/>
                <w14:textFill>
                  <w14:solidFill>
                    <w14:schemeClr w14:val="tx1"/>
                  </w14:solidFill>
                </w14:textFill>
              </w:rPr>
              <w:t>12</w:t>
            </w:r>
          </w:p>
        </w:tc>
        <w:tc>
          <w:tcPr>
            <w:tcW w:w="1073" w:type="dxa"/>
            <w:noWrap w:val="0"/>
            <w:vAlign w:val="center"/>
          </w:tcPr>
          <w:p w14:paraId="6CE56B2D">
            <w:pPr>
              <w:pStyle w:val="29"/>
              <w:ind w:firstLine="0" w:firstLineChars="0"/>
              <w:rPr>
                <w:rFonts w:hint="default" w:ascii="Times New Roman" w:hAnsi="Times New Roman" w:eastAsia="宋体" w:cs="Times New Roman"/>
                <w:color w:val="000000" w:themeColor="text1"/>
                <w:spacing w:val="-2"/>
                <w14:textFill>
                  <w14:solidFill>
                    <w14:schemeClr w14:val="tx1"/>
                  </w14:solidFill>
                </w14:textFill>
              </w:rPr>
            </w:pPr>
            <w:r>
              <w:rPr>
                <w:rStyle w:val="36"/>
                <w:color w:val="000000" w:themeColor="text1"/>
                <w:spacing w:val="0"/>
                <w:lang w:val="en-US" w:eastAsia="zh-CN" w:bidi="ar"/>
                <w14:textFill>
                  <w14:solidFill>
                    <w14:schemeClr w14:val="tx1"/>
                  </w14:solidFill>
                </w14:textFill>
              </w:rPr>
              <w:t>通江路</w:t>
            </w:r>
          </w:p>
        </w:tc>
        <w:tc>
          <w:tcPr>
            <w:tcW w:w="2648" w:type="dxa"/>
            <w:noWrap w:val="0"/>
            <w:vAlign w:val="center"/>
          </w:tcPr>
          <w:p w14:paraId="1DCBB61B">
            <w:pPr>
              <w:pStyle w:val="29"/>
              <w:ind w:firstLine="0" w:firstLineChars="0"/>
              <w:rPr>
                <w:color w:val="000000" w:themeColor="text1"/>
                <w:spacing w:val="-2"/>
                <w14:textFill>
                  <w14:solidFill>
                    <w14:schemeClr w14:val="tx1"/>
                  </w14:solidFill>
                </w14:textFill>
              </w:rPr>
            </w:pPr>
            <w:r>
              <w:rPr>
                <w:rStyle w:val="36"/>
                <w:color w:val="000000" w:themeColor="text1"/>
                <w:spacing w:val="0"/>
                <w:sz w:val="21"/>
                <w:szCs w:val="21"/>
                <w:highlight w:val="none"/>
                <w:lang w:val="en-US" w:eastAsia="zh-CN" w:bidi="ar"/>
                <w14:textFill>
                  <w14:solidFill>
                    <w14:schemeClr w14:val="tx1"/>
                  </w14:solidFill>
                </w14:textFill>
              </w:rPr>
              <w:t>松滨大街</w:t>
            </w:r>
            <w:r>
              <w:rPr>
                <w:rFonts w:hint="default"/>
                <w:color w:val="000000" w:themeColor="text1"/>
                <w:spacing w:val="0"/>
                <w:sz w:val="21"/>
                <w:szCs w:val="21"/>
                <w:highlight w:val="none"/>
                <w:lang w:val="zh-CN"/>
                <w14:textFill>
                  <w14:solidFill>
                    <w14:schemeClr w14:val="tx1"/>
                  </w14:solidFill>
                </w14:textFill>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江堤路</w:t>
            </w:r>
          </w:p>
        </w:tc>
        <w:tc>
          <w:tcPr>
            <w:tcW w:w="1305" w:type="dxa"/>
            <w:noWrap w:val="0"/>
            <w:vAlign w:val="center"/>
          </w:tcPr>
          <w:p w14:paraId="0CDF987C">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w:t>
            </w:r>
            <w:r>
              <w:rPr>
                <w:rFonts w:hint="eastAsia"/>
                <w:color w:val="000000" w:themeColor="text1"/>
                <w:spacing w:val="0"/>
                <w:sz w:val="21"/>
                <w:szCs w:val="21"/>
                <w:lang w:eastAsia="zh-CN"/>
                <w14:textFill>
                  <w14:solidFill>
                    <w14:schemeClr w14:val="tx1"/>
                  </w14:solidFill>
                </w14:textFill>
              </w:rPr>
              <w:t>次</w:t>
            </w:r>
            <w:r>
              <w:rPr>
                <w:rFonts w:hint="eastAsia"/>
                <w:color w:val="000000" w:themeColor="text1"/>
                <w:spacing w:val="0"/>
                <w:sz w:val="21"/>
                <w:szCs w:val="21"/>
                <w14:textFill>
                  <w14:solidFill>
                    <w14:schemeClr w14:val="tx1"/>
                  </w14:solidFill>
                </w14:textFill>
              </w:rPr>
              <w:t>干路</w:t>
            </w:r>
          </w:p>
        </w:tc>
        <w:tc>
          <w:tcPr>
            <w:tcW w:w="1326" w:type="dxa"/>
            <w:noWrap w:val="0"/>
            <w:vAlign w:val="center"/>
          </w:tcPr>
          <w:p w14:paraId="6EA50C64">
            <w:pPr>
              <w:spacing w:line="240" w:lineRule="auto"/>
              <w:ind w:firstLine="0" w:firstLineChars="0"/>
              <w:jc w:val="center"/>
              <w:rPr>
                <w:rFonts w:hint="default" w:ascii="Times New Roman" w:hAnsi="Times New Roman" w:eastAsia="宋体" w:cs="Times New Roman"/>
                <w:color w:val="000000" w:themeColor="text1"/>
                <w:spacing w:val="-2"/>
                <w:sz w:val="21"/>
                <w:szCs w:val="21"/>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492</w:t>
            </w:r>
          </w:p>
        </w:tc>
        <w:tc>
          <w:tcPr>
            <w:tcW w:w="796" w:type="pct"/>
            <w:vMerge w:val="continue"/>
            <w:noWrap w:val="0"/>
            <w:vAlign w:val="center"/>
          </w:tcPr>
          <w:p w14:paraId="7ABC333D">
            <w:pPr>
              <w:spacing w:line="240" w:lineRule="auto"/>
              <w:ind w:firstLine="0" w:firstLineChars="0"/>
              <w:jc w:val="center"/>
              <w:rPr>
                <w:rFonts w:hint="eastAsia" w:ascii="Times New Roman" w:hAnsi="Times New Roman" w:eastAsia="宋体" w:cs="Times New Roman"/>
                <w:color w:val="000000" w:themeColor="text1"/>
                <w:spacing w:val="-2"/>
                <w:sz w:val="21"/>
                <w:szCs w:val="21"/>
                <w:lang w:val="en-US" w:eastAsia="zh-CN"/>
                <w14:textFill>
                  <w14:solidFill>
                    <w14:schemeClr w14:val="tx1"/>
                  </w14:solidFill>
                </w14:textFill>
              </w:rPr>
            </w:pPr>
          </w:p>
        </w:tc>
      </w:tr>
      <w:tr w14:paraId="3AF73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388" w:type="pct"/>
            <w:noWrap w:val="0"/>
            <w:vAlign w:val="center"/>
          </w:tcPr>
          <w:p w14:paraId="7E3D0244">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2"/>
                <w:sz w:val="21"/>
                <w:szCs w:val="21"/>
                <w14:textFill>
                  <w14:solidFill>
                    <w14:schemeClr w14:val="tx1"/>
                  </w14:solidFill>
                </w14:textFill>
              </w:rPr>
              <w:t>13</w:t>
            </w:r>
          </w:p>
        </w:tc>
        <w:tc>
          <w:tcPr>
            <w:tcW w:w="1073" w:type="dxa"/>
            <w:noWrap w:val="0"/>
            <w:vAlign w:val="center"/>
          </w:tcPr>
          <w:p w14:paraId="24CD7B72">
            <w:pPr>
              <w:pStyle w:val="29"/>
              <w:ind w:firstLine="0" w:firstLineChars="0"/>
              <w:rPr>
                <w:rFonts w:hint="default" w:ascii="Times New Roman" w:hAnsi="Times New Roman" w:eastAsia="宋体" w:cs="Times New Roman"/>
                <w:color w:val="000000" w:themeColor="text1"/>
                <w:spacing w:val="-2"/>
                <w14:textFill>
                  <w14:solidFill>
                    <w14:schemeClr w14:val="tx1"/>
                  </w14:solidFill>
                </w14:textFill>
              </w:rPr>
            </w:pPr>
            <w:r>
              <w:rPr>
                <w:rStyle w:val="36"/>
                <w:color w:val="000000" w:themeColor="text1"/>
                <w:spacing w:val="0"/>
                <w:lang w:val="en-US" w:eastAsia="zh-CN" w:bidi="ar"/>
                <w14:textFill>
                  <w14:solidFill>
                    <w14:schemeClr w14:val="tx1"/>
                  </w14:solidFill>
                </w14:textFill>
              </w:rPr>
              <w:t>向阳路</w:t>
            </w:r>
          </w:p>
        </w:tc>
        <w:tc>
          <w:tcPr>
            <w:tcW w:w="2648" w:type="dxa"/>
            <w:noWrap w:val="0"/>
            <w:vAlign w:val="center"/>
          </w:tcPr>
          <w:p w14:paraId="49F1FEA8">
            <w:pPr>
              <w:pStyle w:val="29"/>
              <w:ind w:firstLine="0" w:firstLineChars="0"/>
              <w:rPr>
                <w:rFonts w:hint="default"/>
                <w:color w:val="000000" w:themeColor="text1"/>
                <w:spacing w:val="-2"/>
                <w14:textFill>
                  <w14:solidFill>
                    <w14:schemeClr w14:val="tx1"/>
                  </w14:solidFill>
                </w14:textFill>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红星大街</w:t>
            </w:r>
            <w:r>
              <w:rPr>
                <w:rFonts w:hint="default"/>
                <w:color w:val="000000" w:themeColor="text1"/>
                <w:spacing w:val="0"/>
                <w:sz w:val="21"/>
                <w:szCs w:val="21"/>
                <w:highlight w:val="none"/>
                <w:lang w:val="zh-CN"/>
                <w14:textFill>
                  <w14:solidFill>
                    <w14:schemeClr w14:val="tx1"/>
                  </w14:solidFill>
                </w14:textFill>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江堤路</w:t>
            </w:r>
          </w:p>
        </w:tc>
        <w:tc>
          <w:tcPr>
            <w:tcW w:w="1305" w:type="dxa"/>
            <w:noWrap w:val="0"/>
            <w:vAlign w:val="center"/>
          </w:tcPr>
          <w:p w14:paraId="6DAA958C">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w:t>
            </w:r>
            <w:r>
              <w:rPr>
                <w:rFonts w:hint="eastAsia"/>
                <w:color w:val="000000" w:themeColor="text1"/>
                <w:spacing w:val="0"/>
                <w:sz w:val="21"/>
                <w:szCs w:val="21"/>
                <w:lang w:eastAsia="zh-CN"/>
                <w14:textFill>
                  <w14:solidFill>
                    <w14:schemeClr w14:val="tx1"/>
                  </w14:solidFill>
                </w14:textFill>
              </w:rPr>
              <w:t>次</w:t>
            </w:r>
            <w:r>
              <w:rPr>
                <w:rFonts w:hint="eastAsia"/>
                <w:color w:val="000000" w:themeColor="text1"/>
                <w:spacing w:val="0"/>
                <w:sz w:val="21"/>
                <w:szCs w:val="21"/>
                <w14:textFill>
                  <w14:solidFill>
                    <w14:schemeClr w14:val="tx1"/>
                  </w14:solidFill>
                </w14:textFill>
              </w:rPr>
              <w:t>干路</w:t>
            </w:r>
          </w:p>
        </w:tc>
        <w:tc>
          <w:tcPr>
            <w:tcW w:w="1326" w:type="dxa"/>
            <w:noWrap w:val="0"/>
            <w:vAlign w:val="center"/>
          </w:tcPr>
          <w:p w14:paraId="1D0B746D">
            <w:pPr>
              <w:spacing w:line="240" w:lineRule="auto"/>
              <w:ind w:firstLine="0" w:firstLineChars="0"/>
              <w:jc w:val="center"/>
              <w:rPr>
                <w:rFonts w:hint="default" w:ascii="Times New Roman" w:hAnsi="Times New Roman" w:eastAsia="宋体" w:cs="Times New Roman"/>
                <w:color w:val="000000" w:themeColor="text1"/>
                <w:spacing w:val="-2"/>
                <w:sz w:val="21"/>
                <w:szCs w:val="21"/>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1554</w:t>
            </w:r>
          </w:p>
        </w:tc>
        <w:tc>
          <w:tcPr>
            <w:tcW w:w="796" w:type="pct"/>
            <w:vMerge w:val="continue"/>
            <w:noWrap w:val="0"/>
            <w:vAlign w:val="center"/>
          </w:tcPr>
          <w:p w14:paraId="0DD38DC7">
            <w:pPr>
              <w:spacing w:line="240" w:lineRule="auto"/>
              <w:ind w:firstLine="0" w:firstLineChars="0"/>
              <w:jc w:val="center"/>
              <w:rPr>
                <w:rFonts w:hint="eastAsia" w:ascii="Times New Roman" w:hAnsi="Times New Roman" w:eastAsia="宋体" w:cs="Times New Roman"/>
                <w:color w:val="000000" w:themeColor="text1"/>
                <w:spacing w:val="-2"/>
                <w:sz w:val="21"/>
                <w:szCs w:val="21"/>
                <w:lang w:val="en-US" w:eastAsia="zh-CN"/>
                <w14:textFill>
                  <w14:solidFill>
                    <w14:schemeClr w14:val="tx1"/>
                  </w14:solidFill>
                </w14:textFill>
              </w:rPr>
            </w:pPr>
          </w:p>
        </w:tc>
      </w:tr>
      <w:tr w14:paraId="047A7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388" w:type="pct"/>
            <w:noWrap w:val="0"/>
            <w:vAlign w:val="center"/>
          </w:tcPr>
          <w:p w14:paraId="77A0DF73">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2"/>
                <w:sz w:val="21"/>
                <w:szCs w:val="21"/>
                <w14:textFill>
                  <w14:solidFill>
                    <w14:schemeClr w14:val="tx1"/>
                  </w14:solidFill>
                </w14:textFill>
              </w:rPr>
              <w:t>14</w:t>
            </w:r>
          </w:p>
        </w:tc>
        <w:tc>
          <w:tcPr>
            <w:tcW w:w="1073" w:type="dxa"/>
            <w:noWrap w:val="0"/>
            <w:vAlign w:val="center"/>
          </w:tcPr>
          <w:p w14:paraId="53BB530A">
            <w:pPr>
              <w:pStyle w:val="29"/>
              <w:ind w:firstLine="0" w:firstLineChars="0"/>
              <w:rPr>
                <w:rFonts w:hint="default" w:ascii="Times New Roman" w:hAnsi="Times New Roman" w:eastAsia="宋体" w:cs="Times New Roman"/>
                <w:color w:val="000000" w:themeColor="text1"/>
                <w:spacing w:val="-2"/>
                <w14:textFill>
                  <w14:solidFill>
                    <w14:schemeClr w14:val="tx1"/>
                  </w14:solidFill>
                </w14:textFill>
              </w:rPr>
            </w:pPr>
            <w:r>
              <w:rPr>
                <w:rStyle w:val="36"/>
                <w:color w:val="000000" w:themeColor="text1"/>
                <w:spacing w:val="0"/>
                <w:lang w:val="en-US" w:eastAsia="zh-CN" w:bidi="ar"/>
                <w14:textFill>
                  <w14:solidFill>
                    <w14:schemeClr w14:val="tx1"/>
                  </w14:solidFill>
                </w14:textFill>
              </w:rPr>
              <w:t>奋斗路</w:t>
            </w:r>
          </w:p>
        </w:tc>
        <w:tc>
          <w:tcPr>
            <w:tcW w:w="2648" w:type="dxa"/>
            <w:noWrap w:val="0"/>
            <w:vAlign w:val="center"/>
          </w:tcPr>
          <w:p w14:paraId="11AA0EF0">
            <w:pPr>
              <w:pStyle w:val="29"/>
              <w:ind w:firstLine="0" w:firstLineChars="0"/>
              <w:rPr>
                <w:rFonts w:hint="default"/>
                <w:color w:val="000000" w:themeColor="text1"/>
                <w:spacing w:val="-2"/>
                <w14:textFill>
                  <w14:solidFill>
                    <w14:schemeClr w14:val="tx1"/>
                  </w14:solidFill>
                </w14:textFill>
              </w:rPr>
            </w:pP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红星大街</w:t>
            </w:r>
            <w:r>
              <w:rPr>
                <w:rFonts w:hint="default"/>
                <w:color w:val="000000" w:themeColor="text1"/>
                <w:spacing w:val="0"/>
                <w:sz w:val="21"/>
                <w:szCs w:val="21"/>
                <w:highlight w:val="none"/>
                <w:lang w:val="zh-CN"/>
                <w14:textFill>
                  <w14:solidFill>
                    <w14:schemeClr w14:val="tx1"/>
                  </w14:solidFill>
                </w14:textFill>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田丰街</w:t>
            </w:r>
          </w:p>
        </w:tc>
        <w:tc>
          <w:tcPr>
            <w:tcW w:w="1305" w:type="dxa"/>
            <w:noWrap w:val="0"/>
            <w:vAlign w:val="center"/>
          </w:tcPr>
          <w:p w14:paraId="491802A2">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0"/>
                <w:sz w:val="21"/>
                <w:szCs w:val="21"/>
                <w14:textFill>
                  <w14:solidFill>
                    <w14:schemeClr w14:val="tx1"/>
                  </w14:solidFill>
                </w14:textFill>
              </w:rPr>
              <w:t>城市</w:t>
            </w:r>
            <w:r>
              <w:rPr>
                <w:rFonts w:hint="eastAsia"/>
                <w:color w:val="000000" w:themeColor="text1"/>
                <w:spacing w:val="0"/>
                <w:sz w:val="21"/>
                <w:szCs w:val="21"/>
                <w:lang w:eastAsia="zh-CN"/>
                <w14:textFill>
                  <w14:solidFill>
                    <w14:schemeClr w14:val="tx1"/>
                  </w14:solidFill>
                </w14:textFill>
              </w:rPr>
              <w:t>次</w:t>
            </w:r>
            <w:r>
              <w:rPr>
                <w:rFonts w:hint="eastAsia"/>
                <w:color w:val="000000" w:themeColor="text1"/>
                <w:spacing w:val="0"/>
                <w:sz w:val="21"/>
                <w:szCs w:val="21"/>
                <w14:textFill>
                  <w14:solidFill>
                    <w14:schemeClr w14:val="tx1"/>
                  </w14:solidFill>
                </w14:textFill>
              </w:rPr>
              <w:t>干路</w:t>
            </w:r>
          </w:p>
        </w:tc>
        <w:tc>
          <w:tcPr>
            <w:tcW w:w="1326" w:type="dxa"/>
            <w:noWrap w:val="0"/>
            <w:vAlign w:val="center"/>
          </w:tcPr>
          <w:p w14:paraId="6CA4568C">
            <w:pPr>
              <w:spacing w:line="240" w:lineRule="auto"/>
              <w:ind w:firstLine="0" w:firstLineChars="0"/>
              <w:jc w:val="center"/>
              <w:rPr>
                <w:rFonts w:hint="default" w:ascii="Times New Roman" w:hAnsi="Times New Roman" w:eastAsia="宋体" w:cs="Times New Roman"/>
                <w:color w:val="000000" w:themeColor="text1"/>
                <w:spacing w:val="-2"/>
                <w:sz w:val="21"/>
                <w:szCs w:val="21"/>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1254</w:t>
            </w:r>
          </w:p>
        </w:tc>
        <w:tc>
          <w:tcPr>
            <w:tcW w:w="796" w:type="pct"/>
            <w:vMerge w:val="continue"/>
            <w:noWrap w:val="0"/>
            <w:vAlign w:val="center"/>
          </w:tcPr>
          <w:p w14:paraId="2ACDDF74">
            <w:pPr>
              <w:spacing w:line="240" w:lineRule="auto"/>
              <w:ind w:firstLine="0" w:firstLineChars="0"/>
              <w:jc w:val="center"/>
              <w:rPr>
                <w:rFonts w:hint="eastAsia" w:ascii="Times New Roman" w:hAnsi="Times New Roman" w:eastAsia="宋体" w:cs="Times New Roman"/>
                <w:color w:val="000000" w:themeColor="text1"/>
                <w:spacing w:val="-2"/>
                <w:sz w:val="21"/>
                <w:szCs w:val="21"/>
                <w:lang w:val="en-US" w:eastAsia="zh-CN"/>
                <w14:textFill>
                  <w14:solidFill>
                    <w14:schemeClr w14:val="tx1"/>
                  </w14:solidFill>
                </w14:textFill>
              </w:rPr>
            </w:pPr>
          </w:p>
        </w:tc>
      </w:tr>
      <w:tr w14:paraId="59959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388" w:type="pct"/>
            <w:noWrap w:val="0"/>
            <w:vAlign w:val="center"/>
          </w:tcPr>
          <w:p w14:paraId="45237F36">
            <w:pPr>
              <w:spacing w:line="240" w:lineRule="auto"/>
              <w:ind w:firstLine="0" w:firstLineChars="0"/>
              <w:jc w:val="center"/>
              <w:rPr>
                <w:color w:val="000000" w:themeColor="text1"/>
                <w:spacing w:val="-2"/>
                <w:sz w:val="21"/>
                <w:szCs w:val="21"/>
                <w14:textFill>
                  <w14:solidFill>
                    <w14:schemeClr w14:val="tx1"/>
                  </w14:solidFill>
                </w14:textFill>
              </w:rPr>
            </w:pPr>
            <w:r>
              <w:rPr>
                <w:rFonts w:hint="eastAsia"/>
                <w:color w:val="000000" w:themeColor="text1"/>
                <w:spacing w:val="-2"/>
                <w:sz w:val="21"/>
                <w:szCs w:val="21"/>
                <w14:textFill>
                  <w14:solidFill>
                    <w14:schemeClr w14:val="tx1"/>
                  </w14:solidFill>
                </w14:textFill>
              </w:rPr>
              <w:t>15</w:t>
            </w:r>
          </w:p>
        </w:tc>
        <w:tc>
          <w:tcPr>
            <w:tcW w:w="1073" w:type="dxa"/>
            <w:noWrap w:val="0"/>
            <w:vAlign w:val="center"/>
          </w:tcPr>
          <w:p w14:paraId="68BF34BD">
            <w:pPr>
              <w:pStyle w:val="29"/>
              <w:ind w:firstLine="0" w:firstLineChars="0"/>
              <w:rPr>
                <w:rFonts w:hint="default" w:ascii="Times New Roman" w:hAnsi="Times New Roman" w:eastAsia="宋体" w:cs="Times New Roman"/>
                <w:color w:val="000000" w:themeColor="text1"/>
                <w:spacing w:val="-2"/>
                <w14:textFill>
                  <w14:solidFill>
                    <w14:schemeClr w14:val="tx1"/>
                  </w14:solidFill>
                </w14:textFill>
              </w:rPr>
            </w:pPr>
            <w:r>
              <w:rPr>
                <w:rStyle w:val="36"/>
                <w:color w:val="000000" w:themeColor="text1"/>
                <w:spacing w:val="0"/>
                <w:lang w:val="en-US" w:eastAsia="zh-CN" w:bidi="ar"/>
                <w14:textFill>
                  <w14:solidFill>
                    <w14:schemeClr w14:val="tx1"/>
                  </w14:solidFill>
                </w14:textFill>
              </w:rPr>
              <w:t>近河路</w:t>
            </w:r>
          </w:p>
        </w:tc>
        <w:tc>
          <w:tcPr>
            <w:tcW w:w="2648" w:type="dxa"/>
            <w:noWrap w:val="0"/>
            <w:vAlign w:val="center"/>
          </w:tcPr>
          <w:p w14:paraId="178ED371">
            <w:pPr>
              <w:pStyle w:val="29"/>
              <w:ind w:firstLine="0" w:firstLineChars="0"/>
              <w:rPr>
                <w:rFonts w:hint="default" w:ascii="Times New Roman" w:hAnsi="Times New Roman" w:eastAsia="宋体" w:cs="Times New Roman"/>
                <w:color w:val="000000" w:themeColor="text1"/>
                <w:spacing w:val="-2"/>
                <w14:textFill>
                  <w14:solidFill>
                    <w14:schemeClr w14:val="tx1"/>
                  </w14:solidFill>
                </w14:textFill>
              </w:rPr>
            </w:pPr>
            <w:r>
              <w:rPr>
                <w:rStyle w:val="36"/>
                <w:color w:val="000000" w:themeColor="text1"/>
                <w:spacing w:val="0"/>
                <w:sz w:val="21"/>
                <w:szCs w:val="21"/>
                <w:highlight w:val="none"/>
                <w:lang w:val="en-US" w:eastAsia="zh-CN" w:bidi="ar"/>
                <w14:textFill>
                  <w14:solidFill>
                    <w14:schemeClr w14:val="tx1"/>
                  </w14:solidFill>
                </w14:textFill>
              </w:rPr>
              <w:t>松滨大街</w:t>
            </w:r>
            <w:r>
              <w:rPr>
                <w:rFonts w:hint="eastAsia"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w:t>
            </w:r>
            <w:r>
              <w:rPr>
                <w:rFonts w:hint="eastAsia" w:ascii="宋体" w:hAnsi="宋体" w:eastAsia="宋体" w:cs="宋体"/>
                <w:bCs/>
                <w:i w:val="0"/>
                <w:iCs w:val="0"/>
                <w:color w:val="000000" w:themeColor="text1"/>
                <w:kern w:val="0"/>
                <w:sz w:val="21"/>
                <w:szCs w:val="21"/>
                <w:highlight w:val="none"/>
                <w:u w:val="none"/>
                <w:lang w:val="en-US" w:eastAsia="zh-CN" w:bidi="ar"/>
                <w14:textFill>
                  <w14:solidFill>
                    <w14:schemeClr w14:val="tx1"/>
                  </w14:solidFill>
                </w14:textFill>
              </w:rPr>
              <w:t>江堤路</w:t>
            </w:r>
          </w:p>
        </w:tc>
        <w:tc>
          <w:tcPr>
            <w:tcW w:w="1305" w:type="dxa"/>
            <w:noWrap w:val="0"/>
            <w:vAlign w:val="center"/>
          </w:tcPr>
          <w:p w14:paraId="26BE15DE">
            <w:pPr>
              <w:spacing w:line="240" w:lineRule="auto"/>
              <w:ind w:firstLine="0" w:firstLineChars="0"/>
              <w:jc w:val="center"/>
              <w:rPr>
                <w:rFonts w:hint="default" w:ascii="Times New Roman" w:hAnsi="Times New Roman" w:eastAsia="宋体" w:cs="Times New Roman"/>
                <w:color w:val="000000" w:themeColor="text1"/>
                <w:spacing w:val="-2"/>
                <w14:textFill>
                  <w14:solidFill>
                    <w14:schemeClr w14:val="tx1"/>
                  </w14:solidFill>
                </w14:textFill>
              </w:rPr>
            </w:pPr>
            <w:r>
              <w:rPr>
                <w:rFonts w:hint="eastAsia"/>
                <w:color w:val="000000" w:themeColor="text1"/>
                <w:spacing w:val="0"/>
                <w:sz w:val="21"/>
                <w:szCs w:val="21"/>
                <w14:textFill>
                  <w14:solidFill>
                    <w14:schemeClr w14:val="tx1"/>
                  </w14:solidFill>
                </w14:textFill>
              </w:rPr>
              <w:t>城市</w:t>
            </w:r>
            <w:r>
              <w:rPr>
                <w:rFonts w:hint="eastAsia"/>
                <w:color w:val="000000" w:themeColor="text1"/>
                <w:spacing w:val="0"/>
                <w:sz w:val="21"/>
                <w:szCs w:val="21"/>
                <w:lang w:eastAsia="zh-CN"/>
                <w14:textFill>
                  <w14:solidFill>
                    <w14:schemeClr w14:val="tx1"/>
                  </w14:solidFill>
                </w14:textFill>
              </w:rPr>
              <w:t>次</w:t>
            </w:r>
            <w:r>
              <w:rPr>
                <w:rFonts w:hint="eastAsia"/>
                <w:color w:val="000000" w:themeColor="text1"/>
                <w:spacing w:val="0"/>
                <w:sz w:val="21"/>
                <w:szCs w:val="21"/>
                <w14:textFill>
                  <w14:solidFill>
                    <w14:schemeClr w14:val="tx1"/>
                  </w14:solidFill>
                </w14:textFill>
              </w:rPr>
              <w:t>干路</w:t>
            </w:r>
          </w:p>
        </w:tc>
        <w:tc>
          <w:tcPr>
            <w:tcW w:w="1326" w:type="dxa"/>
            <w:noWrap w:val="0"/>
            <w:vAlign w:val="center"/>
          </w:tcPr>
          <w:p w14:paraId="0151F17D">
            <w:pPr>
              <w:spacing w:line="240" w:lineRule="auto"/>
              <w:ind w:firstLine="0" w:firstLineChars="0"/>
              <w:jc w:val="center"/>
              <w:rPr>
                <w:rFonts w:hint="default" w:ascii="Times New Roman" w:hAnsi="Times New Roman" w:eastAsia="宋体" w:cs="Times New Roman"/>
                <w:color w:val="000000" w:themeColor="text1"/>
                <w:spacing w:val="-2"/>
                <w:sz w:val="21"/>
                <w:szCs w:val="21"/>
                <w14:textFill>
                  <w14:solidFill>
                    <w14:schemeClr w14:val="tx1"/>
                  </w14:solidFill>
                </w14:textFill>
              </w:rPr>
            </w:pPr>
            <w:r>
              <w:rPr>
                <w:rFonts w:hint="eastAsia" w:cs="Times New Roman"/>
                <w:color w:val="000000" w:themeColor="text1"/>
                <w:spacing w:val="0"/>
                <w:sz w:val="21"/>
                <w:szCs w:val="21"/>
                <w:lang w:val="en-US" w:eastAsia="zh-CN"/>
                <w14:textFill>
                  <w14:solidFill>
                    <w14:schemeClr w14:val="tx1"/>
                  </w14:solidFill>
                </w14:textFill>
              </w:rPr>
              <w:t>488</w:t>
            </w:r>
          </w:p>
        </w:tc>
        <w:tc>
          <w:tcPr>
            <w:tcW w:w="796" w:type="pct"/>
            <w:vMerge w:val="continue"/>
            <w:noWrap w:val="0"/>
            <w:vAlign w:val="center"/>
          </w:tcPr>
          <w:p w14:paraId="2C678896">
            <w:pPr>
              <w:spacing w:line="240" w:lineRule="auto"/>
              <w:ind w:firstLine="0" w:firstLineChars="0"/>
              <w:jc w:val="center"/>
              <w:rPr>
                <w:rFonts w:hint="eastAsia" w:ascii="Times New Roman" w:hAnsi="Times New Roman" w:eastAsia="宋体" w:cs="Times New Roman"/>
                <w:color w:val="000000" w:themeColor="text1"/>
                <w:spacing w:val="-2"/>
                <w:sz w:val="21"/>
                <w:szCs w:val="21"/>
                <w:lang w:val="en-US" w:eastAsia="zh-CN"/>
                <w14:textFill>
                  <w14:solidFill>
                    <w14:schemeClr w14:val="tx1"/>
                  </w14:solidFill>
                </w14:textFill>
              </w:rPr>
            </w:pPr>
          </w:p>
        </w:tc>
      </w:tr>
    </w:tbl>
    <w:p w14:paraId="794E385A">
      <w:pPr>
        <w:pStyle w:val="31"/>
        <w:rPr>
          <w:rFonts w:hint="eastAsia" w:eastAsia="黑体"/>
          <w:color w:val="000000" w:themeColor="text1"/>
          <w:lang w:eastAsia="zh-CN"/>
          <w14:textFill>
            <w14:solidFill>
              <w14:schemeClr w14:val="tx1"/>
            </w14:solidFill>
          </w14:textFill>
        </w:rPr>
        <w:sectPr>
          <w:pgSz w:w="11906" w:h="16838"/>
          <w:pgMar w:top="1440" w:right="1803" w:bottom="1440" w:left="1803" w:header="794" w:footer="992" w:gutter="0"/>
          <w:pgBorders>
            <w:top w:val="none" w:sz="0" w:space="0"/>
            <w:left w:val="none" w:sz="0" w:space="0"/>
            <w:bottom w:val="none" w:sz="0" w:space="0"/>
            <w:right w:val="none" w:sz="0" w:space="0"/>
          </w:pgBorders>
          <w:pgNumType w:fmt="numberInDash"/>
          <w:cols w:space="720" w:num="1"/>
          <w:rtlGutter w:val="0"/>
          <w:docGrid w:type="linesAndChars" w:linePitch="347" w:charSpace="-874"/>
        </w:sectPr>
      </w:pPr>
    </w:p>
    <w:p w14:paraId="58DA20D3">
      <w:pPr>
        <w:pStyle w:val="31"/>
        <w:rPr>
          <w:rFonts w:hint="eastAsia" w:eastAsia="黑体"/>
          <w:color w:val="000000" w:themeColor="text1"/>
          <w:lang w:eastAsia="zh-CN"/>
          <w14:textFill>
            <w14:solidFill>
              <w14:schemeClr w14:val="tx1"/>
            </w14:solidFill>
          </w14:textFill>
        </w:rPr>
      </w:pPr>
      <w:r>
        <w:rPr>
          <w:rFonts w:hint="eastAsia" w:eastAsia="黑体"/>
          <w:color w:val="000000" w:themeColor="text1"/>
          <w:lang w:eastAsia="zh-CN"/>
          <w14:textFill>
            <w14:solidFill>
              <w14:schemeClr w14:val="tx1"/>
            </w14:solidFill>
          </w14:textFill>
        </w:rPr>
        <w:drawing>
          <wp:inline distT="0" distB="0" distL="114300" distR="114300">
            <wp:extent cx="8646160" cy="4500245"/>
            <wp:effectExtent l="0" t="0" r="10160" b="10795"/>
            <wp:docPr id="3" name="图片 3" descr="9c746477a1814639b620f8ebfc5bed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c746477a1814639b620f8ebfc5bed28"/>
                    <pic:cNvPicPr>
                      <a:picLocks noChangeAspect="1"/>
                    </pic:cNvPicPr>
                  </pic:nvPicPr>
                  <pic:blipFill>
                    <a:blip r:embed="rId28"/>
                    <a:srcRect l="7329" t="15657" r="8942" b="12328"/>
                    <a:stretch>
                      <a:fillRect/>
                    </a:stretch>
                  </pic:blipFill>
                  <pic:spPr>
                    <a:xfrm>
                      <a:off x="0" y="0"/>
                      <a:ext cx="8646160" cy="4500245"/>
                    </a:xfrm>
                    <a:prstGeom prst="rect">
                      <a:avLst/>
                    </a:prstGeom>
                  </pic:spPr>
                </pic:pic>
              </a:graphicData>
            </a:graphic>
          </wp:inline>
        </w:drawing>
      </w:r>
    </w:p>
    <w:p w14:paraId="7A263BAA">
      <w:pPr>
        <w:pStyle w:val="31"/>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图4-</w:t>
      </w:r>
      <w:r>
        <w:rPr>
          <w:rFonts w:hint="eastAsia"/>
          <w:color w:val="000000" w:themeColor="text1"/>
          <w:highlight w:val="none"/>
          <w:lang w:val="en-US" w:eastAsia="zh-CN"/>
          <w14:textFill>
            <w14:solidFill>
              <w14:schemeClr w14:val="tx1"/>
            </w14:solidFill>
          </w14:textFill>
        </w:rPr>
        <w:t xml:space="preserve">3  </w:t>
      </w:r>
      <w:r>
        <w:rPr>
          <w:rFonts w:hint="eastAsia"/>
          <w:color w:val="000000" w:themeColor="text1"/>
          <w:highlight w:val="none"/>
          <w14:textFill>
            <w14:solidFill>
              <w14:schemeClr w14:val="tx1"/>
            </w14:solidFill>
          </w14:textFill>
        </w:rPr>
        <w:t>交通干线4类区划图</w:t>
      </w:r>
    </w:p>
    <w:p w14:paraId="4D2611DE">
      <w:pPr>
        <w:pStyle w:val="31"/>
        <w:rPr>
          <w:rFonts w:hint="eastAsia"/>
          <w:color w:val="000000" w:themeColor="text1"/>
          <w14:textFill>
            <w14:solidFill>
              <w14:schemeClr w14:val="tx1"/>
            </w14:solidFill>
          </w14:textFill>
        </w:rPr>
        <w:sectPr>
          <w:pgSz w:w="16838" w:h="11906" w:orient="landscape"/>
          <w:pgMar w:top="1803" w:right="1440" w:bottom="1803" w:left="1440" w:header="794" w:footer="992" w:gutter="0"/>
          <w:pgBorders>
            <w:top w:val="none" w:sz="0" w:space="0"/>
            <w:left w:val="none" w:sz="0" w:space="0"/>
            <w:bottom w:val="none" w:sz="0" w:space="0"/>
            <w:right w:val="none" w:sz="0" w:space="0"/>
          </w:pgBorders>
          <w:pgNumType w:fmt="numberInDash"/>
          <w:cols w:space="0" w:num="1"/>
          <w:rtlGutter w:val="0"/>
          <w:docGrid w:type="linesAndChars" w:linePitch="360" w:charSpace="-874"/>
        </w:sectPr>
      </w:pPr>
    </w:p>
    <w:p w14:paraId="3B99C1FD">
      <w:pPr>
        <w:pStyle w:val="4"/>
        <w:rPr>
          <w:rFonts w:hint="eastAsia"/>
          <w:color w:val="000000" w:themeColor="text1"/>
          <w14:textFill>
            <w14:solidFill>
              <w14:schemeClr w14:val="tx1"/>
            </w14:solidFill>
          </w14:textFill>
        </w:rPr>
      </w:pPr>
      <w:bookmarkStart w:id="134" w:name="_Toc25207"/>
      <w:r>
        <w:rPr>
          <w:rFonts w:hint="eastAsia"/>
          <w:color w:val="000000" w:themeColor="text1"/>
          <w14:textFill>
            <w14:solidFill>
              <w14:schemeClr w14:val="tx1"/>
            </w14:solidFill>
          </w14:textFill>
        </w:rPr>
        <w:t>4.3.3</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声环境功能区划分结果</w:t>
      </w:r>
      <w:bookmarkEnd w:id="134"/>
    </w:p>
    <w:p w14:paraId="30EF733C">
      <w:pPr>
        <w:ind w:firstLine="471"/>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以</w:t>
      </w:r>
      <w:r>
        <w:rPr>
          <w:rFonts w:hint="eastAsia"/>
          <w:color w:val="000000" w:themeColor="text1"/>
          <w14:textFill>
            <w14:solidFill>
              <w14:schemeClr w14:val="tx1"/>
            </w14:solidFill>
          </w14:textFill>
        </w:rPr>
        <w:t>绥滨县国土空间规划</w:t>
      </w:r>
      <w:r>
        <w:rPr>
          <w:rFonts w:hint="eastAsia"/>
          <w:color w:val="000000" w:themeColor="text1"/>
          <w:lang w:eastAsia="zh-CN"/>
          <w14:textFill>
            <w14:solidFill>
              <w14:schemeClr w14:val="tx1"/>
            </w14:solidFill>
          </w14:textFill>
        </w:rPr>
        <w:t>为基础</w:t>
      </w:r>
      <w:r>
        <w:rPr>
          <w:rFonts w:hint="eastAsia"/>
          <w:color w:val="000000" w:themeColor="text1"/>
          <w14:textFill>
            <w14:solidFill>
              <w14:schemeClr w14:val="tx1"/>
            </w14:solidFill>
          </w14:textFill>
        </w:rPr>
        <w:t>，结合绥滨县声环境现状、交通道路网及行政区划等资料，并综合考虑绥滨县未来社会经济发展，</w:t>
      </w:r>
      <w:r>
        <w:rPr>
          <w:rFonts w:hint="eastAsia"/>
          <w:color w:val="000000" w:themeColor="text1"/>
          <w:lang w:eastAsia="zh-CN"/>
          <w14:textFill>
            <w14:solidFill>
              <w14:schemeClr w14:val="tx1"/>
            </w14:solidFill>
          </w14:textFill>
        </w:rPr>
        <w:t>按照</w:t>
      </w:r>
      <w:r>
        <w:rPr>
          <w:rFonts w:hint="eastAsia"/>
          <w:color w:val="000000" w:themeColor="text1"/>
          <w14:textFill>
            <w14:solidFill>
              <w14:schemeClr w14:val="tx1"/>
            </w14:solidFill>
          </w14:textFill>
        </w:rPr>
        <w:t>《声环境功能区划分技术规范》（GB/T15190-2014）</w:t>
      </w:r>
      <w:r>
        <w:rPr>
          <w:rFonts w:hint="eastAsia"/>
          <w:color w:val="000000" w:themeColor="text1"/>
          <w:lang w:eastAsia="zh-CN"/>
          <w14:textFill>
            <w14:solidFill>
              <w14:schemeClr w14:val="tx1"/>
            </w14:solidFill>
          </w14:textFill>
        </w:rPr>
        <w:t>要求</w:t>
      </w:r>
      <w:r>
        <w:rPr>
          <w:rFonts w:hint="eastAsia"/>
          <w:color w:val="000000" w:themeColor="text1"/>
          <w14:textFill>
            <w14:solidFill>
              <w14:schemeClr w14:val="tx1"/>
            </w14:solidFill>
          </w14:textFill>
        </w:rPr>
        <w:t>，最终</w:t>
      </w:r>
      <w:r>
        <w:rPr>
          <w:rFonts w:hint="eastAsia"/>
          <w:color w:val="000000" w:themeColor="text1"/>
          <w:lang w:eastAsia="zh-CN"/>
          <w14:textFill>
            <w14:solidFill>
              <w14:schemeClr w14:val="tx1"/>
            </w14:solidFill>
          </w14:textFill>
        </w:rPr>
        <w:t>确定绥滨县</w:t>
      </w:r>
      <w:r>
        <w:rPr>
          <w:rFonts w:hint="eastAsia"/>
          <w:color w:val="000000" w:themeColor="text1"/>
          <w:lang w:val="en-US" w:eastAsia="zh-CN"/>
          <w14:textFill>
            <w14:solidFill>
              <w14:schemeClr w14:val="tx1"/>
            </w14:solidFill>
          </w14:textFill>
        </w:rPr>
        <w:t>中心城区声环境功能区</w:t>
      </w:r>
      <w:r>
        <w:rPr>
          <w:rFonts w:hint="eastAsia"/>
          <w:color w:val="000000" w:themeColor="text1"/>
          <w:lang w:eastAsia="zh-CN"/>
          <w14:textFill>
            <w14:solidFill>
              <w14:schemeClr w14:val="tx1"/>
            </w14:solidFill>
          </w14:textFill>
        </w:rPr>
        <w:t>划分</w:t>
      </w:r>
      <w:r>
        <w:rPr>
          <w:rFonts w:hint="eastAsia"/>
          <w:color w:val="000000" w:themeColor="text1"/>
          <w14:textFill>
            <w14:solidFill>
              <w14:schemeClr w14:val="tx1"/>
            </w14:solidFill>
          </w14:textFill>
        </w:rPr>
        <w:t>结果，具体见表4-</w:t>
      </w:r>
      <w:r>
        <w:rPr>
          <w:rFonts w:hint="eastAsia"/>
          <w:color w:val="000000" w:themeColor="text1"/>
          <w:lang w:val="en-US" w:eastAsia="zh-CN"/>
          <w14:textFill>
            <w14:solidFill>
              <w14:schemeClr w14:val="tx1"/>
            </w14:solidFill>
          </w14:textFill>
        </w:rPr>
        <w:t>7</w:t>
      </w:r>
      <w:r>
        <w:rPr>
          <w:rFonts w:hint="eastAsia"/>
          <w:color w:val="000000" w:themeColor="text1"/>
          <w14:textFill>
            <w14:solidFill>
              <w14:schemeClr w14:val="tx1"/>
            </w14:solidFill>
          </w14:textFill>
        </w:rPr>
        <w:t>。</w:t>
      </w:r>
    </w:p>
    <w:p w14:paraId="4821E21B">
      <w:pPr>
        <w:pStyle w:val="31"/>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表4-</w:t>
      </w:r>
      <w:r>
        <w:rPr>
          <w:rFonts w:hint="eastAsia" w:ascii="Times New Roman" w:hAnsi="Times New Roman" w:cs="Times New Roman"/>
          <w:color w:val="000000" w:themeColor="text1"/>
          <w:lang w:val="en-US" w:eastAsia="zh-CN"/>
          <w14:textFill>
            <w14:solidFill>
              <w14:schemeClr w14:val="tx1"/>
            </w14:solidFill>
          </w14:textFill>
        </w:rPr>
        <w:t xml:space="preserve">7  </w:t>
      </w:r>
      <w:r>
        <w:rPr>
          <w:rFonts w:hint="eastAsia" w:ascii="Times New Roman" w:hAnsi="Times New Roman" w:cs="Times New Roman"/>
          <w:color w:val="000000" w:themeColor="text1"/>
          <w:lang w:eastAsia="zh-CN"/>
          <w14:textFill>
            <w14:solidFill>
              <w14:schemeClr w14:val="tx1"/>
            </w14:solidFill>
          </w14:textFill>
        </w:rPr>
        <w:t>绥滨县中心城区</w:t>
      </w:r>
      <w:r>
        <w:rPr>
          <w:rFonts w:hint="eastAsia" w:ascii="Times New Roman" w:hAnsi="Times New Roman" w:cs="Times New Roman"/>
          <w:color w:val="000000" w:themeColor="text1"/>
          <w14:textFill>
            <w14:solidFill>
              <w14:schemeClr w14:val="tx1"/>
            </w14:solidFill>
          </w14:textFill>
        </w:rPr>
        <w:t>声环境功能区划方案</w:t>
      </w:r>
    </w:p>
    <w:tbl>
      <w:tblPr>
        <w:tblStyle w:val="19"/>
        <w:tblW w:w="525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06"/>
        <w:gridCol w:w="1293"/>
        <w:gridCol w:w="3857"/>
        <w:gridCol w:w="862"/>
        <w:gridCol w:w="870"/>
        <w:gridCol w:w="1247"/>
      </w:tblGrid>
      <w:tr w14:paraId="0B1AA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blHeader/>
          <w:jc w:val="center"/>
        </w:trPr>
        <w:tc>
          <w:tcPr>
            <w:tcW w:w="347" w:type="pct"/>
            <w:noWrap w:val="0"/>
            <w:vAlign w:val="center"/>
          </w:tcPr>
          <w:p w14:paraId="79EF01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highlight w:val="yellow"/>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类别</w:t>
            </w:r>
          </w:p>
        </w:tc>
        <w:tc>
          <w:tcPr>
            <w:tcW w:w="740" w:type="pct"/>
            <w:noWrap w:val="0"/>
            <w:vAlign w:val="center"/>
          </w:tcPr>
          <w:p w14:paraId="28B152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highlight w:val="yellow"/>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功能</w:t>
            </w:r>
          </w:p>
        </w:tc>
        <w:tc>
          <w:tcPr>
            <w:tcW w:w="2206" w:type="pct"/>
            <w:noWrap w:val="0"/>
            <w:vAlign w:val="center"/>
          </w:tcPr>
          <w:p w14:paraId="5655B2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highlight w:val="yellow"/>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片区（交通干线）名称</w:t>
            </w:r>
          </w:p>
        </w:tc>
        <w:tc>
          <w:tcPr>
            <w:tcW w:w="493" w:type="pct"/>
            <w:noWrap w:val="0"/>
            <w:vAlign w:val="center"/>
          </w:tcPr>
          <w:p w14:paraId="05AA27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highlight w:val="yellow"/>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片区面积（</w:t>
            </w:r>
            <w:r>
              <w:rPr>
                <w:rStyle w:val="33"/>
                <w:rFonts w:hint="default" w:ascii="Times New Roman" w:hAnsi="Times New Roman" w:eastAsia="宋体" w:cs="Times New Roman"/>
                <w:b w:val="0"/>
                <w:bCs w:val="0"/>
                <w:color w:val="000000" w:themeColor="text1"/>
                <w:lang w:val="en-US" w:eastAsia="zh-CN" w:bidi="ar"/>
                <w14:textFill>
                  <w14:solidFill>
                    <w14:schemeClr w14:val="tx1"/>
                  </w14:solidFill>
                </w14:textFill>
              </w:rPr>
              <w:t>km</w:t>
            </w:r>
            <w:r>
              <w:rPr>
                <w:rStyle w:val="34"/>
                <w:rFonts w:hint="default" w:ascii="Times New Roman" w:hAnsi="Times New Roman" w:eastAsia="宋体" w:cs="Times New Roman"/>
                <w:b w:val="0"/>
                <w:bCs w:val="0"/>
                <w:color w:val="000000" w:themeColor="text1"/>
                <w:lang w:val="en-US" w:eastAsia="zh-CN" w:bidi="ar"/>
                <w14:textFill>
                  <w14:solidFill>
                    <w14:schemeClr w14:val="tx1"/>
                  </w14:solidFill>
                </w14:textFill>
              </w:rPr>
              <w:t>2</w:t>
            </w:r>
            <w:r>
              <w:rPr>
                <w:rStyle w:val="35"/>
                <w:rFonts w:hint="default" w:ascii="Times New Roman" w:hAnsi="Times New Roman" w:eastAsia="宋体" w:cs="Times New Roman"/>
                <w:b w:val="0"/>
                <w:bCs w:val="0"/>
                <w:color w:val="000000" w:themeColor="text1"/>
                <w:lang w:val="en-US" w:eastAsia="zh-CN" w:bidi="ar"/>
                <w14:textFill>
                  <w14:solidFill>
                    <w14:schemeClr w14:val="tx1"/>
                  </w14:solidFill>
                </w14:textFill>
              </w:rPr>
              <w:t>）</w:t>
            </w:r>
          </w:p>
        </w:tc>
        <w:tc>
          <w:tcPr>
            <w:tcW w:w="497" w:type="pct"/>
            <w:noWrap w:val="0"/>
            <w:vAlign w:val="center"/>
          </w:tcPr>
          <w:p w14:paraId="7092F6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highlight w:val="yellow"/>
                <w14:textFill>
                  <w14:solidFill>
                    <w14:schemeClr w14:val="tx1"/>
                  </w14:solidFill>
                </w14:textFill>
              </w:rPr>
            </w:pPr>
            <w:r>
              <w:rPr>
                <w:rFonts w:hint="eastAsia" w:cs="Times New Roman"/>
                <w:b w:val="0"/>
                <w:bCs w:val="0"/>
                <w:i w:val="0"/>
                <w:iCs w:val="0"/>
                <w:color w:val="000000" w:themeColor="text1"/>
                <w:kern w:val="0"/>
                <w:sz w:val="21"/>
                <w:szCs w:val="21"/>
                <w:u w:val="none"/>
                <w:lang w:val="en-US" w:eastAsia="zh-CN" w:bidi="ar"/>
                <w14:textFill>
                  <w14:solidFill>
                    <w14:schemeClr w14:val="tx1"/>
                  </w14:solidFill>
                </w14:textFill>
              </w:rPr>
              <w:t>片区</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总面积（</w:t>
            </w:r>
            <w:r>
              <w:rPr>
                <w:rStyle w:val="33"/>
                <w:rFonts w:hint="default" w:ascii="Times New Roman" w:hAnsi="Times New Roman" w:eastAsia="宋体" w:cs="Times New Roman"/>
                <w:b w:val="0"/>
                <w:bCs w:val="0"/>
                <w:color w:val="000000" w:themeColor="text1"/>
                <w:lang w:val="en-US" w:eastAsia="zh-CN" w:bidi="ar"/>
                <w14:textFill>
                  <w14:solidFill>
                    <w14:schemeClr w14:val="tx1"/>
                  </w14:solidFill>
                </w14:textFill>
              </w:rPr>
              <w:t>km</w:t>
            </w:r>
            <w:r>
              <w:rPr>
                <w:rStyle w:val="34"/>
                <w:rFonts w:hint="default" w:ascii="Times New Roman" w:hAnsi="Times New Roman" w:eastAsia="宋体" w:cs="Times New Roman"/>
                <w:b w:val="0"/>
                <w:bCs w:val="0"/>
                <w:color w:val="000000" w:themeColor="text1"/>
                <w:lang w:val="en-US" w:eastAsia="zh-CN" w:bidi="ar"/>
                <w14:textFill>
                  <w14:solidFill>
                    <w14:schemeClr w14:val="tx1"/>
                  </w14:solidFill>
                </w14:textFill>
              </w:rPr>
              <w:t>2</w:t>
            </w:r>
            <w:r>
              <w:rPr>
                <w:rStyle w:val="35"/>
                <w:rFonts w:hint="default" w:ascii="Times New Roman" w:hAnsi="Times New Roman" w:eastAsia="宋体" w:cs="Times New Roman"/>
                <w:b w:val="0"/>
                <w:bCs w:val="0"/>
                <w:color w:val="000000" w:themeColor="text1"/>
                <w:lang w:val="en-US" w:eastAsia="zh-CN" w:bidi="ar"/>
                <w14:textFill>
                  <w14:solidFill>
                    <w14:schemeClr w14:val="tx1"/>
                  </w14:solidFill>
                </w14:textFill>
              </w:rPr>
              <w:t>）</w:t>
            </w:r>
          </w:p>
        </w:tc>
        <w:tc>
          <w:tcPr>
            <w:tcW w:w="713" w:type="pct"/>
            <w:noWrap w:val="0"/>
            <w:vAlign w:val="center"/>
          </w:tcPr>
          <w:p w14:paraId="3805C3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highlight w:val="yellow"/>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占区划总面积比例（</w:t>
            </w:r>
            <w:r>
              <w:rPr>
                <w:rStyle w:val="33"/>
                <w:rFonts w:hint="default" w:ascii="Times New Roman" w:hAnsi="Times New Roman" w:eastAsia="宋体" w:cs="Times New Roman"/>
                <w:b w:val="0"/>
                <w:bCs w:val="0"/>
                <w:color w:val="000000" w:themeColor="text1"/>
                <w:lang w:val="en-US" w:eastAsia="zh-CN" w:bidi="ar"/>
                <w14:textFill>
                  <w14:solidFill>
                    <w14:schemeClr w14:val="tx1"/>
                  </w14:solidFill>
                </w14:textFill>
              </w:rPr>
              <w:t>%</w:t>
            </w:r>
            <w:r>
              <w:rPr>
                <w:rStyle w:val="35"/>
                <w:rFonts w:hint="default" w:ascii="Times New Roman" w:hAnsi="Times New Roman" w:eastAsia="宋体" w:cs="Times New Roman"/>
                <w:b w:val="0"/>
                <w:bCs w:val="0"/>
                <w:color w:val="000000" w:themeColor="text1"/>
                <w:lang w:val="en-US" w:eastAsia="zh-CN" w:bidi="ar"/>
                <w14:textFill>
                  <w14:solidFill>
                    <w14:schemeClr w14:val="tx1"/>
                  </w14:solidFill>
                </w14:textFill>
              </w:rPr>
              <w:t>）</w:t>
            </w:r>
          </w:p>
        </w:tc>
      </w:tr>
      <w:tr w14:paraId="462FB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blHeader/>
          <w:jc w:val="center"/>
        </w:trPr>
        <w:tc>
          <w:tcPr>
            <w:tcW w:w="347" w:type="pct"/>
            <w:vMerge w:val="restart"/>
            <w:noWrap w:val="0"/>
            <w:vAlign w:val="center"/>
          </w:tcPr>
          <w:p w14:paraId="1033B4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b w:val="0"/>
                <w:bCs w:val="0"/>
                <w:i w:val="0"/>
                <w:iCs w:val="0"/>
                <w:color w:val="000000" w:themeColor="text1"/>
                <w:kern w:val="0"/>
                <w:sz w:val="21"/>
                <w:szCs w:val="21"/>
                <w:u w:val="none"/>
                <w:lang w:val="en-US" w:eastAsia="zh-CN" w:bidi="ar"/>
                <w14:textFill>
                  <w14:solidFill>
                    <w14:schemeClr w14:val="tx1"/>
                  </w14:solidFill>
                </w14:textFill>
              </w:rPr>
              <w:t>1</w:t>
            </w:r>
            <w:r>
              <w:rPr>
                <w:rFonts w:hint="eastAsia" w:cs="Times New Roman"/>
                <w:b w:val="0"/>
                <w:bCs w:val="0"/>
                <w:i w:val="0"/>
                <w:iCs w:val="0"/>
                <w:color w:val="000000" w:themeColor="text1"/>
                <w:kern w:val="0"/>
                <w:sz w:val="21"/>
                <w:szCs w:val="21"/>
                <w:u w:val="none"/>
                <w:lang w:val="en-US" w:eastAsia="zh-CN" w:bidi="ar"/>
                <w14:textFill>
                  <w14:solidFill>
                    <w14:schemeClr w14:val="tx1"/>
                  </w14:solidFill>
                </w14:textFill>
              </w:rPr>
              <w:t>类</w:t>
            </w:r>
          </w:p>
        </w:tc>
        <w:tc>
          <w:tcPr>
            <w:tcW w:w="740" w:type="pct"/>
            <w:vMerge w:val="restart"/>
            <w:noWrap w:val="0"/>
            <w:vAlign w:val="center"/>
          </w:tcPr>
          <w:p w14:paraId="510A1B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居住、文教、机关为主区域</w:t>
            </w:r>
          </w:p>
        </w:tc>
        <w:tc>
          <w:tcPr>
            <w:tcW w:w="2206" w:type="pct"/>
            <w:noWrap w:val="0"/>
            <w:vAlign w:val="center"/>
          </w:tcPr>
          <w:p w14:paraId="0064F6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sz w:val="21"/>
                <w:szCs w:val="21"/>
                <w:lang w:eastAsia="zh-CN"/>
                <w14:textFill>
                  <w14:solidFill>
                    <w14:schemeClr w14:val="tx1"/>
                  </w14:solidFill>
                </w14:textFill>
              </w:rPr>
              <w:t>中部</w:t>
            </w:r>
            <w:r>
              <w:rPr>
                <w:rFonts w:hint="eastAsia"/>
                <w:color w:val="000000" w:themeColor="text1"/>
                <w:sz w:val="21"/>
                <w:szCs w:val="21"/>
                <w14:textFill>
                  <w14:solidFill>
                    <w14:schemeClr w14:val="tx1"/>
                  </w14:solidFill>
                </w14:textFill>
              </w:rPr>
              <w:t>生活居住区</w:t>
            </w:r>
            <w:r>
              <w:rPr>
                <w:rFonts w:hint="eastAsia"/>
                <w:color w:val="000000" w:themeColor="text1"/>
                <w:sz w:val="21"/>
                <w:szCs w:val="21"/>
                <w:lang w:eastAsia="zh-CN"/>
                <w14:textFill>
                  <w14:solidFill>
                    <w14:schemeClr w14:val="tx1"/>
                  </w14:solidFill>
                </w14:textFill>
              </w:rPr>
              <w:t>（除振兴大街</w:t>
            </w: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－奋斗路－长青街－通达路－通江路－繁荣街－奋斗路－</w:t>
            </w: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松滨大街</w:t>
            </w: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－滨北路合围区域</w:t>
            </w:r>
            <w:r>
              <w:rPr>
                <w:rFonts w:hint="eastAsia"/>
                <w:color w:val="000000" w:themeColor="text1"/>
                <w:sz w:val="21"/>
                <w:szCs w:val="21"/>
                <w:lang w:eastAsia="zh-CN"/>
                <w14:textFill>
                  <w14:solidFill>
                    <w14:schemeClr w14:val="tx1"/>
                  </w14:solidFill>
                </w14:textFill>
              </w:rPr>
              <w:t>）</w:t>
            </w:r>
          </w:p>
        </w:tc>
        <w:tc>
          <w:tcPr>
            <w:tcW w:w="493" w:type="pct"/>
            <w:noWrap w:val="0"/>
            <w:vAlign w:val="center"/>
          </w:tcPr>
          <w:p w14:paraId="6154FE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1.90</w:t>
            </w:r>
          </w:p>
        </w:tc>
        <w:tc>
          <w:tcPr>
            <w:tcW w:w="497" w:type="pct"/>
            <w:vMerge w:val="restart"/>
            <w:noWrap w:val="0"/>
            <w:vAlign w:val="center"/>
          </w:tcPr>
          <w:p w14:paraId="38E663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2.60</w:t>
            </w:r>
          </w:p>
        </w:tc>
        <w:tc>
          <w:tcPr>
            <w:tcW w:w="713" w:type="pct"/>
            <w:vMerge w:val="restart"/>
            <w:noWrap w:val="0"/>
            <w:vAlign w:val="center"/>
          </w:tcPr>
          <w:p w14:paraId="3C1CC8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27.25</w:t>
            </w:r>
          </w:p>
        </w:tc>
      </w:tr>
      <w:tr w14:paraId="4047F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blHeader/>
          <w:jc w:val="center"/>
        </w:trPr>
        <w:tc>
          <w:tcPr>
            <w:tcW w:w="347" w:type="pct"/>
            <w:vMerge w:val="continue"/>
            <w:noWrap w:val="0"/>
            <w:vAlign w:val="center"/>
          </w:tcPr>
          <w:p w14:paraId="0653E4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cs="Times New Roman"/>
                <w:b w:val="0"/>
                <w:bCs w:val="0"/>
                <w:i w:val="0"/>
                <w:iCs w:val="0"/>
                <w:color w:val="000000" w:themeColor="text1"/>
                <w:kern w:val="0"/>
                <w:sz w:val="21"/>
                <w:szCs w:val="21"/>
                <w:u w:val="none"/>
                <w:lang w:val="en-US" w:eastAsia="zh-CN" w:bidi="ar"/>
                <w14:textFill>
                  <w14:solidFill>
                    <w14:schemeClr w14:val="tx1"/>
                  </w14:solidFill>
                </w14:textFill>
              </w:rPr>
            </w:pPr>
          </w:p>
        </w:tc>
        <w:tc>
          <w:tcPr>
            <w:tcW w:w="740" w:type="pct"/>
            <w:vMerge w:val="continue"/>
            <w:noWrap w:val="0"/>
            <w:vAlign w:val="center"/>
          </w:tcPr>
          <w:p w14:paraId="0101C8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tc>
        <w:tc>
          <w:tcPr>
            <w:tcW w:w="2206" w:type="pct"/>
            <w:noWrap w:val="0"/>
            <w:vAlign w:val="center"/>
          </w:tcPr>
          <w:p w14:paraId="795695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olor w:val="000000" w:themeColor="text1"/>
                <w:sz w:val="21"/>
                <w:szCs w:val="21"/>
                <w:lang w:eastAsia="zh-CN"/>
                <w14:textFill>
                  <w14:solidFill>
                    <w14:schemeClr w14:val="tx1"/>
                  </w14:solidFill>
                </w14:textFill>
              </w:rPr>
              <w:t>西部</w:t>
            </w:r>
            <w:r>
              <w:rPr>
                <w:rFonts w:hint="eastAsia"/>
                <w:color w:val="000000" w:themeColor="text1"/>
                <w:sz w:val="21"/>
                <w:szCs w:val="21"/>
                <w14:textFill>
                  <w14:solidFill>
                    <w14:schemeClr w14:val="tx1"/>
                  </w14:solidFill>
                </w14:textFill>
              </w:rPr>
              <w:t>生活居住区</w:t>
            </w:r>
          </w:p>
        </w:tc>
        <w:tc>
          <w:tcPr>
            <w:tcW w:w="493" w:type="pct"/>
            <w:noWrap w:val="0"/>
            <w:vAlign w:val="center"/>
          </w:tcPr>
          <w:p w14:paraId="5980D4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u w:val="none"/>
                <w:lang w:val="en-US" w:eastAsia="zh-CN" w:bidi="ar"/>
                <w14:textFill>
                  <w14:solidFill>
                    <w14:schemeClr w14:val="tx1"/>
                  </w14:solidFill>
                </w14:textFill>
              </w:rPr>
              <w:t>0.70</w:t>
            </w:r>
          </w:p>
        </w:tc>
        <w:tc>
          <w:tcPr>
            <w:tcW w:w="497" w:type="pct"/>
            <w:vMerge w:val="continue"/>
            <w:tcBorders>
              <w:bottom w:val="single" w:color="auto" w:sz="4" w:space="0"/>
            </w:tcBorders>
            <w:noWrap w:val="0"/>
            <w:vAlign w:val="center"/>
          </w:tcPr>
          <w:p w14:paraId="1A9331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p>
        </w:tc>
        <w:tc>
          <w:tcPr>
            <w:tcW w:w="713" w:type="pct"/>
            <w:vMerge w:val="continue"/>
            <w:noWrap w:val="0"/>
            <w:vAlign w:val="center"/>
          </w:tcPr>
          <w:p w14:paraId="57C578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p>
        </w:tc>
      </w:tr>
      <w:tr w14:paraId="10622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blHeader/>
          <w:jc w:val="center"/>
        </w:trPr>
        <w:tc>
          <w:tcPr>
            <w:tcW w:w="347" w:type="pct"/>
            <w:vMerge w:val="restart"/>
            <w:noWrap w:val="0"/>
            <w:vAlign w:val="center"/>
          </w:tcPr>
          <w:p w14:paraId="413FB9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b w:val="0"/>
                <w:bCs w:val="0"/>
                <w:i w:val="0"/>
                <w:iCs w:val="0"/>
                <w:color w:val="000000" w:themeColor="text1"/>
                <w:kern w:val="0"/>
                <w:sz w:val="21"/>
                <w:szCs w:val="21"/>
                <w:u w:val="none"/>
                <w:lang w:val="en-US" w:eastAsia="zh-CN" w:bidi="ar"/>
                <w14:textFill>
                  <w14:solidFill>
                    <w14:schemeClr w14:val="tx1"/>
                  </w14:solidFill>
                </w14:textFill>
              </w:rPr>
              <w:t>2</w:t>
            </w:r>
            <w:r>
              <w:rPr>
                <w:rFonts w:hint="eastAsia" w:cs="Times New Roman"/>
                <w:b w:val="0"/>
                <w:bCs w:val="0"/>
                <w:i w:val="0"/>
                <w:iCs w:val="0"/>
                <w:color w:val="000000" w:themeColor="text1"/>
                <w:kern w:val="0"/>
                <w:sz w:val="21"/>
                <w:szCs w:val="21"/>
                <w:u w:val="none"/>
                <w:lang w:val="en-US" w:eastAsia="zh-CN" w:bidi="ar"/>
                <w14:textFill>
                  <w14:solidFill>
                    <w14:schemeClr w14:val="tx1"/>
                  </w14:solidFill>
                </w14:textFill>
              </w:rPr>
              <w:t>类</w:t>
            </w:r>
          </w:p>
        </w:tc>
        <w:tc>
          <w:tcPr>
            <w:tcW w:w="740" w:type="pct"/>
            <w:vMerge w:val="restart"/>
            <w:noWrap w:val="0"/>
            <w:vAlign w:val="center"/>
          </w:tcPr>
          <w:p w14:paraId="3C3AF9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居住、商业、工业混杂区</w:t>
            </w:r>
          </w:p>
        </w:tc>
        <w:tc>
          <w:tcPr>
            <w:tcW w:w="2206" w:type="pct"/>
            <w:noWrap w:val="0"/>
            <w:vAlign w:val="center"/>
          </w:tcPr>
          <w:p w14:paraId="735845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sz w:val="21"/>
                <w:szCs w:val="21"/>
                <w:lang w:eastAsia="zh-CN"/>
                <w14:textFill>
                  <w14:solidFill>
                    <w14:schemeClr w14:val="tx1"/>
                  </w14:solidFill>
                </w14:textFill>
              </w:rPr>
              <w:t>北部混合区</w:t>
            </w:r>
          </w:p>
        </w:tc>
        <w:tc>
          <w:tcPr>
            <w:tcW w:w="493" w:type="pct"/>
            <w:noWrap w:val="0"/>
            <w:vAlign w:val="center"/>
          </w:tcPr>
          <w:p w14:paraId="2BE4A6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0.96</w:t>
            </w:r>
          </w:p>
        </w:tc>
        <w:tc>
          <w:tcPr>
            <w:tcW w:w="497" w:type="pct"/>
            <w:vMerge w:val="restart"/>
            <w:tcBorders>
              <w:top w:val="single" w:color="auto" w:sz="4" w:space="0"/>
            </w:tcBorders>
            <w:noWrap w:val="0"/>
            <w:vAlign w:val="center"/>
          </w:tcPr>
          <w:p w14:paraId="0B1F69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1.58</w:t>
            </w:r>
          </w:p>
        </w:tc>
        <w:tc>
          <w:tcPr>
            <w:tcW w:w="713" w:type="pct"/>
            <w:vMerge w:val="restart"/>
            <w:noWrap w:val="0"/>
            <w:vAlign w:val="center"/>
          </w:tcPr>
          <w:p w14:paraId="37BF6E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16.57</w:t>
            </w:r>
          </w:p>
        </w:tc>
      </w:tr>
      <w:tr w14:paraId="329FA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blHeader/>
          <w:jc w:val="center"/>
        </w:trPr>
        <w:tc>
          <w:tcPr>
            <w:tcW w:w="347" w:type="pct"/>
            <w:vMerge w:val="continue"/>
            <w:noWrap w:val="0"/>
            <w:vAlign w:val="center"/>
          </w:tcPr>
          <w:p w14:paraId="2C9A03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cs="Times New Roman"/>
                <w:b w:val="0"/>
                <w:bCs w:val="0"/>
                <w:i w:val="0"/>
                <w:iCs w:val="0"/>
                <w:color w:val="000000" w:themeColor="text1"/>
                <w:kern w:val="0"/>
                <w:sz w:val="21"/>
                <w:szCs w:val="21"/>
                <w:u w:val="none"/>
                <w:lang w:val="en-US" w:eastAsia="zh-CN" w:bidi="ar"/>
                <w14:textFill>
                  <w14:solidFill>
                    <w14:schemeClr w14:val="tx1"/>
                  </w14:solidFill>
                </w14:textFill>
              </w:rPr>
            </w:pPr>
          </w:p>
        </w:tc>
        <w:tc>
          <w:tcPr>
            <w:tcW w:w="740" w:type="pct"/>
            <w:vMerge w:val="continue"/>
            <w:noWrap w:val="0"/>
            <w:vAlign w:val="center"/>
          </w:tcPr>
          <w:p w14:paraId="085E35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tc>
        <w:tc>
          <w:tcPr>
            <w:tcW w:w="2206" w:type="pct"/>
            <w:noWrap w:val="0"/>
            <w:vAlign w:val="center"/>
          </w:tcPr>
          <w:p w14:paraId="56D3BF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中部混合区</w:t>
            </w:r>
          </w:p>
        </w:tc>
        <w:tc>
          <w:tcPr>
            <w:tcW w:w="493" w:type="pct"/>
            <w:noWrap w:val="0"/>
            <w:vAlign w:val="center"/>
          </w:tcPr>
          <w:p w14:paraId="226AD7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0.50</w:t>
            </w:r>
          </w:p>
        </w:tc>
        <w:tc>
          <w:tcPr>
            <w:tcW w:w="497" w:type="pct"/>
            <w:vMerge w:val="continue"/>
            <w:noWrap w:val="0"/>
            <w:vAlign w:val="center"/>
          </w:tcPr>
          <w:p w14:paraId="1E2198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p>
        </w:tc>
        <w:tc>
          <w:tcPr>
            <w:tcW w:w="713" w:type="pct"/>
            <w:vMerge w:val="continue"/>
            <w:noWrap w:val="0"/>
            <w:vAlign w:val="center"/>
          </w:tcPr>
          <w:p w14:paraId="3C32AD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p>
        </w:tc>
      </w:tr>
      <w:tr w14:paraId="0E60D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blHeader/>
          <w:jc w:val="center"/>
        </w:trPr>
        <w:tc>
          <w:tcPr>
            <w:tcW w:w="347" w:type="pct"/>
            <w:vMerge w:val="continue"/>
            <w:noWrap w:val="0"/>
            <w:vAlign w:val="center"/>
          </w:tcPr>
          <w:p w14:paraId="12CB7B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cs="Times New Roman"/>
                <w:b w:val="0"/>
                <w:bCs w:val="0"/>
                <w:i w:val="0"/>
                <w:iCs w:val="0"/>
                <w:color w:val="000000" w:themeColor="text1"/>
                <w:kern w:val="0"/>
                <w:sz w:val="21"/>
                <w:szCs w:val="21"/>
                <w:u w:val="none"/>
                <w:lang w:val="en-US" w:eastAsia="zh-CN" w:bidi="ar"/>
                <w14:textFill>
                  <w14:solidFill>
                    <w14:schemeClr w14:val="tx1"/>
                  </w14:solidFill>
                </w14:textFill>
              </w:rPr>
            </w:pPr>
          </w:p>
        </w:tc>
        <w:tc>
          <w:tcPr>
            <w:tcW w:w="740" w:type="pct"/>
            <w:vMerge w:val="continue"/>
            <w:noWrap w:val="0"/>
            <w:vAlign w:val="center"/>
          </w:tcPr>
          <w:p w14:paraId="52CDCE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tc>
        <w:tc>
          <w:tcPr>
            <w:tcW w:w="2206" w:type="pct"/>
            <w:noWrap w:val="0"/>
            <w:vAlign w:val="center"/>
          </w:tcPr>
          <w:p w14:paraId="6227AF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西部混合区</w:t>
            </w:r>
          </w:p>
        </w:tc>
        <w:tc>
          <w:tcPr>
            <w:tcW w:w="493" w:type="pct"/>
            <w:noWrap w:val="0"/>
            <w:vAlign w:val="center"/>
          </w:tcPr>
          <w:p w14:paraId="30711B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0.12</w:t>
            </w:r>
          </w:p>
        </w:tc>
        <w:tc>
          <w:tcPr>
            <w:tcW w:w="497" w:type="pct"/>
            <w:vMerge w:val="continue"/>
            <w:tcBorders>
              <w:bottom w:val="single" w:color="auto" w:sz="4" w:space="0"/>
            </w:tcBorders>
            <w:noWrap w:val="0"/>
            <w:vAlign w:val="center"/>
          </w:tcPr>
          <w:p w14:paraId="660F9D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p>
        </w:tc>
        <w:tc>
          <w:tcPr>
            <w:tcW w:w="713" w:type="pct"/>
            <w:vMerge w:val="continue"/>
            <w:noWrap w:val="0"/>
            <w:vAlign w:val="center"/>
          </w:tcPr>
          <w:p w14:paraId="416E68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p>
        </w:tc>
      </w:tr>
      <w:tr w14:paraId="6980D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blHeader/>
          <w:jc w:val="center"/>
        </w:trPr>
        <w:tc>
          <w:tcPr>
            <w:tcW w:w="347" w:type="pct"/>
            <w:vMerge w:val="restart"/>
            <w:noWrap w:val="0"/>
            <w:vAlign w:val="center"/>
          </w:tcPr>
          <w:p w14:paraId="35B77A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b w:val="0"/>
                <w:bCs w:val="0"/>
                <w:i w:val="0"/>
                <w:iCs w:val="0"/>
                <w:color w:val="000000" w:themeColor="text1"/>
                <w:kern w:val="0"/>
                <w:sz w:val="21"/>
                <w:szCs w:val="21"/>
                <w:u w:val="none"/>
                <w:lang w:val="en-US" w:eastAsia="zh-CN" w:bidi="ar"/>
                <w14:textFill>
                  <w14:solidFill>
                    <w14:schemeClr w14:val="tx1"/>
                  </w14:solidFill>
                </w14:textFill>
              </w:rPr>
              <w:t>3</w:t>
            </w:r>
            <w:r>
              <w:rPr>
                <w:rFonts w:hint="eastAsia" w:cs="Times New Roman"/>
                <w:b w:val="0"/>
                <w:bCs w:val="0"/>
                <w:i w:val="0"/>
                <w:iCs w:val="0"/>
                <w:color w:val="000000" w:themeColor="text1"/>
                <w:kern w:val="0"/>
                <w:sz w:val="21"/>
                <w:szCs w:val="21"/>
                <w:u w:val="none"/>
                <w:lang w:val="en-US" w:eastAsia="zh-CN" w:bidi="ar"/>
                <w14:textFill>
                  <w14:solidFill>
                    <w14:schemeClr w14:val="tx1"/>
                  </w14:solidFill>
                </w14:textFill>
              </w:rPr>
              <w:t>类</w:t>
            </w:r>
          </w:p>
        </w:tc>
        <w:tc>
          <w:tcPr>
            <w:tcW w:w="740" w:type="pct"/>
            <w:vMerge w:val="restart"/>
            <w:noWrap w:val="0"/>
            <w:vAlign w:val="center"/>
          </w:tcPr>
          <w:p w14:paraId="30670F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工业生产、仓储物流</w:t>
            </w:r>
          </w:p>
        </w:tc>
        <w:tc>
          <w:tcPr>
            <w:tcW w:w="2206" w:type="pct"/>
            <w:noWrap w:val="0"/>
            <w:vAlign w:val="center"/>
          </w:tcPr>
          <w:p w14:paraId="66B6D5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u w:val="none"/>
                <w:lang w:val="en-US" w:eastAsia="zh-CN" w:bidi="ar"/>
                <w14:textFill>
                  <w14:solidFill>
                    <w14:schemeClr w14:val="tx1"/>
                  </w14:solidFill>
                </w14:textFill>
              </w:rPr>
              <w:t>东部工业区</w:t>
            </w:r>
          </w:p>
        </w:tc>
        <w:tc>
          <w:tcPr>
            <w:tcW w:w="493" w:type="pct"/>
            <w:noWrap w:val="0"/>
            <w:vAlign w:val="center"/>
          </w:tcPr>
          <w:p w14:paraId="28F8CC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u w:val="none"/>
                <w:lang w:val="en-US" w:eastAsia="zh-CN" w:bidi="ar"/>
                <w14:textFill>
                  <w14:solidFill>
                    <w14:schemeClr w14:val="tx1"/>
                  </w14:solidFill>
                </w14:textFill>
              </w:rPr>
              <w:t>2.58</w:t>
            </w:r>
          </w:p>
        </w:tc>
        <w:tc>
          <w:tcPr>
            <w:tcW w:w="497" w:type="pct"/>
            <w:vMerge w:val="restart"/>
            <w:tcBorders>
              <w:top w:val="single" w:color="auto" w:sz="4" w:space="0"/>
            </w:tcBorders>
            <w:noWrap w:val="0"/>
            <w:vAlign w:val="center"/>
          </w:tcPr>
          <w:p w14:paraId="3D457B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u w:val="none"/>
                <w:lang w:val="en-US" w:eastAsia="zh-CN" w:bidi="ar"/>
                <w14:textFill>
                  <w14:solidFill>
                    <w14:schemeClr w14:val="tx1"/>
                  </w14:solidFill>
                </w14:textFill>
              </w:rPr>
              <w:t>2.66</w:t>
            </w:r>
          </w:p>
        </w:tc>
        <w:tc>
          <w:tcPr>
            <w:tcW w:w="713" w:type="pct"/>
            <w:vMerge w:val="restart"/>
            <w:noWrap w:val="0"/>
            <w:vAlign w:val="center"/>
          </w:tcPr>
          <w:p w14:paraId="20B256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u w:val="none"/>
                <w:lang w:val="en-US" w:eastAsia="zh-CN" w:bidi="ar"/>
                <w14:textFill>
                  <w14:solidFill>
                    <w14:schemeClr w14:val="tx1"/>
                  </w14:solidFill>
                </w14:textFill>
              </w:rPr>
              <w:t>27.88</w:t>
            </w:r>
          </w:p>
        </w:tc>
      </w:tr>
      <w:tr w14:paraId="25B91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blHeader/>
          <w:jc w:val="center"/>
        </w:trPr>
        <w:tc>
          <w:tcPr>
            <w:tcW w:w="347" w:type="pct"/>
            <w:vMerge w:val="continue"/>
            <w:noWrap w:val="0"/>
            <w:vAlign w:val="center"/>
          </w:tcPr>
          <w:p w14:paraId="2C94B7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cs="Times New Roman"/>
                <w:b w:val="0"/>
                <w:bCs w:val="0"/>
                <w:i w:val="0"/>
                <w:iCs w:val="0"/>
                <w:color w:val="000000" w:themeColor="text1"/>
                <w:kern w:val="0"/>
                <w:sz w:val="21"/>
                <w:szCs w:val="21"/>
                <w:u w:val="none"/>
                <w:lang w:val="en-US" w:eastAsia="zh-CN" w:bidi="ar"/>
                <w14:textFill>
                  <w14:solidFill>
                    <w14:schemeClr w14:val="tx1"/>
                  </w14:solidFill>
                </w14:textFill>
              </w:rPr>
            </w:pPr>
          </w:p>
        </w:tc>
        <w:tc>
          <w:tcPr>
            <w:tcW w:w="740" w:type="pct"/>
            <w:vMerge w:val="continue"/>
            <w:noWrap w:val="0"/>
            <w:vAlign w:val="center"/>
          </w:tcPr>
          <w:p w14:paraId="727718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tc>
        <w:tc>
          <w:tcPr>
            <w:tcW w:w="2206" w:type="pct"/>
            <w:noWrap w:val="0"/>
            <w:vAlign w:val="center"/>
          </w:tcPr>
          <w:p w14:paraId="7BDC40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u w:val="none"/>
                <w:lang w:val="en-US" w:eastAsia="zh-CN" w:bidi="ar"/>
                <w14:textFill>
                  <w14:solidFill>
                    <w14:schemeClr w14:val="tx1"/>
                  </w14:solidFill>
                </w14:textFill>
              </w:rPr>
              <w:t>东北部物流仓储区</w:t>
            </w:r>
          </w:p>
        </w:tc>
        <w:tc>
          <w:tcPr>
            <w:tcW w:w="493" w:type="pct"/>
            <w:noWrap w:val="0"/>
            <w:vAlign w:val="center"/>
          </w:tcPr>
          <w:p w14:paraId="350E3B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u w:val="none"/>
                <w:lang w:val="en-US" w:eastAsia="zh-CN" w:bidi="ar"/>
                <w14:textFill>
                  <w14:solidFill>
                    <w14:schemeClr w14:val="tx1"/>
                  </w14:solidFill>
                </w14:textFill>
              </w:rPr>
              <w:t>0.08</w:t>
            </w:r>
          </w:p>
        </w:tc>
        <w:tc>
          <w:tcPr>
            <w:tcW w:w="497" w:type="pct"/>
            <w:vMerge w:val="continue"/>
            <w:tcBorders>
              <w:bottom w:val="single" w:color="auto" w:sz="4" w:space="0"/>
            </w:tcBorders>
            <w:noWrap w:val="0"/>
            <w:vAlign w:val="center"/>
          </w:tcPr>
          <w:p w14:paraId="587CE7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p>
        </w:tc>
        <w:tc>
          <w:tcPr>
            <w:tcW w:w="713" w:type="pct"/>
            <w:vMerge w:val="continue"/>
            <w:noWrap w:val="0"/>
            <w:vAlign w:val="center"/>
          </w:tcPr>
          <w:p w14:paraId="6E2048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p>
        </w:tc>
      </w:tr>
      <w:tr w14:paraId="7467B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blHeader/>
          <w:jc w:val="center"/>
        </w:trPr>
        <w:tc>
          <w:tcPr>
            <w:tcW w:w="347" w:type="pct"/>
            <w:noWrap w:val="0"/>
            <w:vAlign w:val="center"/>
          </w:tcPr>
          <w:p w14:paraId="5F5816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b w:val="0"/>
                <w:bCs w:val="0"/>
                <w:i w:val="0"/>
                <w:iCs w:val="0"/>
                <w:color w:val="000000" w:themeColor="text1"/>
                <w:kern w:val="0"/>
                <w:sz w:val="21"/>
                <w:szCs w:val="21"/>
                <w:u w:val="none"/>
                <w:lang w:val="en-US" w:eastAsia="zh-CN" w:bidi="ar"/>
                <w14:textFill>
                  <w14:solidFill>
                    <w14:schemeClr w14:val="tx1"/>
                  </w14:solidFill>
                </w14:textFill>
              </w:rPr>
              <w:t>4</w:t>
            </w:r>
            <w:r>
              <w:rPr>
                <w:rFonts w:hint="eastAsia" w:cs="Times New Roman"/>
                <w:b w:val="0"/>
                <w:bCs w:val="0"/>
                <w:i w:val="0"/>
                <w:iCs w:val="0"/>
                <w:color w:val="000000" w:themeColor="text1"/>
                <w:kern w:val="0"/>
                <w:sz w:val="21"/>
                <w:szCs w:val="21"/>
                <w:u w:val="none"/>
                <w:lang w:val="en-US" w:eastAsia="zh-CN" w:bidi="ar"/>
                <w14:textFill>
                  <w14:solidFill>
                    <w14:schemeClr w14:val="tx1"/>
                  </w14:solidFill>
                </w14:textFill>
              </w:rPr>
              <w:t>类</w:t>
            </w:r>
          </w:p>
        </w:tc>
        <w:tc>
          <w:tcPr>
            <w:tcW w:w="740" w:type="pct"/>
            <w:noWrap w:val="0"/>
            <w:vAlign w:val="center"/>
          </w:tcPr>
          <w:p w14:paraId="38C531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道路交通干线两侧区域及交通场站</w:t>
            </w:r>
          </w:p>
        </w:tc>
        <w:tc>
          <w:tcPr>
            <w:tcW w:w="2206" w:type="pct"/>
            <w:noWrap w:val="0"/>
            <w:vAlign w:val="center"/>
          </w:tcPr>
          <w:p w14:paraId="342C13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4a</w:t>
            </w:r>
            <w:r>
              <w:rPr>
                <w:rStyle w:val="36"/>
                <w:color w:val="000000" w:themeColor="text1"/>
                <w:lang w:val="en-US" w:eastAsia="zh-CN" w:bidi="ar"/>
                <w14:textFill>
                  <w14:solidFill>
                    <w14:schemeClr w14:val="tx1"/>
                  </w14:solidFill>
                </w14:textFill>
              </w:rPr>
              <w:t>类：松滨大街、红星大街、通达路、振荣大街、东环路、滨北路、西环路、振兴大街、田丰街、渡口路、东辉路、通江路、向阳路、奋斗路、近河路</w:t>
            </w:r>
          </w:p>
        </w:tc>
        <w:tc>
          <w:tcPr>
            <w:tcW w:w="493" w:type="pct"/>
            <w:noWrap w:val="0"/>
            <w:vAlign w:val="center"/>
          </w:tcPr>
          <w:p w14:paraId="4F26F5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u w:val="none"/>
                <w:lang w:val="en-US" w:eastAsia="zh-CN" w:bidi="ar"/>
                <w14:textFill>
                  <w14:solidFill>
                    <w14:schemeClr w14:val="tx1"/>
                  </w14:solidFill>
                </w14:textFill>
              </w:rPr>
              <w:t>2.70</w:t>
            </w:r>
          </w:p>
        </w:tc>
        <w:tc>
          <w:tcPr>
            <w:tcW w:w="497" w:type="pct"/>
            <w:tcBorders>
              <w:top w:val="single" w:color="auto" w:sz="4" w:space="0"/>
              <w:bottom w:val="single" w:color="auto" w:sz="4" w:space="0"/>
            </w:tcBorders>
            <w:noWrap w:val="0"/>
            <w:vAlign w:val="center"/>
          </w:tcPr>
          <w:p w14:paraId="1CD241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u w:val="none"/>
                <w:lang w:val="en-US" w:eastAsia="zh-CN" w:bidi="ar"/>
                <w14:textFill>
                  <w14:solidFill>
                    <w14:schemeClr w14:val="tx1"/>
                  </w14:solidFill>
                </w14:textFill>
              </w:rPr>
              <w:t>2.70</w:t>
            </w:r>
          </w:p>
        </w:tc>
        <w:tc>
          <w:tcPr>
            <w:tcW w:w="713" w:type="pct"/>
            <w:noWrap w:val="0"/>
            <w:vAlign w:val="center"/>
          </w:tcPr>
          <w:p w14:paraId="15B588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u w:val="none"/>
                <w:lang w:val="en-US" w:eastAsia="zh-CN" w:bidi="ar"/>
                <w14:textFill>
                  <w14:solidFill>
                    <w14:schemeClr w14:val="tx1"/>
                  </w14:solidFill>
                </w14:textFill>
              </w:rPr>
              <w:t>28.30</w:t>
            </w:r>
          </w:p>
        </w:tc>
      </w:tr>
      <w:tr w14:paraId="508ED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blHeader/>
          <w:jc w:val="center"/>
        </w:trPr>
        <w:tc>
          <w:tcPr>
            <w:tcW w:w="3294" w:type="pct"/>
            <w:gridSpan w:val="3"/>
            <w:noWrap w:val="0"/>
            <w:vAlign w:val="center"/>
          </w:tcPr>
          <w:p w14:paraId="1E3687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合计</w:t>
            </w:r>
          </w:p>
        </w:tc>
        <w:tc>
          <w:tcPr>
            <w:tcW w:w="991" w:type="pct"/>
            <w:gridSpan w:val="2"/>
            <w:noWrap w:val="0"/>
            <w:vAlign w:val="center"/>
          </w:tcPr>
          <w:p w14:paraId="2A5388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u w:val="none"/>
                <w:lang w:val="en-US" w:eastAsia="zh-CN" w:bidi="ar"/>
                <w14:textFill>
                  <w14:solidFill>
                    <w14:schemeClr w14:val="tx1"/>
                  </w14:solidFill>
                </w14:textFill>
              </w:rPr>
              <w:t>9.54</w:t>
            </w:r>
          </w:p>
        </w:tc>
        <w:tc>
          <w:tcPr>
            <w:tcW w:w="713" w:type="pct"/>
            <w:noWrap w:val="0"/>
            <w:vAlign w:val="center"/>
          </w:tcPr>
          <w:p w14:paraId="45AAB1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u w:val="none"/>
                <w:lang w:val="en-US" w:eastAsia="zh-CN" w:bidi="ar"/>
                <w14:textFill>
                  <w14:solidFill>
                    <w14:schemeClr w14:val="tx1"/>
                  </w14:solidFill>
                </w14:textFill>
              </w:rPr>
              <w:t>100</w:t>
            </w:r>
          </w:p>
        </w:tc>
      </w:tr>
    </w:tbl>
    <w:p w14:paraId="305D1BA6">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（1）1类标准适用区域</w:t>
      </w:r>
    </w:p>
    <w:p w14:paraId="60D005A2">
      <w:pPr>
        <w:ind w:firstLine="471"/>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1类声环境功能区适用于以居民住宅、医疗卫生、文化教育、科研设计、行政办公为主要功能的区域。本次划分为</w:t>
      </w:r>
      <w:r>
        <w:rPr>
          <w:rFonts w:hint="eastAsia"/>
          <w:color w:val="000000" w:themeColor="text1"/>
          <w:sz w:val="24"/>
          <w:szCs w:val="24"/>
          <w:lang w:eastAsia="zh-CN"/>
          <w14:textFill>
            <w14:solidFill>
              <w14:schemeClr w14:val="tx1"/>
            </w14:solidFill>
          </w14:textFill>
        </w:rPr>
        <w:t>中部</w:t>
      </w:r>
      <w:r>
        <w:rPr>
          <w:rFonts w:hint="eastAsia"/>
          <w:color w:val="000000" w:themeColor="text1"/>
          <w:sz w:val="24"/>
          <w:szCs w:val="24"/>
          <w14:textFill>
            <w14:solidFill>
              <w14:schemeClr w14:val="tx1"/>
            </w14:solidFill>
          </w14:textFill>
        </w:rPr>
        <w:t>生活居住区</w:t>
      </w:r>
      <w:r>
        <w:rPr>
          <w:rFonts w:hint="eastAsia"/>
          <w:color w:val="000000" w:themeColor="text1"/>
          <w:sz w:val="24"/>
          <w:szCs w:val="24"/>
          <w:lang w:eastAsia="zh-CN"/>
          <w14:textFill>
            <w14:solidFill>
              <w14:schemeClr w14:val="tx1"/>
            </w14:solidFill>
          </w14:textFill>
        </w:rPr>
        <w:t>和西部</w:t>
      </w:r>
      <w:r>
        <w:rPr>
          <w:rFonts w:hint="eastAsia"/>
          <w:color w:val="000000" w:themeColor="text1"/>
          <w:sz w:val="24"/>
          <w:szCs w:val="24"/>
          <w14:textFill>
            <w14:solidFill>
              <w14:schemeClr w14:val="tx1"/>
            </w14:solidFill>
          </w14:textFill>
        </w:rPr>
        <w:t>生活居住区</w:t>
      </w:r>
      <w:r>
        <w:rPr>
          <w:rFonts w:hint="eastAsia"/>
          <w:color w:val="000000" w:themeColor="text1"/>
          <w:sz w:val="24"/>
          <w:szCs w:val="24"/>
          <w:lang w:eastAsia="zh-CN"/>
          <w14:textFill>
            <w14:solidFill>
              <w14:schemeClr w14:val="tx1"/>
            </w14:solidFill>
          </w14:textFill>
        </w:rPr>
        <w:t>两个片区。中部</w:t>
      </w:r>
      <w:r>
        <w:rPr>
          <w:rFonts w:hint="eastAsia"/>
          <w:color w:val="000000" w:themeColor="text1"/>
          <w:sz w:val="24"/>
          <w:szCs w:val="24"/>
          <w14:textFill>
            <w14:solidFill>
              <w14:schemeClr w14:val="tx1"/>
            </w14:solidFill>
          </w14:textFill>
        </w:rPr>
        <w:t>生活居住区</w:t>
      </w:r>
      <w:r>
        <w:rPr>
          <w:rFonts w:hint="eastAsia"/>
          <w:color w:val="000000" w:themeColor="text1"/>
          <w:sz w:val="24"/>
          <w:szCs w:val="24"/>
          <w:lang w:eastAsia="zh-CN"/>
          <w14:textFill>
            <w14:solidFill>
              <w14:schemeClr w14:val="tx1"/>
            </w14:solidFill>
          </w14:textFill>
        </w:rPr>
        <w:t>（除振兴大街</w:t>
      </w:r>
      <w:r>
        <w:rPr>
          <w:rFonts w:hint="eastAsia"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－奋斗路－长青街－通达路－通江路－繁荣街－奋斗路－</w:t>
      </w:r>
      <w:r>
        <w:rPr>
          <w:rFonts w:hint="eastAsia"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松滨大街</w:t>
      </w:r>
      <w:r>
        <w:rPr>
          <w:rFonts w:hint="eastAsia"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－滨北路合围区域</w:t>
      </w:r>
      <w:r>
        <w:rPr>
          <w:rFonts w:hint="eastAsia"/>
          <w:color w:val="000000" w:themeColor="text1"/>
          <w:sz w:val="24"/>
          <w:szCs w:val="24"/>
          <w:lang w:eastAsia="zh-CN"/>
          <w14:textFill>
            <w14:solidFill>
              <w14:schemeClr w14:val="tx1"/>
            </w14:solidFill>
          </w14:textFill>
        </w:rPr>
        <w:t>）：</w:t>
      </w:r>
      <w:r>
        <w:rPr>
          <w:rFonts w:hint="eastAsia"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红星大街－通达路－运通街－东环路－红星大街（振荣村北）－规划边界（振荣村东）－振荣大街－东辉路－规划边界（沿江街）－规划边界（傲来总干渠东）－规划边界，西部</w:t>
      </w:r>
      <w:r>
        <w:rPr>
          <w:rFonts w:hint="eastAsia"/>
          <w:color w:val="000000" w:themeColor="text1"/>
          <w:sz w:val="24"/>
          <w:szCs w:val="24"/>
          <w:highlight w:val="none"/>
          <w14:textFill>
            <w14:solidFill>
              <w14:schemeClr w14:val="tx1"/>
            </w14:solidFill>
          </w14:textFill>
        </w:rPr>
        <w:t>生活居住区</w:t>
      </w:r>
      <w:r>
        <w:rPr>
          <w:rFonts w:hint="eastAsia"/>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松滨大街</w:t>
      </w:r>
      <w:r>
        <w:rPr>
          <w:rFonts w:hint="eastAsia"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w:t>
      </w:r>
      <w:r>
        <w:rPr>
          <w:rFonts w:hint="eastAsia"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规划边界</w:t>
      </w:r>
      <w:r>
        <w:rPr>
          <w:rFonts w:hint="eastAsia"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（傲来总干渠西）－规划边界（傲来村南）－规划边界（傲来村西）</w:t>
      </w:r>
      <w:r>
        <w:rPr>
          <w:rFonts w:hint="eastAsia"/>
          <w:color w:val="000000" w:themeColor="text1"/>
          <w:sz w:val="24"/>
          <w:szCs w:val="24"/>
          <w:highlight w:val="none"/>
          <w14:textFill>
            <w14:solidFill>
              <w14:schemeClr w14:val="tx1"/>
            </w14:solidFill>
          </w14:textFill>
        </w:rPr>
        <w:t>，总面积为</w:t>
      </w:r>
      <w:r>
        <w:rPr>
          <w:rFonts w:hint="eastAsia"/>
          <w:color w:val="000000" w:themeColor="text1"/>
          <w:sz w:val="24"/>
          <w:szCs w:val="24"/>
          <w:highlight w:val="none"/>
          <w:lang w:val="en-US" w:eastAsia="zh-CN"/>
          <w14:textFill>
            <w14:solidFill>
              <w14:schemeClr w14:val="tx1"/>
            </w14:solidFill>
          </w14:textFill>
        </w:rPr>
        <w:t>2.60</w:t>
      </w:r>
      <w:r>
        <w:rPr>
          <w:rFonts w:hint="eastAsia"/>
          <w:color w:val="000000" w:themeColor="text1"/>
          <w:sz w:val="24"/>
          <w:szCs w:val="24"/>
          <w:highlight w:val="none"/>
          <w14:textFill>
            <w14:solidFill>
              <w14:schemeClr w14:val="tx1"/>
            </w14:solidFill>
          </w14:textFill>
        </w:rPr>
        <w:t>km</w:t>
      </w:r>
      <w:r>
        <w:rPr>
          <w:rFonts w:hint="eastAsia"/>
          <w:color w:val="000000" w:themeColor="text1"/>
          <w:sz w:val="24"/>
          <w:szCs w:val="24"/>
          <w:highlight w:val="none"/>
          <w:vertAlign w:val="superscript"/>
          <w14:textFill>
            <w14:solidFill>
              <w14:schemeClr w14:val="tx1"/>
            </w14:solidFill>
          </w14:textFill>
        </w:rPr>
        <w:t>2</w:t>
      </w:r>
      <w:r>
        <w:rPr>
          <w:rFonts w:hint="eastAsia"/>
          <w:color w:val="000000" w:themeColor="text1"/>
          <w:sz w:val="24"/>
          <w:szCs w:val="24"/>
          <w:highlight w:val="none"/>
          <w14:textFill>
            <w14:solidFill>
              <w14:schemeClr w14:val="tx1"/>
            </w14:solidFill>
          </w14:textFill>
        </w:rPr>
        <w:t>。</w:t>
      </w:r>
    </w:p>
    <w:p w14:paraId="79392C73">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（2）2类标准适用区域</w:t>
      </w:r>
    </w:p>
    <w:p w14:paraId="16F896C6">
      <w:pPr>
        <w:ind w:firstLine="471"/>
        <w:rPr>
          <w:rFonts w:hint="eastAsia"/>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2类声环境功能区适用于以商业金融、集市贸易为主要功能的区域，或居住、商业、工业混杂，需要维护居住安静的区域，即划分</w:t>
      </w:r>
      <w:r>
        <w:rPr>
          <w:rFonts w:hint="eastAsia"/>
          <w:color w:val="000000" w:themeColor="text1"/>
          <w:highlight w:val="none"/>
          <w14:textFill>
            <w14:solidFill>
              <w14:schemeClr w14:val="tx1"/>
            </w14:solidFill>
          </w14:textFill>
        </w:rPr>
        <w:t>范围内除去1类、3类、4类以外的所有区域均为2类标准适用区，面积约</w:t>
      </w:r>
      <w:r>
        <w:rPr>
          <w:rFonts w:hint="eastAsia"/>
          <w:color w:val="000000" w:themeColor="text1"/>
          <w:highlight w:val="none"/>
          <w:lang w:val="en-US" w:eastAsia="zh-CN"/>
          <w14:textFill>
            <w14:solidFill>
              <w14:schemeClr w14:val="tx1"/>
            </w14:solidFill>
          </w14:textFill>
        </w:rPr>
        <w:t>1.58</w:t>
      </w:r>
      <w:r>
        <w:rPr>
          <w:rFonts w:hint="eastAsia"/>
          <w:color w:val="000000" w:themeColor="text1"/>
          <w:highlight w:val="none"/>
          <w14:textFill>
            <w14:solidFill>
              <w14:schemeClr w14:val="tx1"/>
            </w14:solidFill>
          </w14:textFill>
        </w:rPr>
        <w:t>km</w:t>
      </w:r>
      <w:r>
        <w:rPr>
          <w:rFonts w:hint="eastAsia"/>
          <w:color w:val="000000" w:themeColor="text1"/>
          <w:highlight w:val="none"/>
          <w:vertAlign w:val="superscript"/>
          <w14:textFill>
            <w14:solidFill>
              <w14:schemeClr w14:val="tx1"/>
            </w14:solidFill>
          </w14:textFill>
        </w:rPr>
        <w:t>2</w:t>
      </w:r>
      <w:r>
        <w:rPr>
          <w:rFonts w:hint="eastAsia"/>
          <w:color w:val="000000" w:themeColor="text1"/>
          <w:highlight w:val="none"/>
          <w14:textFill>
            <w14:solidFill>
              <w14:schemeClr w14:val="tx1"/>
            </w14:solidFill>
          </w14:textFill>
        </w:rPr>
        <w:t>。</w:t>
      </w:r>
    </w:p>
    <w:p w14:paraId="6F5090E9">
      <w:pPr>
        <w:ind w:firstLine="471"/>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（3）3类标准适用区域</w:t>
      </w:r>
    </w:p>
    <w:p w14:paraId="781ED178">
      <w:pPr>
        <w:ind w:firstLine="471"/>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3类声环境功能区适用于以工业生产、仓储物流为主要功能的区域，本次划分</w:t>
      </w:r>
      <w:r>
        <w:rPr>
          <w:rFonts w:hint="eastAsia"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东部工业区：东辉路－振荣大街－规划边界，</w:t>
      </w:r>
      <w:r>
        <w:rPr>
          <w:rFonts w:hint="eastAsia" w:cs="Times New Roman"/>
          <w:b w:val="0"/>
          <w:bCs w:val="0"/>
          <w:i w:val="0"/>
          <w:iCs w:val="0"/>
          <w:color w:val="000000" w:themeColor="text1"/>
          <w:kern w:val="0"/>
          <w:sz w:val="24"/>
          <w:szCs w:val="24"/>
          <w:u w:val="none"/>
          <w:lang w:val="en-US" w:eastAsia="zh-CN" w:bidi="ar"/>
          <w14:textFill>
            <w14:solidFill>
              <w14:schemeClr w14:val="tx1"/>
            </w14:solidFill>
          </w14:textFill>
        </w:rPr>
        <w:t>东北部物流仓储区</w:t>
      </w:r>
      <w:r>
        <w:rPr>
          <w:rFonts w:hint="eastAsia"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：规划运通街－顺达路－红星大街－东环路</w:t>
      </w:r>
      <w:r>
        <w:rPr>
          <w:rFonts w:hint="eastAsia"/>
          <w:color w:val="000000" w:themeColor="text1"/>
          <w:sz w:val="24"/>
          <w:szCs w:val="24"/>
          <w:highlight w:val="none"/>
          <w14:textFill>
            <w14:solidFill>
              <w14:schemeClr w14:val="tx1"/>
            </w14:solidFill>
          </w14:textFill>
        </w:rPr>
        <w:t>，总面积</w:t>
      </w:r>
      <w:r>
        <w:rPr>
          <w:rFonts w:hint="eastAsia"/>
          <w:color w:val="000000" w:themeColor="text1"/>
          <w:sz w:val="24"/>
          <w:szCs w:val="24"/>
          <w:highlight w:val="none"/>
          <w:lang w:val="en-US" w:eastAsia="zh-CN"/>
          <w14:textFill>
            <w14:solidFill>
              <w14:schemeClr w14:val="tx1"/>
            </w14:solidFill>
          </w14:textFill>
        </w:rPr>
        <w:t>2.66</w:t>
      </w:r>
      <w:r>
        <w:rPr>
          <w:rFonts w:hint="eastAsia"/>
          <w:color w:val="000000" w:themeColor="text1"/>
          <w:sz w:val="24"/>
          <w:szCs w:val="24"/>
          <w:highlight w:val="none"/>
          <w14:textFill>
            <w14:solidFill>
              <w14:schemeClr w14:val="tx1"/>
            </w14:solidFill>
          </w14:textFill>
        </w:rPr>
        <w:t>km</w:t>
      </w:r>
      <w:r>
        <w:rPr>
          <w:rFonts w:hint="eastAsia"/>
          <w:color w:val="000000" w:themeColor="text1"/>
          <w:sz w:val="24"/>
          <w:szCs w:val="24"/>
          <w:highlight w:val="none"/>
          <w:vertAlign w:val="superscript"/>
          <w14:textFill>
            <w14:solidFill>
              <w14:schemeClr w14:val="tx1"/>
            </w14:solidFill>
          </w14:textFill>
        </w:rPr>
        <w:t>2</w:t>
      </w:r>
      <w:r>
        <w:rPr>
          <w:rFonts w:hint="eastAsia"/>
          <w:color w:val="000000" w:themeColor="text1"/>
          <w:sz w:val="24"/>
          <w:szCs w:val="24"/>
          <w:highlight w:val="none"/>
          <w14:textFill>
            <w14:solidFill>
              <w14:schemeClr w14:val="tx1"/>
            </w14:solidFill>
          </w14:textFill>
        </w:rPr>
        <w:t>。</w:t>
      </w:r>
    </w:p>
    <w:p w14:paraId="1BBC188B">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（4）4类标准适用区域</w:t>
      </w:r>
    </w:p>
    <w:p w14:paraId="1EB67D6A">
      <w:pPr>
        <w:ind w:firstLine="471"/>
        <w:rPr>
          <w:rFonts w:hint="eastAsia" w:eastAsia="宋体"/>
          <w:color w:val="000000" w:themeColor="text1"/>
          <w:highlight w:val="yellow"/>
          <w:lang w:eastAsia="zh-CN"/>
          <w14:textFill>
            <w14:solidFill>
              <w14:schemeClr w14:val="tx1"/>
            </w14:solidFill>
          </w14:textFill>
        </w:rPr>
      </w:pPr>
      <w:r>
        <w:rPr>
          <w:rFonts w:hint="eastAsia"/>
          <w:color w:val="000000" w:themeColor="text1"/>
          <w14:textFill>
            <w14:solidFill>
              <w14:schemeClr w14:val="tx1"/>
            </w14:solidFill>
          </w14:textFill>
        </w:rPr>
        <w:t>4类</w:t>
      </w:r>
      <w:r>
        <w:rPr>
          <w:rFonts w:hint="eastAsia"/>
          <w:color w:val="000000" w:themeColor="text1"/>
          <w:highlight w:val="none"/>
          <w14:textFill>
            <w14:solidFill>
              <w14:schemeClr w14:val="tx1"/>
            </w14:solidFill>
          </w14:textFill>
        </w:rPr>
        <w:t>标准适用区域是城市道路中交通干线两侧区域。4类声功能区面积为</w:t>
      </w:r>
      <w:r>
        <w:rPr>
          <w:rFonts w:hint="eastAsia"/>
          <w:color w:val="000000" w:themeColor="text1"/>
          <w:highlight w:val="none"/>
          <w:lang w:val="en-US" w:eastAsia="zh-CN"/>
          <w14:textFill>
            <w14:solidFill>
              <w14:schemeClr w14:val="tx1"/>
            </w14:solidFill>
          </w14:textFill>
        </w:rPr>
        <w:t>2.70</w:t>
      </w:r>
      <w:r>
        <w:rPr>
          <w:rFonts w:hint="eastAsia"/>
          <w:color w:val="000000" w:themeColor="text1"/>
          <w:highlight w:val="none"/>
          <w14:textFill>
            <w14:solidFill>
              <w14:schemeClr w14:val="tx1"/>
            </w14:solidFill>
          </w14:textFill>
        </w:rPr>
        <w:t>km</w:t>
      </w:r>
      <w:r>
        <w:rPr>
          <w:rFonts w:hint="eastAsia"/>
          <w:color w:val="000000" w:themeColor="text1"/>
          <w:highlight w:val="none"/>
          <w:vertAlign w:val="superscript"/>
          <w14:textFill>
            <w14:solidFill>
              <w14:schemeClr w14:val="tx1"/>
            </w14:solidFill>
          </w14:textFill>
        </w:rPr>
        <w:t>2</w:t>
      </w:r>
      <w:r>
        <w:rPr>
          <w:rFonts w:hint="eastAsia"/>
          <w:color w:val="000000" w:themeColor="text1"/>
          <w:highlight w:val="none"/>
          <w:vertAlign w:val="baseline"/>
          <w:lang w:eastAsia="zh-CN"/>
          <w14:textFill>
            <w14:solidFill>
              <w14:schemeClr w14:val="tx1"/>
            </w14:solidFill>
          </w14:textFill>
        </w:rPr>
        <w:t>。</w:t>
      </w:r>
    </w:p>
    <w:p w14:paraId="69D1C7D4">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4a类声环境功能区域：</w:t>
      </w:r>
    </w:p>
    <w:p w14:paraId="4C3FC3C0">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将交通干线边界外一定距离内的区域划分为4a类声环境功能区。距离的确定方法如下：</w:t>
      </w:r>
    </w:p>
    <w:p w14:paraId="0BDE55CE">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a）相邻区域为1类声环境功能区，距离为50m；</w:t>
      </w:r>
    </w:p>
    <w:p w14:paraId="3CD0D7F5">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b）相邻区域为2类声环境功能区，距离为35m；</w:t>
      </w:r>
    </w:p>
    <w:p w14:paraId="753FEA81">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c）相邻区域为3类声环境功能区，距离为20m；</w:t>
      </w:r>
    </w:p>
    <w:p w14:paraId="0462D9C2">
      <w:pPr>
        <w:ind w:firstLine="471"/>
        <w:rPr>
          <w:rFonts w:hint="eastAsia" w:eastAsia="宋体"/>
          <w:color w:val="000000" w:themeColor="text1"/>
          <w:lang w:val="en-US" w:eastAsia="zh-CN"/>
          <w14:textFill>
            <w14:solidFill>
              <w14:schemeClr w14:val="tx1"/>
            </w14:solidFill>
          </w14:textFill>
        </w:rPr>
      </w:pP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道路划分明细见表</w:t>
      </w:r>
      <w:r>
        <w:rPr>
          <w:rFonts w:hint="eastAsia"/>
          <w:color w:val="000000" w:themeColor="text1"/>
          <w:lang w:val="en-US" w:eastAsia="zh-CN"/>
          <w14:textFill>
            <w14:solidFill>
              <w14:schemeClr w14:val="tx1"/>
            </w14:solidFill>
          </w14:textFill>
        </w:rPr>
        <w:t>4-8。</w:t>
      </w:r>
    </w:p>
    <w:p w14:paraId="5D0A44AA">
      <w:pPr>
        <w:pStyle w:val="3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表4-</w:t>
      </w:r>
      <w:r>
        <w:rPr>
          <w:rFonts w:hint="eastAsia"/>
          <w:color w:val="000000" w:themeColor="text1"/>
          <w:lang w:val="en-US" w:eastAsia="zh-CN"/>
          <w14:textFill>
            <w14:solidFill>
              <w14:schemeClr w14:val="tx1"/>
            </w14:solidFill>
          </w14:textFill>
        </w:rPr>
        <w:t xml:space="preserve">8  </w:t>
      </w: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交通干线明细表</w:t>
      </w:r>
    </w:p>
    <w:tbl>
      <w:tblPr>
        <w:tblStyle w:val="19"/>
        <w:tblW w:w="50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45"/>
        <w:gridCol w:w="6787"/>
      </w:tblGrid>
      <w:tr w14:paraId="1E7EB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blHeader/>
          <w:jc w:val="center"/>
        </w:trPr>
        <w:tc>
          <w:tcPr>
            <w:tcW w:w="927" w:type="pct"/>
            <w:noWrap w:val="0"/>
            <w:vAlign w:val="center"/>
          </w:tcPr>
          <w:p w14:paraId="1C8A25CA">
            <w:pPr>
              <w:pStyle w:val="30"/>
              <w:rPr>
                <w:rFonts w:hint="eastAsia" w:ascii="宋体" w:hAnsi="宋体" w:eastAsia="宋体" w:cs="宋体"/>
                <w:b w:val="0"/>
                <w:bCs w:val="0"/>
                <w:color w:val="000000" w:themeColor="text1"/>
                <w14:textFill>
                  <w14:solidFill>
                    <w14:schemeClr w14:val="tx1"/>
                  </w14:solidFill>
                </w14:textFill>
              </w:rPr>
            </w:pPr>
            <w:r>
              <w:rPr>
                <w:rFonts w:hint="eastAsia" w:ascii="宋体" w:hAnsi="宋体" w:eastAsia="宋体" w:cs="宋体"/>
                <w:b w:val="0"/>
                <w:bCs w:val="0"/>
                <w:color w:val="000000" w:themeColor="text1"/>
                <w14:textFill>
                  <w14:solidFill>
                    <w14:schemeClr w14:val="tx1"/>
                  </w14:solidFill>
                </w14:textFill>
              </w:rPr>
              <w:t>道路类型</w:t>
            </w:r>
          </w:p>
        </w:tc>
        <w:tc>
          <w:tcPr>
            <w:tcW w:w="4072" w:type="pct"/>
            <w:noWrap w:val="0"/>
            <w:vAlign w:val="center"/>
          </w:tcPr>
          <w:p w14:paraId="0474DF48">
            <w:pPr>
              <w:pStyle w:val="30"/>
              <w:rPr>
                <w:rFonts w:hint="eastAsia" w:ascii="宋体" w:hAnsi="宋体" w:eastAsia="宋体" w:cs="宋体"/>
                <w:b w:val="0"/>
                <w:bCs w:val="0"/>
                <w:color w:val="000000" w:themeColor="text1"/>
                <w14:textFill>
                  <w14:solidFill>
                    <w14:schemeClr w14:val="tx1"/>
                  </w14:solidFill>
                </w14:textFill>
              </w:rPr>
            </w:pPr>
            <w:r>
              <w:rPr>
                <w:rFonts w:hint="eastAsia" w:ascii="宋体" w:hAnsi="宋体" w:eastAsia="宋体" w:cs="宋体"/>
                <w:b w:val="0"/>
                <w:bCs w:val="0"/>
                <w:color w:val="000000" w:themeColor="text1"/>
                <w14:textFill>
                  <w14:solidFill>
                    <w14:schemeClr w14:val="tx1"/>
                  </w14:solidFill>
                </w14:textFill>
              </w:rPr>
              <w:t>道路名称</w:t>
            </w:r>
          </w:p>
        </w:tc>
      </w:tr>
      <w:tr w14:paraId="1CBDA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27" w:type="pct"/>
            <w:noWrap w:val="0"/>
            <w:vAlign w:val="center"/>
          </w:tcPr>
          <w:p w14:paraId="7E4BCA4A">
            <w:pPr>
              <w:spacing w:line="240" w:lineRule="auto"/>
              <w:ind w:firstLine="0" w:firstLineChars="0"/>
              <w:jc w:val="center"/>
              <w:rPr>
                <w:rFonts w:ascii="宋体" w:hAnsi="宋体" w:cs="宋体"/>
                <w:color w:val="000000" w:themeColor="text1"/>
                <w:sz w:val="21"/>
                <w:szCs w:val="21"/>
                <w14:textFill>
                  <w14:solidFill>
                    <w14:schemeClr w14:val="tx1"/>
                  </w14:solidFill>
                </w14:textFill>
              </w:rPr>
            </w:pPr>
            <w:r>
              <w:rPr>
                <w:rFonts w:ascii="宋体" w:hAnsi="宋体" w:cs="宋体"/>
                <w:color w:val="000000" w:themeColor="text1"/>
                <w:spacing w:val="-2"/>
                <w:sz w:val="21"/>
                <w:szCs w:val="21"/>
                <w14:textFill>
                  <w14:solidFill>
                    <w14:schemeClr w14:val="tx1"/>
                  </w14:solidFill>
                </w14:textFill>
              </w:rPr>
              <w:t>主干路</w:t>
            </w:r>
          </w:p>
        </w:tc>
        <w:tc>
          <w:tcPr>
            <w:tcW w:w="4072" w:type="pct"/>
            <w:noWrap w:val="0"/>
            <w:vAlign w:val="center"/>
          </w:tcPr>
          <w:p w14:paraId="18AD7F5F">
            <w:pPr>
              <w:spacing w:line="240" w:lineRule="auto"/>
              <w:ind w:firstLine="0" w:firstLineChars="0"/>
              <w:jc w:val="center"/>
              <w:rPr>
                <w:rFonts w:hint="eastAsia" w:ascii="宋体" w:hAnsi="宋体" w:cs="宋体"/>
                <w:color w:val="000000" w:themeColor="text1"/>
                <w:spacing w:val="-1"/>
                <w:sz w:val="21"/>
                <w:szCs w:val="21"/>
                <w:highlight w:val="yellow"/>
                <w14:textFill>
                  <w14:solidFill>
                    <w14:schemeClr w14:val="tx1"/>
                  </w14:solidFill>
                </w14:textFill>
              </w:rPr>
            </w:pPr>
            <w:r>
              <w:rPr>
                <w:rStyle w:val="36"/>
                <w:color w:val="000000" w:themeColor="text1"/>
                <w:lang w:val="en-US" w:eastAsia="zh-CN" w:bidi="ar"/>
                <w14:textFill>
                  <w14:solidFill>
                    <w14:schemeClr w14:val="tx1"/>
                  </w14:solidFill>
                </w14:textFill>
              </w:rPr>
              <w:t>松滨大街、红星大街、通达路、振荣大街、东环路、滨北路、西环路</w:t>
            </w:r>
          </w:p>
        </w:tc>
      </w:tr>
      <w:tr w14:paraId="2F9B9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27" w:type="pct"/>
            <w:noWrap w:val="0"/>
            <w:vAlign w:val="center"/>
          </w:tcPr>
          <w:p w14:paraId="70E32545">
            <w:pPr>
              <w:spacing w:line="240" w:lineRule="auto"/>
              <w:ind w:firstLine="0" w:firstLineChars="0"/>
              <w:jc w:val="center"/>
              <w:rPr>
                <w:rFonts w:ascii="宋体" w:hAnsi="宋体" w:cs="宋体"/>
                <w:color w:val="000000" w:themeColor="text1"/>
                <w:spacing w:val="-2"/>
                <w:sz w:val="21"/>
                <w:szCs w:val="21"/>
                <w14:textFill>
                  <w14:solidFill>
                    <w14:schemeClr w14:val="tx1"/>
                  </w14:solidFill>
                </w14:textFill>
              </w:rPr>
            </w:pPr>
            <w:r>
              <w:rPr>
                <w:rFonts w:ascii="宋体" w:hAnsi="宋体" w:cs="宋体"/>
                <w:color w:val="000000" w:themeColor="text1"/>
                <w:spacing w:val="-2"/>
                <w:sz w:val="21"/>
                <w:szCs w:val="21"/>
                <w14:textFill>
                  <w14:solidFill>
                    <w14:schemeClr w14:val="tx1"/>
                  </w14:solidFill>
                </w14:textFill>
              </w:rPr>
              <w:t>次干路</w:t>
            </w:r>
          </w:p>
        </w:tc>
        <w:tc>
          <w:tcPr>
            <w:tcW w:w="4072" w:type="pct"/>
            <w:noWrap w:val="0"/>
            <w:vAlign w:val="center"/>
          </w:tcPr>
          <w:p w14:paraId="7031EC2B">
            <w:pPr>
              <w:spacing w:line="240" w:lineRule="auto"/>
              <w:ind w:firstLine="0" w:firstLineChars="0"/>
              <w:jc w:val="center"/>
              <w:rPr>
                <w:rFonts w:hint="eastAsia" w:ascii="宋体" w:hAnsi="宋体" w:cs="宋体"/>
                <w:color w:val="000000" w:themeColor="text1"/>
                <w:spacing w:val="-2"/>
                <w:sz w:val="21"/>
                <w:szCs w:val="21"/>
                <w:highlight w:val="yellow"/>
                <w14:textFill>
                  <w14:solidFill>
                    <w14:schemeClr w14:val="tx1"/>
                  </w14:solidFill>
                </w14:textFill>
              </w:rPr>
            </w:pPr>
            <w:r>
              <w:rPr>
                <w:rStyle w:val="36"/>
                <w:color w:val="000000" w:themeColor="text1"/>
                <w:lang w:val="en-US" w:eastAsia="zh-CN" w:bidi="ar"/>
                <w14:textFill>
                  <w14:solidFill>
                    <w14:schemeClr w14:val="tx1"/>
                  </w14:solidFill>
                </w14:textFill>
              </w:rPr>
              <w:t>振兴大街、田丰街、渡口路、东辉路、通江路、向阳路、奋斗路、近河路</w:t>
            </w:r>
          </w:p>
        </w:tc>
      </w:tr>
    </w:tbl>
    <w:p w14:paraId="4074D83B">
      <w:pPr>
        <w:ind w:firstLine="471"/>
        <w:rPr>
          <w:rFonts w:hint="eastAsia" w:eastAsia="宋体"/>
          <w:color w:val="000000" w:themeColor="text1"/>
          <w:lang w:val="en-US" w:eastAsia="zh-CN"/>
          <w14:textFill>
            <w14:solidFill>
              <w14:schemeClr w14:val="tx1"/>
            </w14:solidFill>
          </w14:textFill>
        </w:rPr>
        <w:sectPr>
          <w:pgSz w:w="11906" w:h="16838"/>
          <w:pgMar w:top="1440" w:right="1803" w:bottom="1440" w:left="1803" w:header="794" w:footer="992" w:gutter="0"/>
          <w:pgBorders>
            <w:top w:val="none" w:sz="0" w:space="0"/>
            <w:left w:val="none" w:sz="0" w:space="0"/>
            <w:bottom w:val="none" w:sz="0" w:space="0"/>
            <w:right w:val="none" w:sz="0" w:space="0"/>
          </w:pgBorders>
          <w:pgNumType w:fmt="numberInDash"/>
          <w:cols w:space="720" w:num="1"/>
          <w:rtlGutter w:val="0"/>
          <w:docGrid w:type="linesAndChars" w:linePitch="347" w:charSpace="-874"/>
        </w:sectPr>
      </w:pP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声</w:t>
      </w:r>
      <w:r>
        <w:rPr>
          <w:rFonts w:hint="eastAsia"/>
          <w:color w:val="000000" w:themeColor="text1"/>
          <w:lang w:val="en-US" w:eastAsia="zh-CN"/>
          <w14:textFill>
            <w14:solidFill>
              <w14:schemeClr w14:val="tx1"/>
            </w14:solidFill>
          </w14:textFill>
        </w:rPr>
        <w:t>环境</w:t>
      </w:r>
      <w:r>
        <w:rPr>
          <w:rFonts w:hint="eastAsia"/>
          <w:color w:val="000000" w:themeColor="text1"/>
          <w14:textFill>
            <w14:solidFill>
              <w14:schemeClr w14:val="tx1"/>
            </w14:solidFill>
          </w14:textFill>
        </w:rPr>
        <w:t>功能区划分示意图如图</w:t>
      </w:r>
      <w:r>
        <w:rPr>
          <w:rFonts w:hint="eastAsia"/>
          <w:color w:val="000000" w:themeColor="text1"/>
          <w:lang w:val="en-US" w:eastAsia="zh-CN"/>
          <w14:textFill>
            <w14:solidFill>
              <w14:schemeClr w14:val="tx1"/>
            </w14:solidFill>
          </w14:textFill>
        </w:rPr>
        <w:t>4-4</w:t>
      </w:r>
      <w:r>
        <w:rPr>
          <w:rFonts w:hint="eastAsia"/>
          <w:color w:val="000000" w:themeColor="text1"/>
          <w14:textFill>
            <w14:solidFill>
              <w14:schemeClr w14:val="tx1"/>
            </w14:solidFill>
          </w14:textFill>
        </w:rPr>
        <w:t>所示</w:t>
      </w:r>
      <w:r>
        <w:rPr>
          <w:rFonts w:hint="eastAsia"/>
          <w:color w:val="000000" w:themeColor="text1"/>
          <w:lang w:eastAsia="zh-CN"/>
          <w14:textFill>
            <w14:solidFill>
              <w14:schemeClr w14:val="tx1"/>
            </w14:solidFill>
          </w14:textFill>
        </w:rPr>
        <w:t>。</w:t>
      </w:r>
    </w:p>
    <w:p w14:paraId="161E0D7B">
      <w:pPr>
        <w:pStyle w:val="31"/>
        <w:rPr>
          <w:rFonts w:hint="eastAsia" w:eastAsia="黑体"/>
          <w:color w:val="000000" w:themeColor="text1"/>
          <w:lang w:eastAsia="zh-CN"/>
          <w14:textFill>
            <w14:solidFill>
              <w14:schemeClr w14:val="tx1"/>
            </w14:solidFill>
          </w14:textFill>
        </w:rPr>
      </w:pPr>
      <w:r>
        <w:rPr>
          <w:rFonts w:hint="eastAsia" w:eastAsia="黑体"/>
          <w:color w:val="000000" w:themeColor="text1"/>
          <w:lang w:eastAsia="zh-CN"/>
          <w14:textFill>
            <w14:solidFill>
              <w14:schemeClr w14:val="tx1"/>
            </w14:solidFill>
          </w14:textFill>
        </w:rPr>
        <w:drawing>
          <wp:inline distT="0" distB="0" distL="114300" distR="114300">
            <wp:extent cx="7093585" cy="4787900"/>
            <wp:effectExtent l="0" t="0" r="8255" b="12700"/>
            <wp:docPr id="13" name="图片 13" descr="26673ff2faf6716e8bb3211a3f6a7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26673ff2faf6716e8bb3211a3f6a7de1"/>
                    <pic:cNvPicPr>
                      <a:picLocks noChangeAspect="1"/>
                    </pic:cNvPicPr>
                  </pic:nvPicPr>
                  <pic:blipFill>
                    <a:blip r:embed="rId29"/>
                    <a:srcRect t="2353" b="2172"/>
                    <a:stretch>
                      <a:fillRect/>
                    </a:stretch>
                  </pic:blipFill>
                  <pic:spPr>
                    <a:xfrm>
                      <a:off x="0" y="0"/>
                      <a:ext cx="7093585" cy="4787900"/>
                    </a:xfrm>
                    <a:prstGeom prst="rect">
                      <a:avLst/>
                    </a:prstGeom>
                  </pic:spPr>
                </pic:pic>
              </a:graphicData>
            </a:graphic>
          </wp:inline>
        </w:drawing>
      </w:r>
    </w:p>
    <w:p w14:paraId="51D6DD03">
      <w:pPr>
        <w:pStyle w:val="31"/>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图4-</w:t>
      </w:r>
      <w:r>
        <w:rPr>
          <w:rFonts w:hint="eastAsia"/>
          <w:color w:val="000000" w:themeColor="text1"/>
          <w:highlight w:val="none"/>
          <w:lang w:val="en-US" w:eastAsia="zh-CN"/>
          <w14:textFill>
            <w14:solidFill>
              <w14:schemeClr w14:val="tx1"/>
            </w14:solidFill>
          </w14:textFill>
        </w:rPr>
        <w:t xml:space="preserve">4  </w:t>
      </w:r>
      <w:r>
        <w:rPr>
          <w:rFonts w:hint="eastAsia"/>
          <w:color w:val="000000" w:themeColor="text1"/>
          <w:highlight w:val="none"/>
          <w:lang w:eastAsia="zh-CN"/>
          <w14:textFill>
            <w14:solidFill>
              <w14:schemeClr w14:val="tx1"/>
            </w14:solidFill>
          </w14:textFill>
        </w:rPr>
        <w:t>绥滨县中心城区</w:t>
      </w:r>
      <w:r>
        <w:rPr>
          <w:rFonts w:hint="eastAsia"/>
          <w:color w:val="000000" w:themeColor="text1"/>
          <w:highlight w:val="none"/>
          <w14:textFill>
            <w14:solidFill>
              <w14:schemeClr w14:val="tx1"/>
            </w14:solidFill>
          </w14:textFill>
        </w:rPr>
        <w:t>声</w:t>
      </w:r>
      <w:r>
        <w:rPr>
          <w:rFonts w:hint="eastAsia"/>
          <w:color w:val="000000" w:themeColor="text1"/>
          <w:highlight w:val="none"/>
          <w:lang w:val="en-US" w:eastAsia="zh-CN"/>
          <w14:textFill>
            <w14:solidFill>
              <w14:schemeClr w14:val="tx1"/>
            </w14:solidFill>
          </w14:textFill>
        </w:rPr>
        <w:t>环境</w:t>
      </w:r>
      <w:r>
        <w:rPr>
          <w:rFonts w:hint="eastAsia"/>
          <w:color w:val="000000" w:themeColor="text1"/>
          <w:highlight w:val="none"/>
          <w14:textFill>
            <w14:solidFill>
              <w14:schemeClr w14:val="tx1"/>
            </w14:solidFill>
          </w14:textFill>
        </w:rPr>
        <w:t>功能区划分图</w:t>
      </w:r>
    </w:p>
    <w:p w14:paraId="075EC519">
      <w:pPr>
        <w:pStyle w:val="31"/>
        <w:rPr>
          <w:rFonts w:hint="eastAsia"/>
          <w:color w:val="000000" w:themeColor="text1"/>
          <w:highlight w:val="none"/>
          <w14:textFill>
            <w14:solidFill>
              <w14:schemeClr w14:val="tx1"/>
            </w14:solidFill>
          </w14:textFill>
        </w:rPr>
        <w:sectPr>
          <w:pgSz w:w="16838" w:h="11906" w:orient="landscape"/>
          <w:pgMar w:top="1803" w:right="1440" w:bottom="1803" w:left="1440" w:header="794" w:footer="992" w:gutter="0"/>
          <w:pgBorders>
            <w:top w:val="none" w:sz="0" w:space="0"/>
            <w:left w:val="none" w:sz="0" w:space="0"/>
            <w:bottom w:val="none" w:sz="0" w:space="0"/>
            <w:right w:val="none" w:sz="0" w:space="0"/>
          </w:pgBorders>
          <w:pgNumType w:fmt="numberInDash"/>
          <w:cols w:space="0" w:num="1"/>
          <w:rtlGutter w:val="0"/>
          <w:docGrid w:type="linesAndChars" w:linePitch="360" w:charSpace="-874"/>
        </w:sectPr>
      </w:pPr>
    </w:p>
    <w:p w14:paraId="273FF89C">
      <w:pPr>
        <w:pStyle w:val="4"/>
        <w:rPr>
          <w:rFonts w:hint="eastAsia"/>
          <w:color w:val="000000" w:themeColor="text1"/>
          <w14:textFill>
            <w14:solidFill>
              <w14:schemeClr w14:val="tx1"/>
            </w14:solidFill>
          </w14:textFill>
        </w:rPr>
      </w:pPr>
      <w:bookmarkStart w:id="135" w:name="_Toc4383"/>
      <w:r>
        <w:rPr>
          <w:rFonts w:hint="eastAsia"/>
          <w:color w:val="000000" w:themeColor="text1"/>
          <w14:textFill>
            <w14:solidFill>
              <w14:schemeClr w14:val="tx1"/>
            </w14:solidFill>
          </w14:textFill>
        </w:rPr>
        <w:t>4.3.4</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区划结果与说明</w:t>
      </w:r>
      <w:bookmarkEnd w:id="135"/>
    </w:p>
    <w:p w14:paraId="58DA827F">
      <w:pPr>
        <w:ind w:firstLine="471"/>
        <w:rPr>
          <w:color w:val="000000" w:themeColor="text1"/>
          <w14:textFill>
            <w14:solidFill>
              <w14:schemeClr w14:val="tx1"/>
            </w14:solidFill>
          </w14:textFill>
        </w:rPr>
      </w:pPr>
      <w:r>
        <w:rPr>
          <w:rFonts w:hint="eastAsia"/>
          <w:color w:val="000000" w:themeColor="text1"/>
          <w14:textFill>
            <w14:solidFill>
              <w14:schemeClr w14:val="tx1"/>
            </w14:solidFill>
          </w14:textFill>
        </w:rPr>
        <w:t>结合以上声</w:t>
      </w:r>
      <w:r>
        <w:rPr>
          <w:rFonts w:hint="eastAsia"/>
          <w:color w:val="000000" w:themeColor="text1"/>
          <w:lang w:val="en-US" w:eastAsia="zh-CN"/>
          <w14:textFill>
            <w14:solidFill>
              <w14:schemeClr w14:val="tx1"/>
            </w14:solidFill>
          </w14:textFill>
        </w:rPr>
        <w:t>环境</w:t>
      </w:r>
      <w:r>
        <w:rPr>
          <w:rFonts w:hint="eastAsia"/>
          <w:color w:val="000000" w:themeColor="text1"/>
          <w14:textFill>
            <w14:solidFill>
              <w14:schemeClr w14:val="tx1"/>
            </w14:solidFill>
          </w14:textFill>
        </w:rPr>
        <w:t>功能区划分析，整合得到</w:t>
      </w:r>
      <w:r>
        <w:rPr>
          <w:rFonts w:hint="eastAsia"/>
          <w:color w:val="000000" w:themeColor="text1"/>
          <w:lang w:eastAsia="zh-CN"/>
          <w14:textFill>
            <w14:solidFill>
              <w14:schemeClr w14:val="tx1"/>
            </w14:solidFill>
          </w14:textFill>
        </w:rPr>
        <w:t>绥滨县</w:t>
      </w:r>
      <w:r>
        <w:rPr>
          <w:rFonts w:hint="eastAsia"/>
          <w:color w:val="000000" w:themeColor="text1"/>
          <w:lang w:val="en-US" w:eastAsia="zh-CN"/>
          <w14:textFill>
            <w14:solidFill>
              <w14:schemeClr w14:val="tx1"/>
            </w14:solidFill>
          </w14:textFill>
        </w:rPr>
        <w:t>中心城区声环境</w:t>
      </w:r>
      <w:r>
        <w:rPr>
          <w:rFonts w:hint="eastAsia"/>
          <w:color w:val="000000" w:themeColor="text1"/>
          <w:lang w:eastAsia="zh-CN"/>
          <w14:textFill>
            <w14:solidFill>
              <w14:schemeClr w14:val="tx1"/>
            </w14:solidFill>
          </w14:textFill>
        </w:rPr>
        <w:t>功能区划分</w:t>
      </w:r>
      <w:r>
        <w:rPr>
          <w:rFonts w:hint="eastAsia"/>
          <w:color w:val="000000" w:themeColor="text1"/>
          <w14:textFill>
            <w14:solidFill>
              <w14:schemeClr w14:val="tx1"/>
            </w14:solidFill>
          </w14:textFill>
        </w:rPr>
        <w:t>图，如上图所示。其中浅绿色区域为1类声环境功能区，浅蓝色区域为2类声环境功能区，褐色区域为3类声环境功能区，公路交通干线两侧区域内</w:t>
      </w:r>
      <w:r>
        <w:rPr>
          <w:rFonts w:hint="eastAsia"/>
          <w:color w:val="000000" w:themeColor="text1"/>
          <w:highlight w:val="none"/>
          <w14:textFill>
            <w14:solidFill>
              <w14:schemeClr w14:val="tx1"/>
            </w14:solidFill>
          </w14:textFill>
        </w:rPr>
        <w:t>为</w:t>
      </w:r>
      <w:r>
        <w:rPr>
          <w:rFonts w:hint="eastAsia"/>
          <w:color w:val="000000" w:themeColor="text1"/>
          <w14:textFill>
            <w14:solidFill>
              <w14:schemeClr w14:val="tx1"/>
            </w14:solidFill>
          </w14:textFill>
        </w:rPr>
        <w:t>4a类声环境功能区。</w:t>
      </w:r>
    </w:p>
    <w:p w14:paraId="3CE3C9FE">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本区划适用的昼间、夜间时段分别为：昼间6:00～22:00，夜间22:00～次日6:00。</w:t>
      </w:r>
    </w:p>
    <w:p w14:paraId="1B3C1C91">
      <w:pPr>
        <w:pStyle w:val="3"/>
        <w:keepNext/>
        <w:keepLines/>
        <w:rPr>
          <w:color w:val="auto"/>
          <w:kern w:val="2"/>
        </w:rPr>
      </w:pPr>
      <w:bookmarkStart w:id="136" w:name="_Toc9383"/>
      <w:bookmarkStart w:id="137" w:name="_Toc27641"/>
      <w:bookmarkStart w:id="138" w:name="_Toc9287"/>
      <w:bookmarkStart w:id="139" w:name="_Toc32174"/>
      <w:bookmarkStart w:id="140" w:name="_Toc24331"/>
      <w:r>
        <w:rPr>
          <w:color w:val="auto"/>
          <w:kern w:val="2"/>
        </w:rPr>
        <w:t>4.4</w:t>
      </w:r>
      <w:r>
        <w:rPr>
          <w:rFonts w:hint="eastAsia"/>
          <w:color w:val="auto"/>
          <w:kern w:val="2"/>
          <w:lang w:val="en-US" w:eastAsia="zh-CN"/>
        </w:rPr>
        <w:t xml:space="preserve"> </w:t>
      </w:r>
      <w:r>
        <w:rPr>
          <w:rFonts w:hint="eastAsia"/>
          <w:color w:val="auto"/>
          <w:kern w:val="2"/>
          <w:lang w:eastAsia="zh-CN"/>
        </w:rPr>
        <w:t>功能区声环境</w:t>
      </w:r>
      <w:r>
        <w:rPr>
          <w:color w:val="auto"/>
          <w:kern w:val="2"/>
        </w:rPr>
        <w:t>质量达标情况分析</w:t>
      </w:r>
      <w:bookmarkEnd w:id="136"/>
      <w:bookmarkEnd w:id="137"/>
      <w:bookmarkEnd w:id="138"/>
      <w:bookmarkEnd w:id="139"/>
      <w:bookmarkEnd w:id="140"/>
    </w:p>
    <w:p w14:paraId="1422C29F">
      <w:pPr>
        <w:ind w:firstLine="471"/>
        <w:rPr>
          <w:rFonts w:hint="eastAsia"/>
          <w:color w:val="auto"/>
          <w:highlight w:val="none"/>
        </w:rPr>
      </w:pPr>
      <w:r>
        <w:rPr>
          <w:rFonts w:hint="eastAsia"/>
          <w:color w:val="auto"/>
          <w:highlight w:val="none"/>
        </w:rPr>
        <w:t>由监测结果可知，</w:t>
      </w:r>
      <w:r>
        <w:rPr>
          <w:rFonts w:hint="eastAsia"/>
          <w:color w:val="auto"/>
          <w:highlight w:val="none"/>
          <w:lang w:eastAsia="zh-CN"/>
        </w:rPr>
        <w:t>绥滨县中心城区</w:t>
      </w:r>
      <w:r>
        <w:rPr>
          <w:rFonts w:hint="eastAsia"/>
          <w:color w:val="auto"/>
          <w:highlight w:val="none"/>
        </w:rPr>
        <w:t>声环境质量昼间、夜间均符合各个功能区的标准要求，本次区划的各功能区达标情况如下表所示：</w:t>
      </w:r>
    </w:p>
    <w:p w14:paraId="2D30F3AE">
      <w:pPr>
        <w:pStyle w:val="31"/>
        <w:rPr>
          <w:rFonts w:hint="eastAsia"/>
          <w:color w:val="auto"/>
        </w:rPr>
      </w:pPr>
      <w:r>
        <w:rPr>
          <w:rFonts w:hint="eastAsia"/>
          <w:color w:val="auto"/>
        </w:rPr>
        <w:t>表4-</w:t>
      </w:r>
      <w:r>
        <w:rPr>
          <w:rFonts w:hint="eastAsia"/>
          <w:color w:val="auto"/>
          <w:lang w:val="en-US" w:eastAsia="zh-CN"/>
        </w:rPr>
        <w:t xml:space="preserve">9  </w:t>
      </w:r>
      <w:r>
        <w:rPr>
          <w:rFonts w:hint="eastAsia"/>
          <w:color w:val="auto"/>
        </w:rPr>
        <w:t>各功能区达标情况表</w:t>
      </w:r>
    </w:p>
    <w:tbl>
      <w:tblPr>
        <w:tblStyle w:val="19"/>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68"/>
        <w:gridCol w:w="929"/>
        <w:gridCol w:w="1228"/>
        <w:gridCol w:w="1387"/>
        <w:gridCol w:w="1372"/>
        <w:gridCol w:w="1721"/>
      </w:tblGrid>
      <w:tr w14:paraId="3BA80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rPr>
        <w:tc>
          <w:tcPr>
            <w:tcW w:w="1563" w:type="pct"/>
            <w:gridSpan w:val="2"/>
            <w:noWrap w:val="0"/>
            <w:vAlign w:val="center"/>
          </w:tcPr>
          <w:p w14:paraId="1DF086C0">
            <w:pPr>
              <w:pStyle w:val="30"/>
              <w:rPr>
                <w:rFonts w:hint="default" w:ascii="Times New Roman" w:hAnsi="Times New Roman" w:eastAsia="宋体" w:cs="Times New Roman"/>
                <w:color w:val="auto"/>
              </w:rPr>
            </w:pPr>
            <w:r>
              <w:rPr>
                <w:rFonts w:hint="default" w:ascii="Times New Roman" w:hAnsi="Times New Roman" w:eastAsia="宋体" w:cs="Times New Roman"/>
                <w:color w:val="auto"/>
              </w:rPr>
              <w:t>功能区</w:t>
            </w:r>
          </w:p>
        </w:tc>
        <w:tc>
          <w:tcPr>
            <w:tcW w:w="739" w:type="pct"/>
            <w:noWrap w:val="0"/>
            <w:vAlign w:val="center"/>
          </w:tcPr>
          <w:p w14:paraId="75ED2E79">
            <w:pPr>
              <w:pStyle w:val="30"/>
              <w:rPr>
                <w:rFonts w:hint="default" w:ascii="Times New Roman" w:hAnsi="Times New Roman" w:eastAsia="宋体" w:cs="Times New Roman"/>
                <w:color w:val="auto"/>
              </w:rPr>
            </w:pPr>
            <w:r>
              <w:rPr>
                <w:rFonts w:hint="default" w:ascii="Times New Roman" w:hAnsi="Times New Roman" w:eastAsia="宋体" w:cs="Times New Roman"/>
                <w:color w:val="auto"/>
              </w:rPr>
              <w:t>1类</w:t>
            </w:r>
          </w:p>
        </w:tc>
        <w:tc>
          <w:tcPr>
            <w:tcW w:w="835" w:type="pct"/>
            <w:noWrap w:val="0"/>
            <w:vAlign w:val="center"/>
          </w:tcPr>
          <w:p w14:paraId="3570E924">
            <w:pPr>
              <w:pStyle w:val="30"/>
              <w:rPr>
                <w:rFonts w:hint="default" w:ascii="Times New Roman" w:hAnsi="Times New Roman" w:eastAsia="宋体" w:cs="Times New Roman"/>
                <w:color w:val="auto"/>
              </w:rPr>
            </w:pPr>
            <w:r>
              <w:rPr>
                <w:rFonts w:hint="default" w:ascii="Times New Roman" w:hAnsi="Times New Roman" w:eastAsia="宋体" w:cs="Times New Roman"/>
                <w:color w:val="auto"/>
              </w:rPr>
              <w:t>2类</w:t>
            </w:r>
          </w:p>
        </w:tc>
        <w:tc>
          <w:tcPr>
            <w:tcW w:w="826" w:type="pct"/>
            <w:noWrap w:val="0"/>
            <w:vAlign w:val="center"/>
          </w:tcPr>
          <w:p w14:paraId="06FBEB87">
            <w:pPr>
              <w:pStyle w:val="30"/>
              <w:rPr>
                <w:rFonts w:hint="default" w:ascii="Times New Roman" w:hAnsi="Times New Roman" w:eastAsia="宋体" w:cs="Times New Roman"/>
                <w:color w:val="auto"/>
              </w:rPr>
            </w:pPr>
            <w:r>
              <w:rPr>
                <w:rFonts w:hint="default" w:ascii="Times New Roman" w:hAnsi="Times New Roman" w:eastAsia="宋体" w:cs="Times New Roman"/>
                <w:color w:val="auto"/>
              </w:rPr>
              <w:t>3类</w:t>
            </w:r>
          </w:p>
        </w:tc>
        <w:tc>
          <w:tcPr>
            <w:tcW w:w="1035" w:type="pct"/>
            <w:noWrap w:val="0"/>
            <w:vAlign w:val="center"/>
          </w:tcPr>
          <w:p w14:paraId="200FE533">
            <w:pPr>
              <w:pStyle w:val="30"/>
              <w:rPr>
                <w:rFonts w:hint="default" w:ascii="Times New Roman" w:hAnsi="Times New Roman" w:eastAsia="宋体" w:cs="Times New Roman"/>
                <w:color w:val="auto"/>
              </w:rPr>
            </w:pPr>
            <w:r>
              <w:rPr>
                <w:rFonts w:hint="default" w:ascii="Times New Roman" w:hAnsi="Times New Roman" w:eastAsia="宋体" w:cs="Times New Roman"/>
                <w:color w:val="auto"/>
              </w:rPr>
              <w:t>4a类</w:t>
            </w:r>
          </w:p>
        </w:tc>
      </w:tr>
      <w:tr w14:paraId="7E560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rPr>
        <w:tc>
          <w:tcPr>
            <w:tcW w:w="1563" w:type="pct"/>
            <w:gridSpan w:val="2"/>
            <w:noWrap w:val="0"/>
            <w:vAlign w:val="center"/>
          </w:tcPr>
          <w:p w14:paraId="01317E6E">
            <w:pPr>
              <w:spacing w:line="240" w:lineRule="auto"/>
              <w:ind w:firstLine="0" w:firstLineChars="0"/>
              <w:jc w:val="center"/>
              <w:rPr>
                <w:rFonts w:ascii="宋体" w:hAnsi="宋体" w:cs="宋体"/>
                <w:color w:val="auto"/>
                <w:sz w:val="21"/>
                <w:szCs w:val="21"/>
              </w:rPr>
            </w:pPr>
            <w:r>
              <w:rPr>
                <w:rFonts w:ascii="宋体" w:hAnsi="宋体" w:cs="宋体"/>
                <w:color w:val="auto"/>
                <w:spacing w:val="-3"/>
                <w:sz w:val="21"/>
                <w:szCs w:val="21"/>
              </w:rPr>
              <w:t>监测点位（个）</w:t>
            </w:r>
          </w:p>
        </w:tc>
        <w:tc>
          <w:tcPr>
            <w:tcW w:w="739" w:type="pct"/>
            <w:noWrap w:val="0"/>
            <w:vAlign w:val="center"/>
          </w:tcPr>
          <w:p w14:paraId="16DB99F4">
            <w:pPr>
              <w:spacing w:line="240" w:lineRule="auto"/>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64</w:t>
            </w:r>
          </w:p>
        </w:tc>
        <w:tc>
          <w:tcPr>
            <w:tcW w:w="835" w:type="pct"/>
            <w:noWrap w:val="0"/>
            <w:vAlign w:val="center"/>
          </w:tcPr>
          <w:p w14:paraId="02246D1D">
            <w:pPr>
              <w:spacing w:line="240" w:lineRule="auto"/>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32</w:t>
            </w:r>
          </w:p>
        </w:tc>
        <w:tc>
          <w:tcPr>
            <w:tcW w:w="826" w:type="pct"/>
            <w:noWrap w:val="0"/>
            <w:vAlign w:val="center"/>
          </w:tcPr>
          <w:p w14:paraId="3CB0CFDD">
            <w:pPr>
              <w:spacing w:line="240" w:lineRule="auto"/>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21</w:t>
            </w:r>
          </w:p>
        </w:tc>
        <w:tc>
          <w:tcPr>
            <w:tcW w:w="1035" w:type="pct"/>
            <w:noWrap w:val="0"/>
            <w:vAlign w:val="center"/>
          </w:tcPr>
          <w:p w14:paraId="2550B1BE">
            <w:pPr>
              <w:spacing w:line="240" w:lineRule="auto"/>
              <w:ind w:firstLine="0" w:firstLineChars="0"/>
              <w:jc w:val="center"/>
              <w:rPr>
                <w:rFonts w:hint="default" w:eastAsia="宋体"/>
                <w:color w:val="auto"/>
                <w:sz w:val="21"/>
                <w:szCs w:val="21"/>
                <w:highlight w:val="yellow"/>
                <w:lang w:val="en-US" w:eastAsia="zh-CN"/>
              </w:rPr>
            </w:pPr>
            <w:r>
              <w:rPr>
                <w:rFonts w:hint="eastAsia"/>
                <w:color w:val="auto"/>
                <w:sz w:val="21"/>
                <w:szCs w:val="21"/>
                <w:highlight w:val="none"/>
                <w:lang w:val="en-US" w:eastAsia="zh-CN"/>
              </w:rPr>
              <w:t>15</w:t>
            </w:r>
          </w:p>
        </w:tc>
      </w:tr>
      <w:tr w14:paraId="5F674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rPr>
        <w:tc>
          <w:tcPr>
            <w:tcW w:w="1004" w:type="pct"/>
            <w:vMerge w:val="restart"/>
            <w:noWrap w:val="0"/>
            <w:vAlign w:val="center"/>
          </w:tcPr>
          <w:p w14:paraId="33151DCA">
            <w:pPr>
              <w:spacing w:line="240" w:lineRule="auto"/>
              <w:ind w:firstLine="0" w:firstLineChars="0"/>
              <w:jc w:val="center"/>
              <w:rPr>
                <w:rFonts w:ascii="宋体" w:hAnsi="宋体" w:cs="宋体"/>
                <w:color w:val="auto"/>
                <w:sz w:val="21"/>
                <w:szCs w:val="21"/>
              </w:rPr>
            </w:pPr>
            <w:r>
              <w:rPr>
                <w:rFonts w:ascii="宋体" w:hAnsi="宋体" w:cs="宋体"/>
                <w:color w:val="auto"/>
                <w:spacing w:val="-3"/>
                <w:sz w:val="21"/>
                <w:szCs w:val="21"/>
              </w:rPr>
              <w:t>达标点位（个）</w:t>
            </w:r>
          </w:p>
        </w:tc>
        <w:tc>
          <w:tcPr>
            <w:tcW w:w="558" w:type="pct"/>
            <w:noWrap w:val="0"/>
            <w:vAlign w:val="center"/>
          </w:tcPr>
          <w:p w14:paraId="60459700">
            <w:pPr>
              <w:spacing w:line="240" w:lineRule="auto"/>
              <w:ind w:firstLine="0" w:firstLineChars="0"/>
              <w:jc w:val="center"/>
              <w:rPr>
                <w:rFonts w:ascii="宋体" w:hAnsi="宋体" w:cs="宋体"/>
                <w:color w:val="auto"/>
                <w:sz w:val="21"/>
                <w:szCs w:val="21"/>
              </w:rPr>
            </w:pPr>
            <w:r>
              <w:rPr>
                <w:rFonts w:ascii="宋体" w:hAnsi="宋体" w:cs="宋体"/>
                <w:color w:val="auto"/>
                <w:spacing w:val="-2"/>
                <w:sz w:val="21"/>
                <w:szCs w:val="21"/>
              </w:rPr>
              <w:t>昼间</w:t>
            </w:r>
          </w:p>
        </w:tc>
        <w:tc>
          <w:tcPr>
            <w:tcW w:w="1325" w:type="dxa"/>
            <w:noWrap w:val="0"/>
            <w:vAlign w:val="center"/>
          </w:tcPr>
          <w:p w14:paraId="18560ADE">
            <w:pPr>
              <w:spacing w:line="240" w:lineRule="auto"/>
              <w:ind w:firstLine="0" w:firstLineChars="0"/>
              <w:jc w:val="center"/>
              <w:rPr>
                <w:color w:val="auto"/>
                <w:sz w:val="21"/>
                <w:szCs w:val="21"/>
                <w:highlight w:val="none"/>
              </w:rPr>
            </w:pPr>
            <w:r>
              <w:rPr>
                <w:rFonts w:hint="eastAsia"/>
                <w:color w:val="auto"/>
                <w:sz w:val="21"/>
                <w:szCs w:val="21"/>
                <w:highlight w:val="none"/>
                <w:lang w:val="en-US" w:eastAsia="zh-CN"/>
              </w:rPr>
              <w:t>64</w:t>
            </w:r>
          </w:p>
        </w:tc>
        <w:tc>
          <w:tcPr>
            <w:tcW w:w="1497" w:type="dxa"/>
            <w:noWrap w:val="0"/>
            <w:vAlign w:val="center"/>
          </w:tcPr>
          <w:p w14:paraId="7813D822">
            <w:pPr>
              <w:spacing w:line="240" w:lineRule="auto"/>
              <w:ind w:firstLine="0" w:firstLineChars="0"/>
              <w:jc w:val="center"/>
              <w:rPr>
                <w:rFonts w:hint="default"/>
                <w:color w:val="auto"/>
                <w:sz w:val="21"/>
                <w:szCs w:val="21"/>
                <w:highlight w:val="none"/>
                <w:lang w:val="en-US"/>
              </w:rPr>
            </w:pPr>
            <w:r>
              <w:rPr>
                <w:rFonts w:hint="eastAsia"/>
                <w:color w:val="auto"/>
                <w:sz w:val="21"/>
                <w:szCs w:val="21"/>
                <w:highlight w:val="none"/>
                <w:lang w:val="en-US" w:eastAsia="zh-CN"/>
              </w:rPr>
              <w:t>32</w:t>
            </w:r>
          </w:p>
        </w:tc>
        <w:tc>
          <w:tcPr>
            <w:tcW w:w="1481" w:type="dxa"/>
            <w:noWrap w:val="0"/>
            <w:vAlign w:val="center"/>
          </w:tcPr>
          <w:p w14:paraId="7D6A4F4F">
            <w:pPr>
              <w:spacing w:line="240" w:lineRule="auto"/>
              <w:ind w:firstLine="0" w:firstLineChars="0"/>
              <w:jc w:val="center"/>
              <w:rPr>
                <w:color w:val="auto"/>
                <w:sz w:val="21"/>
                <w:szCs w:val="21"/>
                <w:highlight w:val="none"/>
              </w:rPr>
            </w:pPr>
            <w:r>
              <w:rPr>
                <w:rFonts w:hint="eastAsia"/>
                <w:color w:val="auto"/>
                <w:sz w:val="21"/>
                <w:szCs w:val="21"/>
                <w:highlight w:val="none"/>
                <w:lang w:val="en-US" w:eastAsia="zh-CN"/>
              </w:rPr>
              <w:t>21</w:t>
            </w:r>
          </w:p>
        </w:tc>
        <w:tc>
          <w:tcPr>
            <w:tcW w:w="1856" w:type="dxa"/>
            <w:noWrap w:val="0"/>
            <w:vAlign w:val="center"/>
          </w:tcPr>
          <w:p w14:paraId="65778BBD">
            <w:pPr>
              <w:spacing w:line="240" w:lineRule="auto"/>
              <w:ind w:firstLine="0" w:firstLineChars="0"/>
              <w:jc w:val="center"/>
              <w:rPr>
                <w:color w:val="auto"/>
                <w:sz w:val="21"/>
                <w:szCs w:val="21"/>
                <w:highlight w:val="yellow"/>
              </w:rPr>
            </w:pPr>
            <w:r>
              <w:rPr>
                <w:rFonts w:hint="eastAsia"/>
                <w:color w:val="auto"/>
                <w:sz w:val="21"/>
                <w:szCs w:val="21"/>
                <w:highlight w:val="none"/>
                <w:lang w:val="en-US" w:eastAsia="zh-CN"/>
              </w:rPr>
              <w:t>15</w:t>
            </w:r>
          </w:p>
        </w:tc>
      </w:tr>
      <w:tr w14:paraId="3503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rPr>
        <w:tc>
          <w:tcPr>
            <w:tcW w:w="1004" w:type="pct"/>
            <w:vMerge w:val="continue"/>
            <w:noWrap w:val="0"/>
            <w:vAlign w:val="center"/>
          </w:tcPr>
          <w:p w14:paraId="7EB53050">
            <w:pPr>
              <w:spacing w:line="240" w:lineRule="auto"/>
              <w:ind w:firstLine="0" w:firstLineChars="0"/>
              <w:jc w:val="center"/>
              <w:rPr>
                <w:rFonts w:ascii="宋体"/>
                <w:color w:val="auto"/>
                <w:sz w:val="21"/>
              </w:rPr>
            </w:pPr>
          </w:p>
        </w:tc>
        <w:tc>
          <w:tcPr>
            <w:tcW w:w="558" w:type="pct"/>
            <w:noWrap w:val="0"/>
            <w:vAlign w:val="center"/>
          </w:tcPr>
          <w:p w14:paraId="05FF49FC">
            <w:pPr>
              <w:spacing w:line="240" w:lineRule="auto"/>
              <w:ind w:firstLine="0" w:firstLineChars="0"/>
              <w:jc w:val="center"/>
              <w:rPr>
                <w:rFonts w:ascii="宋体" w:hAnsi="宋体" w:cs="宋体"/>
                <w:color w:val="auto"/>
                <w:sz w:val="21"/>
                <w:szCs w:val="21"/>
              </w:rPr>
            </w:pPr>
            <w:r>
              <w:rPr>
                <w:rFonts w:ascii="宋体" w:hAnsi="宋体" w:cs="宋体"/>
                <w:color w:val="auto"/>
                <w:spacing w:val="-3"/>
                <w:sz w:val="21"/>
                <w:szCs w:val="21"/>
              </w:rPr>
              <w:t>夜间</w:t>
            </w:r>
          </w:p>
        </w:tc>
        <w:tc>
          <w:tcPr>
            <w:tcW w:w="1325" w:type="dxa"/>
            <w:noWrap w:val="0"/>
            <w:vAlign w:val="center"/>
          </w:tcPr>
          <w:p w14:paraId="7F0B696A">
            <w:pPr>
              <w:spacing w:line="240" w:lineRule="auto"/>
              <w:ind w:firstLine="0" w:firstLineChars="0"/>
              <w:jc w:val="center"/>
              <w:rPr>
                <w:color w:val="auto"/>
                <w:sz w:val="21"/>
                <w:szCs w:val="21"/>
                <w:highlight w:val="none"/>
              </w:rPr>
            </w:pPr>
            <w:r>
              <w:rPr>
                <w:rFonts w:hint="eastAsia"/>
                <w:color w:val="auto"/>
                <w:sz w:val="21"/>
                <w:szCs w:val="21"/>
                <w:highlight w:val="none"/>
                <w:lang w:val="en-US" w:eastAsia="zh-CN"/>
              </w:rPr>
              <w:t>64</w:t>
            </w:r>
          </w:p>
        </w:tc>
        <w:tc>
          <w:tcPr>
            <w:tcW w:w="1497" w:type="dxa"/>
            <w:noWrap w:val="0"/>
            <w:vAlign w:val="center"/>
          </w:tcPr>
          <w:p w14:paraId="39FD0A1C">
            <w:pPr>
              <w:spacing w:line="240" w:lineRule="auto"/>
              <w:ind w:firstLine="0" w:firstLineChars="0"/>
              <w:jc w:val="center"/>
              <w:rPr>
                <w:rFonts w:hint="default"/>
                <w:color w:val="auto"/>
                <w:sz w:val="21"/>
                <w:szCs w:val="21"/>
                <w:highlight w:val="none"/>
                <w:lang w:val="en-US"/>
              </w:rPr>
            </w:pPr>
            <w:r>
              <w:rPr>
                <w:rFonts w:hint="eastAsia"/>
                <w:color w:val="auto"/>
                <w:sz w:val="21"/>
                <w:szCs w:val="21"/>
                <w:highlight w:val="none"/>
                <w:lang w:val="en-US" w:eastAsia="zh-CN"/>
              </w:rPr>
              <w:t>32</w:t>
            </w:r>
          </w:p>
        </w:tc>
        <w:tc>
          <w:tcPr>
            <w:tcW w:w="1481" w:type="dxa"/>
            <w:noWrap w:val="0"/>
            <w:vAlign w:val="center"/>
          </w:tcPr>
          <w:p w14:paraId="69DD60FE">
            <w:pPr>
              <w:spacing w:line="240" w:lineRule="auto"/>
              <w:ind w:firstLine="0" w:firstLineChars="0"/>
              <w:jc w:val="center"/>
              <w:rPr>
                <w:color w:val="auto"/>
                <w:sz w:val="21"/>
                <w:szCs w:val="21"/>
                <w:highlight w:val="none"/>
              </w:rPr>
            </w:pPr>
            <w:r>
              <w:rPr>
                <w:rFonts w:hint="eastAsia"/>
                <w:color w:val="auto"/>
                <w:sz w:val="21"/>
                <w:szCs w:val="21"/>
                <w:highlight w:val="none"/>
                <w:lang w:val="en-US" w:eastAsia="zh-CN"/>
              </w:rPr>
              <w:t>21</w:t>
            </w:r>
          </w:p>
        </w:tc>
        <w:tc>
          <w:tcPr>
            <w:tcW w:w="1856" w:type="dxa"/>
            <w:noWrap w:val="0"/>
            <w:vAlign w:val="center"/>
          </w:tcPr>
          <w:p w14:paraId="3B9B60B3">
            <w:pPr>
              <w:spacing w:line="240" w:lineRule="auto"/>
              <w:ind w:firstLine="0" w:firstLineChars="0"/>
              <w:jc w:val="center"/>
              <w:rPr>
                <w:color w:val="auto"/>
                <w:sz w:val="21"/>
                <w:szCs w:val="21"/>
                <w:highlight w:val="yellow"/>
              </w:rPr>
            </w:pPr>
            <w:r>
              <w:rPr>
                <w:rFonts w:hint="eastAsia"/>
                <w:color w:val="auto"/>
                <w:sz w:val="21"/>
                <w:szCs w:val="21"/>
                <w:highlight w:val="none"/>
                <w:lang w:val="en-US" w:eastAsia="zh-CN"/>
              </w:rPr>
              <w:t>15</w:t>
            </w:r>
          </w:p>
        </w:tc>
      </w:tr>
      <w:tr w14:paraId="18F09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rPr>
        <w:tc>
          <w:tcPr>
            <w:tcW w:w="1004" w:type="pct"/>
            <w:vMerge w:val="restart"/>
            <w:noWrap w:val="0"/>
            <w:vAlign w:val="center"/>
          </w:tcPr>
          <w:p w14:paraId="21D6F30C">
            <w:pPr>
              <w:spacing w:line="240" w:lineRule="auto"/>
              <w:ind w:firstLine="0" w:firstLineChars="0"/>
              <w:jc w:val="center"/>
              <w:rPr>
                <w:rFonts w:ascii="宋体" w:hAnsi="宋体" w:cs="宋体"/>
                <w:color w:val="auto"/>
                <w:sz w:val="21"/>
                <w:szCs w:val="21"/>
              </w:rPr>
            </w:pPr>
            <w:r>
              <w:rPr>
                <w:rFonts w:ascii="宋体" w:hAnsi="宋体" w:cs="宋体"/>
                <w:color w:val="auto"/>
                <w:spacing w:val="-2"/>
                <w:sz w:val="21"/>
                <w:szCs w:val="21"/>
              </w:rPr>
              <w:t>达标率（</w:t>
            </w:r>
            <w:r>
              <w:rPr>
                <w:rFonts w:eastAsia="Times New Roman"/>
                <w:color w:val="auto"/>
                <w:spacing w:val="-2"/>
                <w:sz w:val="21"/>
                <w:szCs w:val="21"/>
              </w:rPr>
              <w:t>%</w:t>
            </w:r>
            <w:r>
              <w:rPr>
                <w:rFonts w:ascii="宋体" w:hAnsi="宋体" w:cs="宋体"/>
                <w:color w:val="auto"/>
                <w:spacing w:val="-2"/>
                <w:sz w:val="21"/>
                <w:szCs w:val="21"/>
              </w:rPr>
              <w:t>）</w:t>
            </w:r>
          </w:p>
        </w:tc>
        <w:tc>
          <w:tcPr>
            <w:tcW w:w="558" w:type="pct"/>
            <w:noWrap w:val="0"/>
            <w:vAlign w:val="center"/>
          </w:tcPr>
          <w:p w14:paraId="4D8FABE6">
            <w:pPr>
              <w:spacing w:line="240" w:lineRule="auto"/>
              <w:ind w:firstLine="0" w:firstLineChars="0"/>
              <w:jc w:val="center"/>
              <w:rPr>
                <w:rFonts w:ascii="宋体" w:hAnsi="宋体" w:cs="宋体"/>
                <w:color w:val="auto"/>
                <w:sz w:val="21"/>
                <w:szCs w:val="21"/>
              </w:rPr>
            </w:pPr>
            <w:r>
              <w:rPr>
                <w:rFonts w:ascii="宋体" w:hAnsi="宋体" w:cs="宋体"/>
                <w:color w:val="auto"/>
                <w:spacing w:val="-2"/>
                <w:sz w:val="21"/>
                <w:szCs w:val="21"/>
              </w:rPr>
              <w:t>昼间</w:t>
            </w:r>
          </w:p>
        </w:tc>
        <w:tc>
          <w:tcPr>
            <w:tcW w:w="1325" w:type="dxa"/>
            <w:noWrap w:val="0"/>
            <w:vAlign w:val="center"/>
          </w:tcPr>
          <w:p w14:paraId="096216F4">
            <w:pPr>
              <w:spacing w:line="240" w:lineRule="auto"/>
              <w:ind w:firstLine="0" w:firstLineChars="0"/>
              <w:jc w:val="center"/>
              <w:rPr>
                <w:color w:val="auto"/>
                <w:sz w:val="21"/>
                <w:szCs w:val="21"/>
                <w:highlight w:val="none"/>
              </w:rPr>
            </w:pPr>
            <w:r>
              <w:rPr>
                <w:rFonts w:hint="eastAsia"/>
                <w:color w:val="auto"/>
                <w:sz w:val="21"/>
                <w:szCs w:val="21"/>
                <w:highlight w:val="none"/>
              </w:rPr>
              <w:t>100</w:t>
            </w:r>
          </w:p>
        </w:tc>
        <w:tc>
          <w:tcPr>
            <w:tcW w:w="1497" w:type="dxa"/>
            <w:noWrap w:val="0"/>
            <w:vAlign w:val="center"/>
          </w:tcPr>
          <w:p w14:paraId="30938FD7">
            <w:pPr>
              <w:spacing w:line="240" w:lineRule="auto"/>
              <w:ind w:firstLine="0" w:firstLineChars="0"/>
              <w:jc w:val="center"/>
              <w:rPr>
                <w:color w:val="auto"/>
                <w:sz w:val="21"/>
                <w:szCs w:val="21"/>
                <w:highlight w:val="none"/>
              </w:rPr>
            </w:pPr>
            <w:r>
              <w:rPr>
                <w:rFonts w:hint="eastAsia"/>
                <w:color w:val="auto"/>
                <w:sz w:val="21"/>
                <w:szCs w:val="21"/>
                <w:highlight w:val="none"/>
              </w:rPr>
              <w:t>100</w:t>
            </w:r>
          </w:p>
        </w:tc>
        <w:tc>
          <w:tcPr>
            <w:tcW w:w="826" w:type="pct"/>
            <w:noWrap w:val="0"/>
            <w:vAlign w:val="center"/>
          </w:tcPr>
          <w:p w14:paraId="2249E2CB">
            <w:pPr>
              <w:spacing w:line="240" w:lineRule="auto"/>
              <w:ind w:firstLine="0" w:firstLineChars="0"/>
              <w:jc w:val="center"/>
              <w:rPr>
                <w:color w:val="auto"/>
                <w:sz w:val="21"/>
                <w:szCs w:val="21"/>
                <w:highlight w:val="none"/>
              </w:rPr>
            </w:pPr>
            <w:r>
              <w:rPr>
                <w:rFonts w:hint="eastAsia"/>
                <w:color w:val="auto"/>
                <w:sz w:val="21"/>
                <w:szCs w:val="21"/>
                <w:highlight w:val="none"/>
              </w:rPr>
              <w:t>100</w:t>
            </w:r>
          </w:p>
        </w:tc>
        <w:tc>
          <w:tcPr>
            <w:tcW w:w="1856" w:type="dxa"/>
            <w:noWrap w:val="0"/>
            <w:vAlign w:val="center"/>
          </w:tcPr>
          <w:p w14:paraId="3AC208F7">
            <w:pPr>
              <w:spacing w:line="240" w:lineRule="auto"/>
              <w:ind w:firstLine="0" w:firstLineChars="0"/>
              <w:jc w:val="center"/>
              <w:rPr>
                <w:color w:val="auto"/>
                <w:sz w:val="21"/>
                <w:szCs w:val="21"/>
                <w:highlight w:val="none"/>
              </w:rPr>
            </w:pPr>
            <w:r>
              <w:rPr>
                <w:rFonts w:hint="eastAsia"/>
                <w:color w:val="auto"/>
                <w:sz w:val="21"/>
                <w:szCs w:val="21"/>
                <w:highlight w:val="none"/>
              </w:rPr>
              <w:t>100</w:t>
            </w:r>
          </w:p>
        </w:tc>
      </w:tr>
      <w:tr w14:paraId="3003C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rPr>
        <w:tc>
          <w:tcPr>
            <w:tcW w:w="1004" w:type="pct"/>
            <w:vMerge w:val="continue"/>
            <w:noWrap w:val="0"/>
            <w:vAlign w:val="center"/>
          </w:tcPr>
          <w:p w14:paraId="62E9A6D0">
            <w:pPr>
              <w:spacing w:line="240" w:lineRule="auto"/>
              <w:ind w:firstLine="0" w:firstLineChars="0"/>
              <w:jc w:val="center"/>
              <w:rPr>
                <w:rFonts w:ascii="宋体"/>
                <w:color w:val="auto"/>
                <w:sz w:val="21"/>
              </w:rPr>
            </w:pPr>
          </w:p>
        </w:tc>
        <w:tc>
          <w:tcPr>
            <w:tcW w:w="558" w:type="pct"/>
            <w:noWrap w:val="0"/>
            <w:vAlign w:val="center"/>
          </w:tcPr>
          <w:p w14:paraId="016ACA07">
            <w:pPr>
              <w:spacing w:line="240" w:lineRule="auto"/>
              <w:ind w:firstLine="0" w:firstLineChars="0"/>
              <w:jc w:val="center"/>
              <w:rPr>
                <w:rFonts w:ascii="宋体" w:hAnsi="宋体" w:cs="宋体"/>
                <w:color w:val="auto"/>
                <w:sz w:val="21"/>
                <w:szCs w:val="21"/>
              </w:rPr>
            </w:pPr>
            <w:r>
              <w:rPr>
                <w:rFonts w:ascii="宋体" w:hAnsi="宋体" w:cs="宋体"/>
                <w:color w:val="auto"/>
                <w:spacing w:val="-3"/>
                <w:sz w:val="21"/>
                <w:szCs w:val="21"/>
              </w:rPr>
              <w:t>夜间</w:t>
            </w:r>
          </w:p>
        </w:tc>
        <w:tc>
          <w:tcPr>
            <w:tcW w:w="1325" w:type="dxa"/>
            <w:noWrap w:val="0"/>
            <w:vAlign w:val="center"/>
          </w:tcPr>
          <w:p w14:paraId="3CB8369F">
            <w:pPr>
              <w:spacing w:line="240" w:lineRule="auto"/>
              <w:ind w:firstLine="0" w:firstLineChars="0"/>
              <w:jc w:val="center"/>
              <w:rPr>
                <w:color w:val="auto"/>
                <w:sz w:val="21"/>
                <w:szCs w:val="21"/>
                <w:highlight w:val="none"/>
              </w:rPr>
            </w:pPr>
            <w:r>
              <w:rPr>
                <w:rFonts w:hint="eastAsia"/>
                <w:color w:val="auto"/>
                <w:sz w:val="21"/>
                <w:szCs w:val="21"/>
                <w:highlight w:val="none"/>
              </w:rPr>
              <w:t>100</w:t>
            </w:r>
          </w:p>
        </w:tc>
        <w:tc>
          <w:tcPr>
            <w:tcW w:w="1497" w:type="dxa"/>
            <w:noWrap w:val="0"/>
            <w:vAlign w:val="center"/>
          </w:tcPr>
          <w:p w14:paraId="5E7096E3">
            <w:pPr>
              <w:spacing w:line="240" w:lineRule="auto"/>
              <w:ind w:firstLine="0" w:firstLineChars="0"/>
              <w:jc w:val="center"/>
              <w:rPr>
                <w:color w:val="auto"/>
                <w:sz w:val="21"/>
                <w:szCs w:val="21"/>
                <w:highlight w:val="none"/>
              </w:rPr>
            </w:pPr>
            <w:r>
              <w:rPr>
                <w:rFonts w:hint="eastAsia"/>
                <w:color w:val="auto"/>
                <w:sz w:val="21"/>
                <w:szCs w:val="21"/>
                <w:highlight w:val="none"/>
              </w:rPr>
              <w:t>100</w:t>
            </w:r>
          </w:p>
        </w:tc>
        <w:tc>
          <w:tcPr>
            <w:tcW w:w="826" w:type="pct"/>
            <w:noWrap w:val="0"/>
            <w:vAlign w:val="center"/>
          </w:tcPr>
          <w:p w14:paraId="4A3B75C0">
            <w:pPr>
              <w:spacing w:line="240" w:lineRule="auto"/>
              <w:ind w:firstLine="0" w:firstLineChars="0"/>
              <w:jc w:val="center"/>
              <w:rPr>
                <w:color w:val="auto"/>
                <w:sz w:val="21"/>
                <w:szCs w:val="21"/>
                <w:highlight w:val="none"/>
              </w:rPr>
            </w:pPr>
            <w:r>
              <w:rPr>
                <w:rFonts w:hint="eastAsia"/>
                <w:color w:val="auto"/>
                <w:sz w:val="21"/>
                <w:szCs w:val="21"/>
                <w:highlight w:val="none"/>
              </w:rPr>
              <w:t>100</w:t>
            </w:r>
          </w:p>
        </w:tc>
        <w:tc>
          <w:tcPr>
            <w:tcW w:w="1856" w:type="dxa"/>
            <w:noWrap w:val="0"/>
            <w:vAlign w:val="center"/>
          </w:tcPr>
          <w:p w14:paraId="6AE280EA">
            <w:pPr>
              <w:spacing w:line="240" w:lineRule="auto"/>
              <w:ind w:firstLine="0" w:firstLineChars="0"/>
              <w:jc w:val="center"/>
              <w:rPr>
                <w:color w:val="auto"/>
                <w:sz w:val="21"/>
                <w:szCs w:val="21"/>
                <w:highlight w:val="none"/>
              </w:rPr>
            </w:pPr>
            <w:r>
              <w:rPr>
                <w:rFonts w:hint="eastAsia"/>
                <w:color w:val="auto"/>
                <w:sz w:val="21"/>
                <w:szCs w:val="21"/>
                <w:highlight w:val="none"/>
              </w:rPr>
              <w:t>100</w:t>
            </w:r>
          </w:p>
        </w:tc>
      </w:tr>
    </w:tbl>
    <w:p w14:paraId="69032816">
      <w:pPr>
        <w:pStyle w:val="3"/>
        <w:keepNext/>
        <w:keepLines/>
        <w:rPr>
          <w:color w:val="000000" w:themeColor="text1"/>
          <w:kern w:val="2"/>
          <w14:textFill>
            <w14:solidFill>
              <w14:schemeClr w14:val="tx1"/>
            </w14:solidFill>
          </w14:textFill>
        </w:rPr>
      </w:pPr>
      <w:bookmarkStart w:id="141" w:name="_Toc16280"/>
      <w:bookmarkStart w:id="142" w:name="_Toc27049"/>
      <w:bookmarkStart w:id="143" w:name="_Toc8438"/>
      <w:bookmarkStart w:id="144" w:name="_Toc3424"/>
      <w:r>
        <w:rPr>
          <w:color w:val="000000" w:themeColor="text1"/>
          <w:kern w:val="2"/>
          <w14:textFill>
            <w14:solidFill>
              <w14:schemeClr w14:val="tx1"/>
            </w14:solidFill>
          </w14:textFill>
        </w:rPr>
        <w:t>4.5</w:t>
      </w:r>
      <w:r>
        <w:rPr>
          <w:rFonts w:hint="eastAsia"/>
          <w:color w:val="000000" w:themeColor="text1"/>
          <w:kern w:val="2"/>
          <w:lang w:val="en-US" w:eastAsia="zh-CN"/>
          <w14:textFill>
            <w14:solidFill>
              <w14:schemeClr w14:val="tx1"/>
            </w14:solidFill>
          </w14:textFill>
        </w:rPr>
        <w:t xml:space="preserve"> </w:t>
      </w:r>
      <w:r>
        <w:rPr>
          <w:color w:val="000000" w:themeColor="text1"/>
          <w:kern w:val="2"/>
          <w14:textFill>
            <w14:solidFill>
              <w14:schemeClr w14:val="tx1"/>
            </w14:solidFill>
          </w14:textFill>
        </w:rPr>
        <w:t>主要存在的问题</w:t>
      </w:r>
      <w:bookmarkEnd w:id="141"/>
      <w:bookmarkEnd w:id="142"/>
      <w:bookmarkEnd w:id="143"/>
      <w:bookmarkEnd w:id="144"/>
    </w:p>
    <w:p w14:paraId="386C767D">
      <w:pPr>
        <w:ind w:firstLine="471"/>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1）监管部门职责界定不清</w:t>
      </w:r>
    </w:p>
    <w:p w14:paraId="5EFCA8BA">
      <w:pPr>
        <w:ind w:firstLine="471"/>
        <w:rPr>
          <w:rFonts w:hint="eastAsia" w:eastAsia="宋体"/>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噪声污染防治涉及多个政府部门，部分地方部门对噪声监管重视程度不足，存在将噪声监管视为生态环境部门专属责任的认识，协同监管机制尚不健全。</w:t>
      </w:r>
    </w:p>
    <w:p w14:paraId="6248FCF8">
      <w:pPr>
        <w:ind w:firstLine="471"/>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2）全过程防治制度体系尚不完善</w:t>
      </w:r>
    </w:p>
    <w:p w14:paraId="6781C47E">
      <w:pPr>
        <w:ind w:firstLine="471"/>
        <w:rPr>
          <w:rFonts w:hint="eastAsia" w:eastAsia="宋体"/>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当前噪声污染防治仍侧重于末端治理，源头预防的制度建设相对薄弱。例如，在交通设施规划设计与建筑施工过程中，对噪声问题的考量不足。</w:t>
      </w:r>
    </w:p>
    <w:p w14:paraId="433FA679">
      <w:pPr>
        <w:ind w:firstLine="471"/>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3）综合监管能力</w:t>
      </w:r>
      <w:r>
        <w:rPr>
          <w:rFonts w:hint="eastAsia" w:cs="Times New Roman"/>
          <w:color w:val="000000" w:themeColor="text1"/>
          <w:lang w:val="en-US" w:eastAsia="zh-CN"/>
          <w14:textFill>
            <w14:solidFill>
              <w14:schemeClr w14:val="tx1"/>
            </w14:solidFill>
          </w14:textFill>
        </w:rPr>
        <w:t>亟须加强</w:t>
      </w:r>
    </w:p>
    <w:p w14:paraId="68825C1E">
      <w:pPr>
        <w:ind w:firstLine="471"/>
        <w:rPr>
          <w:rFonts w:hint="eastAsia" w:eastAsia="宋体"/>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在科技支撑方面，主要依赖于人工防控，技术防控手段应用不足，施工工地在线监测尚未普及。同时，噪声污染防治工作在重视程度及资源投入等方面，与公众期望存在一定差距。</w:t>
      </w:r>
    </w:p>
    <w:p w14:paraId="25FA758E">
      <w:pPr>
        <w:ind w:firstLine="471"/>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4）社会共治潜力尚未充分发掘</w:t>
      </w:r>
    </w:p>
    <w:p w14:paraId="0AAACD12">
      <w:pPr>
        <w:ind w:firstLine="471"/>
        <w:rPr>
          <w:rFonts w:hint="eastAsia" w:eastAsia="宋体"/>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噪声问题具有普遍性与多样性特征，其中社会生活噪声占比最高，但目前解决噪声问题过度依赖政府干预，依托社会力量与基层力量解决噪声问题的实践经验较为匮乏。</w:t>
      </w:r>
    </w:p>
    <w:p w14:paraId="530332C8">
      <w:pPr>
        <w:ind w:firstLine="471"/>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5）监测取证面临较大挑战</w:t>
      </w:r>
    </w:p>
    <w:p w14:paraId="5EC834D2">
      <w:pPr>
        <w:ind w:firstLine="471"/>
        <w:rPr>
          <w:rFonts w:hint="eastAsia"/>
          <w:color w:val="000000" w:themeColor="text1"/>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噪声污染具有瞬时性、局部性及分散性等显著特征，即便接到公众举报，取证工作亦时常面临困难，致使诸多投诉无果而终，或虽暂时解决，却易反复发生。</w:t>
      </w:r>
    </w:p>
    <w:p w14:paraId="6809FFBD">
      <w:pPr>
        <w:ind w:firstLine="471"/>
        <w:rPr>
          <w:rFonts w:hint="eastAsia"/>
          <w:color w:val="000000" w:themeColor="text1"/>
          <w14:textFill>
            <w14:solidFill>
              <w14:schemeClr w14:val="tx1"/>
            </w14:solidFill>
          </w14:textFill>
        </w:rPr>
        <w:sectPr>
          <w:pgSz w:w="11906" w:h="16838"/>
          <w:pgMar w:top="1440" w:right="1803" w:bottom="1440" w:left="1803" w:header="794" w:footer="992" w:gutter="0"/>
          <w:pgBorders>
            <w:top w:val="none" w:sz="0" w:space="0"/>
            <w:left w:val="none" w:sz="0" w:space="0"/>
            <w:bottom w:val="none" w:sz="0" w:space="0"/>
            <w:right w:val="none" w:sz="0" w:space="0"/>
          </w:pgBorders>
          <w:pgNumType w:fmt="numberInDash"/>
          <w:cols w:space="720" w:num="1"/>
          <w:rtlGutter w:val="0"/>
          <w:docGrid w:type="linesAndChars" w:linePitch="347" w:charSpace="-874"/>
        </w:sectPr>
      </w:pPr>
    </w:p>
    <w:p w14:paraId="302EC5C1">
      <w:pPr>
        <w:pStyle w:val="2"/>
        <w:keepNext/>
        <w:keepLines/>
        <w:jc w:val="center"/>
        <w:rPr>
          <w:rFonts w:hint="eastAsia"/>
          <w:color w:val="000000" w:themeColor="text1"/>
          <w14:textFill>
            <w14:solidFill>
              <w14:schemeClr w14:val="tx1"/>
            </w14:solidFill>
          </w14:textFill>
        </w:rPr>
      </w:pPr>
      <w:bookmarkStart w:id="145" w:name="_Toc16571"/>
      <w:bookmarkStart w:id="146" w:name="_Toc11633"/>
      <w:bookmarkStart w:id="147" w:name="_Toc15238"/>
      <w:bookmarkStart w:id="148" w:name="_Toc12450"/>
      <w:r>
        <w:rPr>
          <w:rFonts w:hint="eastAsia"/>
          <w:color w:val="000000" w:themeColor="text1"/>
          <w14:textFill>
            <w14:solidFill>
              <w14:schemeClr w14:val="tx1"/>
            </w14:solidFill>
          </w14:textFill>
        </w:rPr>
        <w:t>5</w:t>
      </w:r>
      <w:r>
        <w:rPr>
          <w:rFonts w:hint="eastAsia"/>
          <w:color w:val="000000" w:themeColor="text1"/>
          <w:lang w:val="en-US" w:eastAsia="zh-CN"/>
          <w14:textFill>
            <w14:solidFill>
              <w14:schemeClr w14:val="tx1"/>
            </w14:solidFill>
          </w14:textFill>
        </w:rPr>
        <w:t xml:space="preserve"> 区</w:t>
      </w:r>
      <w:r>
        <w:rPr>
          <w:rFonts w:hint="eastAsia"/>
          <w:color w:val="000000" w:themeColor="text1"/>
          <w14:textFill>
            <w14:solidFill>
              <w14:schemeClr w14:val="tx1"/>
            </w14:solidFill>
          </w14:textFill>
        </w:rPr>
        <w:t>划可行性分析</w:t>
      </w:r>
      <w:bookmarkEnd w:id="145"/>
      <w:bookmarkEnd w:id="146"/>
      <w:bookmarkEnd w:id="147"/>
      <w:bookmarkEnd w:id="148"/>
    </w:p>
    <w:p w14:paraId="1E018482">
      <w:pPr>
        <w:pStyle w:val="3"/>
        <w:keepNext/>
        <w:keepLines/>
        <w:rPr>
          <w:color w:val="000000" w:themeColor="text1"/>
          <w:kern w:val="2"/>
          <w14:textFill>
            <w14:solidFill>
              <w14:schemeClr w14:val="tx1"/>
            </w14:solidFill>
          </w14:textFill>
        </w:rPr>
      </w:pPr>
      <w:bookmarkStart w:id="149" w:name="_Toc16342"/>
      <w:bookmarkStart w:id="150" w:name="_Toc3360"/>
      <w:bookmarkStart w:id="151" w:name="_Toc1724"/>
      <w:bookmarkStart w:id="152" w:name="_Toc16718"/>
      <w:r>
        <w:rPr>
          <w:color w:val="000000" w:themeColor="text1"/>
          <w:kern w:val="2"/>
          <w14:textFill>
            <w14:solidFill>
              <w14:schemeClr w14:val="tx1"/>
            </w14:solidFill>
          </w14:textFill>
        </w:rPr>
        <w:t>5.1</w:t>
      </w:r>
      <w:r>
        <w:rPr>
          <w:rFonts w:hint="eastAsia"/>
          <w:color w:val="000000" w:themeColor="text1"/>
          <w:kern w:val="2"/>
          <w:lang w:val="en-US" w:eastAsia="zh-CN"/>
          <w14:textFill>
            <w14:solidFill>
              <w14:schemeClr w14:val="tx1"/>
            </w14:solidFill>
          </w14:textFill>
        </w:rPr>
        <w:t xml:space="preserve"> </w:t>
      </w:r>
      <w:r>
        <w:rPr>
          <w:color w:val="000000" w:themeColor="text1"/>
          <w:kern w:val="2"/>
          <w14:textFill>
            <w14:solidFill>
              <w14:schemeClr w14:val="tx1"/>
            </w14:solidFill>
          </w14:textFill>
        </w:rPr>
        <w:t>声环境质量现状</w:t>
      </w:r>
      <w:bookmarkEnd w:id="149"/>
      <w:bookmarkEnd w:id="150"/>
      <w:bookmarkEnd w:id="151"/>
      <w:bookmarkEnd w:id="152"/>
    </w:p>
    <w:p w14:paraId="49144029">
      <w:pPr>
        <w:bidi w:val="0"/>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绥滨县中心城区</w:t>
      </w:r>
      <w:r>
        <w:rPr>
          <w:rFonts w:hint="eastAsia"/>
          <w:color w:val="000000" w:themeColor="text1"/>
          <w:lang w:val="en-US" w:eastAsia="zh-CN"/>
          <w14:textFill>
            <w14:solidFill>
              <w14:schemeClr w14:val="tx1"/>
            </w14:solidFill>
          </w14:textFill>
        </w:rPr>
        <w:t>声环境</w:t>
      </w:r>
      <w:r>
        <w:rPr>
          <w:rFonts w:hint="eastAsia"/>
          <w:color w:val="000000" w:themeColor="text1"/>
          <w14:textFill>
            <w14:solidFill>
              <w14:schemeClr w14:val="tx1"/>
            </w14:solidFill>
          </w14:textFill>
        </w:rPr>
        <w:t>各</w:t>
      </w:r>
      <w:r>
        <w:rPr>
          <w:rFonts w:hint="eastAsia"/>
          <w:color w:val="000000" w:themeColor="text1"/>
          <w:lang w:eastAsia="zh-CN"/>
          <w14:textFill>
            <w14:solidFill>
              <w14:schemeClr w14:val="tx1"/>
            </w14:solidFill>
          </w14:textFill>
        </w:rPr>
        <w:t>声</w:t>
      </w:r>
      <w:r>
        <w:rPr>
          <w:rFonts w:hint="eastAsia"/>
          <w:color w:val="000000" w:themeColor="text1"/>
          <w14:textFill>
            <w14:solidFill>
              <w14:schemeClr w14:val="tx1"/>
            </w14:solidFill>
          </w14:textFill>
        </w:rPr>
        <w:t>功能区声环境达标情况较好，1类、2类、3</w:t>
      </w:r>
      <w:r>
        <w:rPr>
          <w:rFonts w:hint="eastAsia" w:ascii="Times New Roman" w:hAnsi="Times New Roman" w:eastAsia="宋体" w:cs="Times New Roman"/>
          <w:color w:val="000000" w:themeColor="text1"/>
          <w14:textFill>
            <w14:solidFill>
              <w14:schemeClr w14:val="tx1"/>
            </w14:solidFill>
          </w14:textFill>
        </w:rPr>
        <w:t>类区</w:t>
      </w:r>
      <w:r>
        <w:rPr>
          <w:rFonts w:hint="eastAsia" w:ascii="Times New Roman" w:hAnsi="Times New Roman" w:eastAsia="宋体" w:cs="Times New Roman"/>
          <w:color w:val="000000" w:themeColor="text1"/>
          <w:lang w:val="en-US" w:eastAsia="zh-CN"/>
          <w14:textFill>
            <w14:solidFill>
              <w14:schemeClr w14:val="tx1"/>
            </w14:solidFill>
          </w14:textFill>
        </w:rPr>
        <w:t>及</w:t>
      </w:r>
      <w:r>
        <w:rPr>
          <w:rFonts w:hint="eastAsia" w:ascii="Times New Roman" w:hAnsi="Times New Roman" w:eastAsia="宋体" w:cs="Times New Roman"/>
          <w:color w:val="000000" w:themeColor="text1"/>
          <w:highlight w:val="none"/>
          <w14:textFill>
            <w14:solidFill>
              <w14:schemeClr w14:val="tx1"/>
            </w14:solidFill>
          </w14:textFill>
        </w:rPr>
        <w:t>4a类区</w:t>
      </w:r>
      <w:r>
        <w:rPr>
          <w:rFonts w:hint="eastAsia" w:ascii="Times New Roman" w:hAnsi="Times New Roman" w:eastAsia="宋体" w:cs="Times New Roman"/>
          <w:color w:val="000000" w:themeColor="text1"/>
          <w14:textFill>
            <w14:solidFill>
              <w14:schemeClr w14:val="tx1"/>
            </w14:solidFill>
          </w14:textFill>
        </w:rPr>
        <w:t>全部达</w:t>
      </w:r>
      <w:r>
        <w:rPr>
          <w:rFonts w:hint="eastAsia"/>
          <w:color w:val="000000" w:themeColor="text1"/>
          <w14:textFill>
            <w14:solidFill>
              <w14:schemeClr w14:val="tx1"/>
            </w14:solidFill>
          </w14:textFill>
        </w:rPr>
        <w:t>标；昼间、夜间交通噪声达标情况较好。</w:t>
      </w:r>
    </w:p>
    <w:p w14:paraId="0EF3D06F">
      <w:pPr>
        <w:pStyle w:val="3"/>
        <w:keepNext/>
        <w:keepLines/>
        <w:rPr>
          <w:color w:val="000000" w:themeColor="text1"/>
          <w:kern w:val="2"/>
          <w14:textFill>
            <w14:solidFill>
              <w14:schemeClr w14:val="tx1"/>
            </w14:solidFill>
          </w14:textFill>
        </w:rPr>
      </w:pPr>
      <w:bookmarkStart w:id="153" w:name="_Toc24489"/>
      <w:bookmarkStart w:id="154" w:name="_Toc10100"/>
      <w:bookmarkStart w:id="155" w:name="_Toc25306"/>
      <w:bookmarkStart w:id="156" w:name="_Toc20582"/>
      <w:r>
        <w:rPr>
          <w:color w:val="000000" w:themeColor="text1"/>
          <w:kern w:val="2"/>
          <w14:textFill>
            <w14:solidFill>
              <w14:schemeClr w14:val="tx1"/>
            </w14:solidFill>
          </w14:textFill>
        </w:rPr>
        <w:t>5.2</w:t>
      </w:r>
      <w:r>
        <w:rPr>
          <w:rFonts w:hint="eastAsia"/>
          <w:color w:val="000000" w:themeColor="text1"/>
          <w:kern w:val="2"/>
          <w:lang w:val="en-US" w:eastAsia="zh-CN"/>
          <w14:textFill>
            <w14:solidFill>
              <w14:schemeClr w14:val="tx1"/>
            </w14:solidFill>
          </w14:textFill>
        </w:rPr>
        <w:t xml:space="preserve"> 声</w:t>
      </w:r>
      <w:r>
        <w:rPr>
          <w:color w:val="000000" w:themeColor="text1"/>
          <w:kern w:val="2"/>
          <w14:textFill>
            <w14:solidFill>
              <w14:schemeClr w14:val="tx1"/>
            </w14:solidFill>
          </w14:textFill>
        </w:rPr>
        <w:t>功能区划分结果</w:t>
      </w:r>
      <w:bookmarkEnd w:id="153"/>
      <w:bookmarkEnd w:id="154"/>
      <w:bookmarkEnd w:id="155"/>
      <w:bookmarkEnd w:id="156"/>
    </w:p>
    <w:p w14:paraId="31DDCEEA">
      <w:pPr>
        <w:ind w:firstLine="471"/>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绥滨县</w:t>
      </w:r>
      <w:r>
        <w:rPr>
          <w:rFonts w:hint="eastAsia"/>
          <w:color w:val="000000" w:themeColor="text1"/>
          <w:lang w:val="en-US" w:eastAsia="zh-CN"/>
          <w14:textFill>
            <w14:solidFill>
              <w14:schemeClr w14:val="tx1"/>
            </w14:solidFill>
          </w14:textFill>
        </w:rPr>
        <w:t>中</w:t>
      </w:r>
      <w:r>
        <w:rPr>
          <w:rFonts w:hint="eastAsia"/>
          <w:color w:val="000000" w:themeColor="text1"/>
          <w:highlight w:val="none"/>
          <w:lang w:val="en-US" w:eastAsia="zh-CN"/>
          <w14:textFill>
            <w14:solidFill>
              <w14:schemeClr w14:val="tx1"/>
            </w14:solidFill>
          </w14:textFill>
        </w:rPr>
        <w:t>心城区声环境</w:t>
      </w:r>
      <w:r>
        <w:rPr>
          <w:rFonts w:hint="eastAsia"/>
          <w:color w:val="000000" w:themeColor="text1"/>
          <w:highlight w:val="none"/>
          <w:lang w:eastAsia="zh-CN"/>
          <w14:textFill>
            <w14:solidFill>
              <w14:schemeClr w14:val="tx1"/>
            </w14:solidFill>
          </w14:textFill>
        </w:rPr>
        <w:t>功能区划分</w:t>
      </w:r>
      <w:r>
        <w:rPr>
          <w:rFonts w:hint="eastAsia"/>
          <w:color w:val="000000" w:themeColor="text1"/>
          <w:highlight w:val="none"/>
          <w14:textFill>
            <w14:solidFill>
              <w14:schemeClr w14:val="tx1"/>
            </w14:solidFill>
          </w14:textFill>
        </w:rPr>
        <w:t>范围为行政区划范围，规划城镇建设用地总面积</w:t>
      </w:r>
      <w:r>
        <w:rPr>
          <w:rFonts w:hint="eastAsia"/>
          <w:color w:val="000000" w:themeColor="text1"/>
          <w:highlight w:val="none"/>
          <w:lang w:val="en-US" w:eastAsia="zh-CN"/>
          <w14:textFill>
            <w14:solidFill>
              <w14:schemeClr w14:val="tx1"/>
            </w14:solidFill>
          </w14:textFill>
        </w:rPr>
        <w:t>9.54k</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2</w:t>
      </w:r>
      <w:r>
        <w:rPr>
          <w:rFonts w:hint="eastAsia"/>
          <w:color w:val="000000" w:themeColor="text1"/>
          <w:highlight w:val="none"/>
          <w14:textFill>
            <w14:solidFill>
              <w14:schemeClr w14:val="tx1"/>
            </w14:solidFill>
          </w14:textFill>
        </w:rPr>
        <w:t>。</w:t>
      </w:r>
      <w:r>
        <w:rPr>
          <w:rFonts w:hint="eastAsia"/>
          <w:color w:val="000000" w:themeColor="text1"/>
          <w:lang w:eastAsia="zh-CN"/>
          <w14:textFill>
            <w14:solidFill>
              <w14:schemeClr w14:val="tx1"/>
            </w14:solidFill>
          </w14:textFill>
        </w:rPr>
        <w:t>以</w:t>
      </w:r>
      <w:r>
        <w:rPr>
          <w:rFonts w:hint="eastAsia"/>
          <w:color w:val="000000" w:themeColor="text1"/>
          <w14:textFill>
            <w14:solidFill>
              <w14:schemeClr w14:val="tx1"/>
            </w14:solidFill>
          </w14:textFill>
        </w:rPr>
        <w:t>绥滨县国土空间规划</w:t>
      </w:r>
      <w:r>
        <w:rPr>
          <w:rFonts w:hint="eastAsia"/>
          <w:color w:val="000000" w:themeColor="text1"/>
          <w:lang w:eastAsia="zh-CN"/>
          <w14:textFill>
            <w14:solidFill>
              <w14:schemeClr w14:val="tx1"/>
            </w14:solidFill>
          </w14:textFill>
        </w:rPr>
        <w:t>为基础</w:t>
      </w:r>
      <w:r>
        <w:rPr>
          <w:rFonts w:hint="eastAsia"/>
          <w:color w:val="000000" w:themeColor="text1"/>
          <w14:textFill>
            <w14:solidFill>
              <w14:schemeClr w14:val="tx1"/>
            </w14:solidFill>
          </w14:textFill>
        </w:rPr>
        <w:t>，结合绥滨县声环境现状、交通道路网及行政区划等资料，并综合考虑绥滨县未来社会经济发展，</w:t>
      </w:r>
      <w:r>
        <w:rPr>
          <w:rFonts w:hint="eastAsia"/>
          <w:color w:val="000000" w:themeColor="text1"/>
          <w:lang w:eastAsia="zh-CN"/>
          <w14:textFill>
            <w14:solidFill>
              <w14:schemeClr w14:val="tx1"/>
            </w14:solidFill>
          </w14:textFill>
        </w:rPr>
        <w:t>按照</w:t>
      </w:r>
      <w:r>
        <w:rPr>
          <w:rFonts w:hint="eastAsia"/>
          <w:color w:val="000000" w:themeColor="text1"/>
          <w14:textFill>
            <w14:solidFill>
              <w14:schemeClr w14:val="tx1"/>
            </w14:solidFill>
          </w14:textFill>
        </w:rPr>
        <w:t>《声环境功能区划分技术规范》（GB/T15190-2014）</w:t>
      </w:r>
      <w:r>
        <w:rPr>
          <w:rFonts w:hint="eastAsia"/>
          <w:color w:val="000000" w:themeColor="text1"/>
          <w:lang w:eastAsia="zh-CN"/>
          <w14:textFill>
            <w14:solidFill>
              <w14:schemeClr w14:val="tx1"/>
            </w14:solidFill>
          </w14:textFill>
        </w:rPr>
        <w:t>要求</w:t>
      </w:r>
      <w:r>
        <w:rPr>
          <w:rFonts w:hint="eastAsia"/>
          <w:color w:val="000000" w:themeColor="text1"/>
          <w14:textFill>
            <w14:solidFill>
              <w14:schemeClr w14:val="tx1"/>
            </w14:solidFill>
          </w14:textFill>
        </w:rPr>
        <w:t>，划定绥滨县中心城区声环境功能区划单元</w:t>
      </w:r>
      <w:r>
        <w:rPr>
          <w:rFonts w:hint="eastAsia"/>
          <w:color w:val="000000" w:themeColor="text1"/>
          <w:lang w:eastAsia="zh-CN"/>
          <w14:textFill>
            <w14:solidFill>
              <w14:schemeClr w14:val="tx1"/>
            </w14:solidFill>
          </w14:textFill>
        </w:rPr>
        <w:t>。</w:t>
      </w:r>
      <w:r>
        <w:rPr>
          <w:rFonts w:hint="eastAsia"/>
          <w:color w:val="000000" w:themeColor="text1"/>
          <w:highlight w:val="none"/>
          <w14:textFill>
            <w14:solidFill>
              <w14:schemeClr w14:val="tx1"/>
            </w14:solidFill>
          </w14:textFill>
        </w:rPr>
        <w:t>本次声环境功能区划分为4类</w:t>
      </w:r>
      <w:r>
        <w:rPr>
          <w:rFonts w:hint="eastAsia"/>
          <w:color w:val="000000" w:themeColor="text1"/>
          <w:highlight w:val="none"/>
          <w:lang w:val="en-US" w:eastAsia="zh-CN"/>
          <w14:textFill>
            <w14:solidFill>
              <w14:schemeClr w14:val="tx1"/>
            </w14:solidFill>
          </w14:textFill>
        </w:rPr>
        <w:t>声环境</w:t>
      </w:r>
      <w:r>
        <w:rPr>
          <w:rFonts w:hint="eastAsia"/>
          <w:color w:val="000000" w:themeColor="text1"/>
          <w:highlight w:val="none"/>
          <w14:textFill>
            <w14:solidFill>
              <w14:schemeClr w14:val="tx1"/>
            </w14:solidFill>
          </w14:textFill>
        </w:rPr>
        <w:t>功能区，其中：</w:t>
      </w:r>
    </w:p>
    <w:p w14:paraId="4BF33DFE">
      <w:pPr>
        <w:ind w:firstLine="471"/>
        <w:rPr>
          <w:rFonts w:hint="eastAsia"/>
          <w:color w:val="000000" w:themeColor="text1"/>
          <w:highlight w:val="none"/>
          <w14:textFill>
            <w14:solidFill>
              <w14:schemeClr w14:val="tx1"/>
            </w14:solidFill>
          </w14:textFill>
        </w:rPr>
      </w:pPr>
      <w:r>
        <w:rPr>
          <w:rFonts w:hint="eastAsia"/>
          <w:color w:val="000000" w:themeColor="text1"/>
          <w14:textFill>
            <w14:solidFill>
              <w14:schemeClr w14:val="tx1"/>
            </w14:solidFill>
          </w14:textFill>
        </w:rPr>
        <w:t>1类声环境功能区适用于以居民住宅、医疗卫生、文化教育、科研设计、行政办公为主要功能的区域</w:t>
      </w:r>
      <w:r>
        <w:rPr>
          <w:rFonts w:hint="eastAsia"/>
          <w:color w:val="000000" w:themeColor="text1"/>
          <w:highlight w:val="none"/>
          <w14:textFill>
            <w14:solidFill>
              <w14:schemeClr w14:val="tx1"/>
            </w14:solidFill>
          </w14:textFill>
        </w:rPr>
        <w:t>。</w:t>
      </w:r>
      <w:r>
        <w:rPr>
          <w:rFonts w:hint="eastAsia"/>
          <w:color w:val="000000" w:themeColor="text1"/>
          <w:sz w:val="24"/>
          <w:szCs w:val="24"/>
          <w14:textFill>
            <w14:solidFill>
              <w14:schemeClr w14:val="tx1"/>
            </w14:solidFill>
          </w14:textFill>
        </w:rPr>
        <w:t>本次划分为</w:t>
      </w:r>
      <w:r>
        <w:rPr>
          <w:rFonts w:hint="eastAsia"/>
          <w:color w:val="000000" w:themeColor="text1"/>
          <w:sz w:val="24"/>
          <w:szCs w:val="24"/>
          <w:lang w:eastAsia="zh-CN"/>
          <w14:textFill>
            <w14:solidFill>
              <w14:schemeClr w14:val="tx1"/>
            </w14:solidFill>
          </w14:textFill>
        </w:rPr>
        <w:t>中部</w:t>
      </w:r>
      <w:r>
        <w:rPr>
          <w:rFonts w:hint="eastAsia"/>
          <w:color w:val="000000" w:themeColor="text1"/>
          <w:sz w:val="24"/>
          <w:szCs w:val="24"/>
          <w14:textFill>
            <w14:solidFill>
              <w14:schemeClr w14:val="tx1"/>
            </w14:solidFill>
          </w14:textFill>
        </w:rPr>
        <w:t>生活居住区</w:t>
      </w:r>
      <w:r>
        <w:rPr>
          <w:rFonts w:hint="eastAsia"/>
          <w:color w:val="000000" w:themeColor="text1"/>
          <w:sz w:val="24"/>
          <w:szCs w:val="24"/>
          <w:lang w:eastAsia="zh-CN"/>
          <w14:textFill>
            <w14:solidFill>
              <w14:schemeClr w14:val="tx1"/>
            </w14:solidFill>
          </w14:textFill>
        </w:rPr>
        <w:t>和西部</w:t>
      </w:r>
      <w:r>
        <w:rPr>
          <w:rFonts w:hint="eastAsia"/>
          <w:color w:val="000000" w:themeColor="text1"/>
          <w:sz w:val="24"/>
          <w:szCs w:val="24"/>
          <w14:textFill>
            <w14:solidFill>
              <w14:schemeClr w14:val="tx1"/>
            </w14:solidFill>
          </w14:textFill>
        </w:rPr>
        <w:t>生活居住区</w:t>
      </w:r>
      <w:r>
        <w:rPr>
          <w:rFonts w:hint="eastAsia"/>
          <w:color w:val="000000" w:themeColor="text1"/>
          <w:sz w:val="24"/>
          <w:szCs w:val="24"/>
          <w:lang w:eastAsia="zh-CN"/>
          <w14:textFill>
            <w14:solidFill>
              <w14:schemeClr w14:val="tx1"/>
            </w14:solidFill>
          </w14:textFill>
        </w:rPr>
        <w:t>两个片区。中部</w:t>
      </w:r>
      <w:r>
        <w:rPr>
          <w:rFonts w:hint="eastAsia"/>
          <w:color w:val="000000" w:themeColor="text1"/>
          <w:sz w:val="24"/>
          <w:szCs w:val="24"/>
          <w14:textFill>
            <w14:solidFill>
              <w14:schemeClr w14:val="tx1"/>
            </w14:solidFill>
          </w14:textFill>
        </w:rPr>
        <w:t>生活居住区</w:t>
      </w:r>
      <w:r>
        <w:rPr>
          <w:rFonts w:hint="eastAsia"/>
          <w:color w:val="000000" w:themeColor="text1"/>
          <w:sz w:val="24"/>
          <w:szCs w:val="24"/>
          <w:lang w:eastAsia="zh-CN"/>
          <w14:textFill>
            <w14:solidFill>
              <w14:schemeClr w14:val="tx1"/>
            </w14:solidFill>
          </w14:textFill>
        </w:rPr>
        <w:t>（除振兴大街</w:t>
      </w:r>
      <w:r>
        <w:rPr>
          <w:rFonts w:hint="eastAsia"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－奋斗路－长青街－通达路－通江路－繁荣街－奋斗路－</w:t>
      </w:r>
      <w:r>
        <w:rPr>
          <w:rFonts w:hint="eastAsia"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松滨大街</w:t>
      </w:r>
      <w:r>
        <w:rPr>
          <w:rFonts w:hint="eastAsia"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－滨北路合围区域</w:t>
      </w:r>
      <w:r>
        <w:rPr>
          <w:rFonts w:hint="eastAsia"/>
          <w:color w:val="000000" w:themeColor="text1"/>
          <w:sz w:val="24"/>
          <w:szCs w:val="24"/>
          <w:lang w:eastAsia="zh-CN"/>
          <w14:textFill>
            <w14:solidFill>
              <w14:schemeClr w14:val="tx1"/>
            </w14:solidFill>
          </w14:textFill>
        </w:rPr>
        <w:t>）：</w:t>
      </w:r>
      <w:r>
        <w:rPr>
          <w:rFonts w:hint="eastAsia"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红星大街－通达路－运通街－东环路－红星大街（振荣村北）－规划边界（振荣村东）－振荣大街－东辉路－规划边界（沿江街）－规划边界（傲来总干渠东）－规划边界，西部</w:t>
      </w:r>
      <w:r>
        <w:rPr>
          <w:rFonts w:hint="eastAsia"/>
          <w:color w:val="000000" w:themeColor="text1"/>
          <w:sz w:val="24"/>
          <w:szCs w:val="24"/>
          <w:highlight w:val="none"/>
          <w14:textFill>
            <w14:solidFill>
              <w14:schemeClr w14:val="tx1"/>
            </w14:solidFill>
          </w14:textFill>
        </w:rPr>
        <w:t>生活居住区</w:t>
      </w:r>
      <w:r>
        <w:rPr>
          <w:rFonts w:hint="eastAsia"/>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松滨大街</w:t>
      </w:r>
      <w:r>
        <w:rPr>
          <w:rFonts w:hint="eastAsia"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w:t>
      </w:r>
      <w:r>
        <w:rPr>
          <w:rFonts w:hint="eastAsia"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规划边界</w:t>
      </w:r>
      <w:r>
        <w:rPr>
          <w:rFonts w:hint="eastAsia"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（傲来总干渠西）－规划边界（傲来村南）－规划边界（傲来村西）</w:t>
      </w:r>
      <w:r>
        <w:rPr>
          <w:rFonts w:hint="eastAsia"/>
          <w:color w:val="000000" w:themeColor="text1"/>
          <w:sz w:val="24"/>
          <w:szCs w:val="24"/>
          <w:highlight w:val="none"/>
          <w14:textFill>
            <w14:solidFill>
              <w14:schemeClr w14:val="tx1"/>
            </w14:solidFill>
          </w14:textFill>
        </w:rPr>
        <w:t>，总面积为</w:t>
      </w:r>
      <w:r>
        <w:rPr>
          <w:rFonts w:hint="eastAsia"/>
          <w:color w:val="000000" w:themeColor="text1"/>
          <w:sz w:val="24"/>
          <w:szCs w:val="24"/>
          <w:highlight w:val="none"/>
          <w:lang w:val="en-US" w:eastAsia="zh-CN"/>
          <w14:textFill>
            <w14:solidFill>
              <w14:schemeClr w14:val="tx1"/>
            </w14:solidFill>
          </w14:textFill>
        </w:rPr>
        <w:t>2.60</w:t>
      </w:r>
      <w:r>
        <w:rPr>
          <w:rFonts w:hint="eastAsia"/>
          <w:color w:val="000000" w:themeColor="text1"/>
          <w:sz w:val="24"/>
          <w:szCs w:val="24"/>
          <w:highlight w:val="none"/>
          <w14:textFill>
            <w14:solidFill>
              <w14:schemeClr w14:val="tx1"/>
            </w14:solidFill>
          </w14:textFill>
        </w:rPr>
        <w:t>km</w:t>
      </w:r>
      <w:r>
        <w:rPr>
          <w:rFonts w:hint="eastAsia"/>
          <w:color w:val="000000" w:themeColor="text1"/>
          <w:sz w:val="24"/>
          <w:szCs w:val="24"/>
          <w:highlight w:val="none"/>
          <w:vertAlign w:val="superscript"/>
          <w14:textFill>
            <w14:solidFill>
              <w14:schemeClr w14:val="tx1"/>
            </w14:solidFill>
          </w14:textFill>
        </w:rPr>
        <w:t>2</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占区划面积的</w:t>
      </w:r>
      <w:r>
        <w:rPr>
          <w:rFonts w:hint="eastAsia"/>
          <w:color w:val="000000" w:themeColor="text1"/>
          <w:highlight w:val="none"/>
          <w:lang w:val="en-US" w:eastAsia="zh-CN"/>
          <w14:textFill>
            <w14:solidFill>
              <w14:schemeClr w14:val="tx1"/>
            </w14:solidFill>
          </w14:textFill>
        </w:rPr>
        <w:t>27.25</w:t>
      </w:r>
      <w:r>
        <w:rPr>
          <w:rFonts w:hint="eastAsia"/>
          <w:color w:val="000000" w:themeColor="text1"/>
          <w:highlight w:val="none"/>
          <w14:textFill>
            <w14:solidFill>
              <w14:schemeClr w14:val="tx1"/>
            </w14:solidFill>
          </w14:textFill>
        </w:rPr>
        <w:t>%。</w:t>
      </w:r>
    </w:p>
    <w:p w14:paraId="78A76C11">
      <w:pPr>
        <w:ind w:firstLine="471"/>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2类声环境功能区适用于以商业金融、集市贸易为主要功能的区域，或居住、商业、工业混杂，需要维护居住安静的区域，即划分范围内除去1类、3类、4类以外的所有区域均为2类标准适用区，总面积约</w:t>
      </w:r>
      <w:r>
        <w:rPr>
          <w:rFonts w:hint="eastAsia"/>
          <w:color w:val="000000" w:themeColor="text1"/>
          <w:highlight w:val="none"/>
          <w:lang w:val="en-US" w:eastAsia="zh-CN"/>
          <w14:textFill>
            <w14:solidFill>
              <w14:schemeClr w14:val="tx1"/>
            </w14:solidFill>
          </w14:textFill>
        </w:rPr>
        <w:t>1.58</w:t>
      </w:r>
      <w:r>
        <w:rPr>
          <w:rFonts w:hint="eastAsia"/>
          <w:color w:val="000000" w:themeColor="text1"/>
          <w:highlight w:val="none"/>
          <w14:textFill>
            <w14:solidFill>
              <w14:schemeClr w14:val="tx1"/>
            </w14:solidFill>
          </w14:textFill>
        </w:rPr>
        <w:t>km</w:t>
      </w:r>
      <w:r>
        <w:rPr>
          <w:rFonts w:hint="eastAsia"/>
          <w:color w:val="000000" w:themeColor="text1"/>
          <w:highlight w:val="none"/>
          <w:vertAlign w:val="superscript"/>
          <w14:textFill>
            <w14:solidFill>
              <w14:schemeClr w14:val="tx1"/>
            </w14:solidFill>
          </w14:textFill>
        </w:rPr>
        <w:t>2</w:t>
      </w:r>
      <w:r>
        <w:rPr>
          <w:rFonts w:hint="eastAsia"/>
          <w:color w:val="000000" w:themeColor="text1"/>
          <w:highlight w:val="none"/>
          <w14:textFill>
            <w14:solidFill>
              <w14:schemeClr w14:val="tx1"/>
            </w14:solidFill>
          </w14:textFill>
        </w:rPr>
        <w:t>，占区划面积的</w:t>
      </w:r>
      <w:r>
        <w:rPr>
          <w:rFonts w:hint="eastAsia"/>
          <w:color w:val="000000" w:themeColor="text1"/>
          <w:highlight w:val="none"/>
          <w:lang w:val="en-US" w:eastAsia="zh-CN"/>
          <w14:textFill>
            <w14:solidFill>
              <w14:schemeClr w14:val="tx1"/>
            </w14:solidFill>
          </w14:textFill>
        </w:rPr>
        <w:t>16.57</w:t>
      </w:r>
      <w:r>
        <w:rPr>
          <w:rFonts w:hint="eastAsia"/>
          <w:color w:val="000000" w:themeColor="text1"/>
          <w:highlight w:val="none"/>
          <w14:textFill>
            <w14:solidFill>
              <w14:schemeClr w14:val="tx1"/>
            </w14:solidFill>
          </w14:textFill>
        </w:rPr>
        <w:t>%。</w:t>
      </w:r>
    </w:p>
    <w:p w14:paraId="25770FA7">
      <w:pPr>
        <w:ind w:firstLine="471"/>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3类声环境功能区适用于以工业生产、仓储物流为主要功能的区域，本次划分</w:t>
      </w:r>
      <w:r>
        <w:rPr>
          <w:rFonts w:hint="eastAsia"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城区东部工业区：东辉路－振荣大街－规划边界，物流仓储区：规划运通街－顺达路－红星大街－东环路</w:t>
      </w:r>
      <w:r>
        <w:rPr>
          <w:rFonts w:hint="eastAsia"/>
          <w:color w:val="000000" w:themeColor="text1"/>
          <w:sz w:val="24"/>
          <w:szCs w:val="24"/>
          <w:highlight w:val="none"/>
          <w14:textFill>
            <w14:solidFill>
              <w14:schemeClr w14:val="tx1"/>
            </w14:solidFill>
          </w14:textFill>
        </w:rPr>
        <w:t>，总面积</w:t>
      </w:r>
      <w:r>
        <w:rPr>
          <w:rFonts w:hint="eastAsia"/>
          <w:color w:val="000000" w:themeColor="text1"/>
          <w:sz w:val="24"/>
          <w:szCs w:val="24"/>
          <w:highlight w:val="none"/>
          <w:lang w:val="en-US" w:eastAsia="zh-CN"/>
          <w14:textFill>
            <w14:solidFill>
              <w14:schemeClr w14:val="tx1"/>
            </w14:solidFill>
          </w14:textFill>
        </w:rPr>
        <w:t>2.66</w:t>
      </w:r>
      <w:r>
        <w:rPr>
          <w:rFonts w:hint="eastAsia"/>
          <w:color w:val="000000" w:themeColor="text1"/>
          <w:sz w:val="24"/>
          <w:szCs w:val="24"/>
          <w:highlight w:val="none"/>
          <w14:textFill>
            <w14:solidFill>
              <w14:schemeClr w14:val="tx1"/>
            </w14:solidFill>
          </w14:textFill>
        </w:rPr>
        <w:t>km</w:t>
      </w:r>
      <w:r>
        <w:rPr>
          <w:rFonts w:hint="eastAsia"/>
          <w:color w:val="000000" w:themeColor="text1"/>
          <w:sz w:val="24"/>
          <w:szCs w:val="24"/>
          <w:highlight w:val="none"/>
          <w:vertAlign w:val="superscript"/>
          <w14:textFill>
            <w14:solidFill>
              <w14:schemeClr w14:val="tx1"/>
            </w14:solidFill>
          </w14:textFill>
        </w:rPr>
        <w:t>2</w:t>
      </w:r>
      <w:r>
        <w:rPr>
          <w:rFonts w:hint="eastAsia"/>
          <w:color w:val="000000" w:themeColor="text1"/>
          <w:highlight w:val="none"/>
          <w14:textFill>
            <w14:solidFill>
              <w14:schemeClr w14:val="tx1"/>
            </w14:solidFill>
          </w14:textFill>
        </w:rPr>
        <w:t>，占区划面积的</w:t>
      </w:r>
      <w:r>
        <w:rPr>
          <w:rFonts w:hint="eastAsia"/>
          <w:color w:val="000000" w:themeColor="text1"/>
          <w:highlight w:val="none"/>
          <w:lang w:val="en-US" w:eastAsia="zh-CN"/>
          <w14:textFill>
            <w14:solidFill>
              <w14:schemeClr w14:val="tx1"/>
            </w14:solidFill>
          </w14:textFill>
        </w:rPr>
        <w:t>27.88</w:t>
      </w:r>
      <w:r>
        <w:rPr>
          <w:rFonts w:hint="eastAsia"/>
          <w:color w:val="000000" w:themeColor="text1"/>
          <w:highlight w:val="none"/>
          <w14:textFill>
            <w14:solidFill>
              <w14:schemeClr w14:val="tx1"/>
            </w14:solidFill>
          </w14:textFill>
        </w:rPr>
        <w:t>%。</w:t>
      </w:r>
    </w:p>
    <w:p w14:paraId="113400E4">
      <w:pPr>
        <w:ind w:firstLine="471"/>
        <w:rPr>
          <w:rFonts w:hint="eastAsia"/>
          <w:color w:val="000000" w:themeColor="text1"/>
          <w:highlight w:val="yellow"/>
          <w14:textFill>
            <w14:solidFill>
              <w14:schemeClr w14:val="tx1"/>
            </w14:solidFill>
          </w14:textFill>
        </w:rPr>
      </w:pPr>
      <w:r>
        <w:rPr>
          <w:rFonts w:hint="eastAsia"/>
          <w:color w:val="000000" w:themeColor="text1"/>
          <w:highlight w:val="none"/>
          <w14:textFill>
            <w14:solidFill>
              <w14:schemeClr w14:val="tx1"/>
            </w14:solidFill>
          </w14:textFill>
        </w:rPr>
        <w:t>4类标准适用区域是城市道路中交通干线两</w:t>
      </w:r>
      <w:r>
        <w:rPr>
          <w:rFonts w:hint="eastAsia"/>
          <w:color w:val="000000" w:themeColor="text1"/>
          <w:sz w:val="24"/>
          <w:szCs w:val="24"/>
          <w:highlight w:val="none"/>
          <w14:textFill>
            <w14:solidFill>
              <w14:schemeClr w14:val="tx1"/>
            </w14:solidFill>
          </w14:textFill>
        </w:rPr>
        <w:t>侧区域</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包括</w:t>
      </w:r>
      <w:r>
        <w:rPr>
          <w:rFonts w:hint="eastAsia"/>
          <w:color w:val="000000" w:themeColor="text1"/>
          <w:sz w:val="24"/>
          <w:szCs w:val="24"/>
          <w:highlight w:val="none"/>
          <w14:textFill>
            <w14:solidFill>
              <w14:schemeClr w14:val="tx1"/>
            </w14:solidFill>
          </w14:textFill>
        </w:rPr>
        <w:t>主干路（</w:t>
      </w:r>
      <w:r>
        <w:rPr>
          <w:rStyle w:val="36"/>
          <w:color w:val="000000" w:themeColor="text1"/>
          <w:sz w:val="24"/>
          <w:szCs w:val="24"/>
          <w:highlight w:val="none"/>
          <w:lang w:val="en-US" w:eastAsia="zh-CN" w:bidi="ar"/>
          <w14:textFill>
            <w14:solidFill>
              <w14:schemeClr w14:val="tx1"/>
            </w14:solidFill>
          </w14:textFill>
        </w:rPr>
        <w:t>松滨大街、红星大街、通达路、振荣大街、东环路、滨北路、西环路</w:t>
      </w:r>
      <w:r>
        <w:rPr>
          <w:rFonts w:hint="eastAsia"/>
          <w:color w:val="000000" w:themeColor="text1"/>
          <w:sz w:val="24"/>
          <w:szCs w:val="24"/>
          <w:highlight w:val="none"/>
          <w14:textFill>
            <w14:solidFill>
              <w14:schemeClr w14:val="tx1"/>
            </w14:solidFill>
          </w14:textFill>
        </w:rPr>
        <w:t>）、次干路（</w:t>
      </w:r>
      <w:r>
        <w:rPr>
          <w:rStyle w:val="36"/>
          <w:color w:val="000000" w:themeColor="text1"/>
          <w:sz w:val="24"/>
          <w:szCs w:val="24"/>
          <w:highlight w:val="none"/>
          <w:lang w:val="en-US" w:eastAsia="zh-CN" w:bidi="ar"/>
          <w14:textFill>
            <w14:solidFill>
              <w14:schemeClr w14:val="tx1"/>
            </w14:solidFill>
          </w14:textFill>
        </w:rPr>
        <w:t>振兴大街、田丰街、渡口路、东辉路、通江路、向阳路、奋斗路、近河路</w:t>
      </w:r>
      <w:r>
        <w:rPr>
          <w:rFonts w:hint="eastAsia"/>
          <w:color w:val="000000" w:themeColor="text1"/>
          <w:sz w:val="24"/>
          <w:szCs w:val="24"/>
          <w:highlight w:val="none"/>
          <w14:textFill>
            <w14:solidFill>
              <w14:schemeClr w14:val="tx1"/>
            </w14:solidFill>
          </w14:textFill>
        </w:rPr>
        <w:t>），</w:t>
      </w:r>
      <w:r>
        <w:rPr>
          <w:rFonts w:hint="eastAsia"/>
          <w:color w:val="000000" w:themeColor="text1"/>
          <w:highlight w:val="none"/>
          <w14:textFill>
            <w14:solidFill>
              <w14:schemeClr w14:val="tx1"/>
            </w14:solidFill>
          </w14:textFill>
        </w:rPr>
        <w:t>按照声环境功能区划分具体范围，</w:t>
      </w:r>
      <w:r>
        <w:rPr>
          <w:rFonts w:hint="eastAsia"/>
          <w:color w:val="000000" w:themeColor="text1"/>
          <w:highlight w:val="none"/>
          <w:lang w:eastAsia="zh-CN"/>
          <w14:textFill>
            <w14:solidFill>
              <w14:schemeClr w14:val="tx1"/>
            </w14:solidFill>
          </w14:textFill>
        </w:rPr>
        <w:t>总</w:t>
      </w:r>
      <w:r>
        <w:rPr>
          <w:rFonts w:hint="eastAsia"/>
          <w:color w:val="000000" w:themeColor="text1"/>
          <w:highlight w:val="none"/>
          <w14:textFill>
            <w14:solidFill>
              <w14:schemeClr w14:val="tx1"/>
            </w14:solidFill>
          </w14:textFill>
        </w:rPr>
        <w:t>面积</w:t>
      </w:r>
      <w:r>
        <w:rPr>
          <w:rFonts w:hint="eastAsia"/>
          <w:color w:val="000000" w:themeColor="text1"/>
          <w:highlight w:val="none"/>
          <w:lang w:val="en-US" w:eastAsia="zh-CN"/>
          <w14:textFill>
            <w14:solidFill>
              <w14:schemeClr w14:val="tx1"/>
            </w14:solidFill>
          </w14:textFill>
        </w:rPr>
        <w:t>2.70</w:t>
      </w:r>
      <w:r>
        <w:rPr>
          <w:rFonts w:hint="eastAsia"/>
          <w:color w:val="000000" w:themeColor="text1"/>
          <w:highlight w:val="none"/>
          <w14:textFill>
            <w14:solidFill>
              <w14:schemeClr w14:val="tx1"/>
            </w14:solidFill>
          </w14:textFill>
        </w:rPr>
        <w:t>km</w:t>
      </w:r>
      <w:r>
        <w:rPr>
          <w:rFonts w:hint="eastAsia"/>
          <w:color w:val="000000" w:themeColor="text1"/>
          <w:highlight w:val="none"/>
          <w:vertAlign w:val="superscript"/>
          <w14:textFill>
            <w14:solidFill>
              <w14:schemeClr w14:val="tx1"/>
            </w14:solidFill>
          </w14:textFill>
        </w:rPr>
        <w:t>2</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占区划面积的</w:t>
      </w:r>
      <w:r>
        <w:rPr>
          <w:rFonts w:hint="eastAsia"/>
          <w:color w:val="000000" w:themeColor="text1"/>
          <w:highlight w:val="none"/>
          <w:lang w:val="en-US" w:eastAsia="zh-CN"/>
          <w14:textFill>
            <w14:solidFill>
              <w14:schemeClr w14:val="tx1"/>
            </w14:solidFill>
          </w14:textFill>
        </w:rPr>
        <w:t>28.30</w:t>
      </w:r>
      <w:r>
        <w:rPr>
          <w:rFonts w:hint="eastAsia"/>
          <w:color w:val="000000" w:themeColor="text1"/>
          <w:highlight w:val="none"/>
          <w14:textFill>
            <w14:solidFill>
              <w14:schemeClr w14:val="tx1"/>
            </w14:solidFill>
          </w14:textFill>
        </w:rPr>
        <w:t>%。</w:t>
      </w:r>
    </w:p>
    <w:p w14:paraId="35732A62">
      <w:pPr>
        <w:pStyle w:val="3"/>
        <w:keepNext/>
        <w:keepLines/>
        <w:rPr>
          <w:color w:val="000000" w:themeColor="text1"/>
          <w:kern w:val="2"/>
          <w14:textFill>
            <w14:solidFill>
              <w14:schemeClr w14:val="tx1"/>
            </w14:solidFill>
          </w14:textFill>
        </w:rPr>
      </w:pPr>
      <w:bookmarkStart w:id="157" w:name="_Toc9767"/>
      <w:bookmarkStart w:id="158" w:name="_Toc3171"/>
      <w:bookmarkStart w:id="159" w:name="_Toc19743"/>
      <w:bookmarkStart w:id="160" w:name="_Toc3705"/>
      <w:r>
        <w:rPr>
          <w:color w:val="000000" w:themeColor="text1"/>
          <w:kern w:val="2"/>
          <w14:textFill>
            <w14:solidFill>
              <w14:schemeClr w14:val="tx1"/>
            </w14:solidFill>
          </w14:textFill>
        </w:rPr>
        <w:t>5.3</w:t>
      </w:r>
      <w:r>
        <w:rPr>
          <w:rFonts w:hint="eastAsia"/>
          <w:color w:val="000000" w:themeColor="text1"/>
          <w:kern w:val="2"/>
          <w:lang w:val="en-US" w:eastAsia="zh-CN"/>
          <w14:textFill>
            <w14:solidFill>
              <w14:schemeClr w14:val="tx1"/>
            </w14:solidFill>
          </w14:textFill>
        </w:rPr>
        <w:t xml:space="preserve"> </w:t>
      </w:r>
      <w:r>
        <w:rPr>
          <w:color w:val="000000" w:themeColor="text1"/>
          <w:kern w:val="2"/>
          <w14:textFill>
            <w14:solidFill>
              <w14:schemeClr w14:val="tx1"/>
            </w14:solidFill>
          </w14:textFill>
        </w:rPr>
        <w:t>可行性分析</w:t>
      </w:r>
      <w:bookmarkEnd w:id="157"/>
      <w:bookmarkEnd w:id="158"/>
      <w:bookmarkEnd w:id="159"/>
      <w:bookmarkEnd w:id="160"/>
    </w:p>
    <w:p w14:paraId="15E088FB">
      <w:pPr>
        <w:pStyle w:val="4"/>
        <w:rPr>
          <w:rFonts w:hint="eastAsia"/>
          <w:color w:val="000000" w:themeColor="text1"/>
          <w14:textFill>
            <w14:solidFill>
              <w14:schemeClr w14:val="tx1"/>
            </w14:solidFill>
          </w14:textFill>
        </w:rPr>
      </w:pPr>
      <w:bookmarkStart w:id="161" w:name="_Toc27174"/>
      <w:r>
        <w:rPr>
          <w:rFonts w:hint="eastAsia"/>
          <w:color w:val="000000" w:themeColor="text1"/>
          <w14:textFill>
            <w14:solidFill>
              <w14:schemeClr w14:val="tx1"/>
            </w14:solidFill>
          </w14:textFill>
        </w:rPr>
        <w:t>5.3.1</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与城市规划的协调性分析</w:t>
      </w:r>
      <w:bookmarkEnd w:id="161"/>
    </w:p>
    <w:p w14:paraId="380750B9">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绥滨县中心城区主要服务功能是生活，其次是生产</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目前的用地功能符合国土空间规划和社会经济发展规划要求。根据</w:t>
      </w: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城市现状布局和总体规划相关内容，本次声环境功能区划范围与之一致，区划工作是以</w:t>
      </w:r>
      <w:r>
        <w:rPr>
          <w:rFonts w:hint="eastAsia"/>
          <w:color w:val="000000" w:themeColor="text1"/>
          <w:lang w:eastAsia="zh-CN"/>
          <w14:textFill>
            <w14:solidFill>
              <w14:schemeClr w14:val="tx1"/>
            </w14:solidFill>
          </w14:textFill>
        </w:rPr>
        <w:t>国土空间总体规划</w:t>
      </w:r>
      <w:r>
        <w:rPr>
          <w:rFonts w:hint="eastAsia"/>
          <w:color w:val="000000" w:themeColor="text1"/>
          <w14:textFill>
            <w14:solidFill>
              <w14:schemeClr w14:val="tx1"/>
            </w14:solidFill>
          </w14:textFill>
        </w:rPr>
        <w:t>为</w:t>
      </w:r>
      <w:r>
        <w:rPr>
          <w:rFonts w:hint="eastAsia"/>
          <w:color w:val="000000" w:themeColor="text1"/>
          <w:lang w:val="en-US" w:eastAsia="zh-CN"/>
          <w14:textFill>
            <w14:solidFill>
              <w14:schemeClr w14:val="tx1"/>
            </w14:solidFill>
          </w14:textFill>
        </w:rPr>
        <w:t>依据</w:t>
      </w:r>
      <w:r>
        <w:rPr>
          <w:rFonts w:hint="eastAsia"/>
          <w:color w:val="000000" w:themeColor="text1"/>
          <w14:textFill>
            <w14:solidFill>
              <w14:schemeClr w14:val="tx1"/>
            </w14:solidFill>
          </w14:textFill>
        </w:rPr>
        <w:t>，按照区域规划、近期规划和城市规划用</w:t>
      </w:r>
      <w:r>
        <w:rPr>
          <w:rFonts w:hint="eastAsia"/>
          <w:color w:val="000000" w:themeColor="text1"/>
          <w:lang w:val="en-US" w:eastAsia="zh-CN"/>
          <w14:textFill>
            <w14:solidFill>
              <w14:schemeClr w14:val="tx1"/>
            </w14:solidFill>
          </w14:textFill>
        </w:rPr>
        <w:t>地</w:t>
      </w:r>
      <w:r>
        <w:rPr>
          <w:rFonts w:hint="eastAsia"/>
          <w:color w:val="000000" w:themeColor="text1"/>
          <w14:textFill>
            <w14:solidFill>
              <w14:schemeClr w14:val="tx1"/>
            </w14:solidFill>
          </w14:textFill>
        </w:rPr>
        <w:t>主导功能辅以用地现状与声环境质量水平确定声环境质量功能区，得到最终区划结果。</w:t>
      </w:r>
    </w:p>
    <w:p w14:paraId="262E058E">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（1）1类区</w:t>
      </w:r>
    </w:p>
    <w:p w14:paraId="1A8DA8F3">
      <w:pPr>
        <w:ind w:firstLine="471"/>
        <w:rPr>
          <w:rFonts w:hint="eastAsia"/>
          <w:color w:val="000000" w:themeColor="text1"/>
          <w:highlight w:val="none"/>
          <w14:textFill>
            <w14:solidFill>
              <w14:schemeClr w14:val="tx1"/>
            </w14:solidFill>
          </w14:textFill>
        </w:rPr>
      </w:pPr>
      <w:r>
        <w:rPr>
          <w:rFonts w:hint="eastAsia"/>
          <w:color w:val="000000" w:themeColor="text1"/>
          <w14:textFill>
            <w14:solidFill>
              <w14:schemeClr w14:val="tx1"/>
            </w14:solidFill>
          </w14:textFill>
        </w:rPr>
        <w:t>本次划分的1类区</w:t>
      </w: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个，为</w:t>
      </w:r>
      <w:r>
        <w:rPr>
          <w:rFonts w:hint="eastAsia"/>
          <w:color w:val="000000" w:themeColor="text1"/>
          <w:sz w:val="24"/>
          <w:szCs w:val="24"/>
          <w14:textFill>
            <w14:solidFill>
              <w14:schemeClr w14:val="tx1"/>
            </w14:solidFill>
          </w14:textFill>
        </w:rPr>
        <w:t>生活居住区</w:t>
      </w:r>
      <w:r>
        <w:rPr>
          <w:rFonts w:hint="eastAsia"/>
          <w:color w:val="000000" w:themeColor="text1"/>
          <w:sz w:val="24"/>
          <w:szCs w:val="24"/>
          <w:lang w:eastAsia="zh-CN"/>
          <w14:textFill>
            <w14:solidFill>
              <w14:schemeClr w14:val="tx1"/>
            </w14:solidFill>
          </w14:textFill>
        </w:rPr>
        <w:t>：</w:t>
      </w:r>
      <w:r>
        <w:rPr>
          <w:rFonts w:hint="eastAsia"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红星大街－通达路－运通街－东环路－红星大街（振荣村北）－规划边界（振荣村东）－振荣大街－东辉路－规划边界（沿江街）－规划边界（傲来总干渠东）－规划边界，</w:t>
      </w:r>
      <w:r>
        <w:rPr>
          <w:rFonts w:hint="eastAsia"/>
          <w:color w:val="000000" w:themeColor="text1"/>
          <w:sz w:val="24"/>
          <w:szCs w:val="24"/>
          <w14:textFill>
            <w14:solidFill>
              <w14:schemeClr w14:val="tx1"/>
            </w14:solidFill>
          </w14:textFill>
        </w:rPr>
        <w:t>生活居住区</w:t>
      </w:r>
      <w:r>
        <w:rPr>
          <w:rFonts w:hint="eastAsia"/>
          <w:color w:val="000000" w:themeColor="text1"/>
          <w:sz w:val="24"/>
          <w:szCs w:val="24"/>
          <w:lang w:eastAsia="zh-CN"/>
          <w14:textFill>
            <w14:solidFill>
              <w14:schemeClr w14:val="tx1"/>
            </w14:solidFill>
          </w14:textFill>
        </w:rPr>
        <w:t>：</w:t>
      </w:r>
      <w:r>
        <w:rPr>
          <w:rFonts w:hint="eastAsia"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松滨大街</w:t>
      </w:r>
      <w:r>
        <w:rPr>
          <w:rFonts w:hint="eastAsia"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w:t>
      </w:r>
      <w:r>
        <w:rPr>
          <w:rFonts w:hint="eastAsia" w:ascii="Times New Roman" w:hAnsi="Times New Roman" w:eastAsia="宋体"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规划边界</w:t>
      </w:r>
      <w:r>
        <w:rPr>
          <w:rFonts w:hint="eastAsia"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（傲来总干渠西）－规划边界（傲来村南）－规划边界（傲来村西）</w:t>
      </w:r>
      <w:r>
        <w:rPr>
          <w:rStyle w:val="36"/>
          <w:rFonts w:ascii="宋体" w:hAnsi="宋体" w:eastAsia="宋体" w:cs="宋体"/>
          <w:color w:val="000000" w:themeColor="text1"/>
          <w:sz w:val="24"/>
          <w:szCs w:val="24"/>
          <w:highlight w:val="none"/>
          <w:lang w:bidi="ar"/>
          <w14:textFill>
            <w14:solidFill>
              <w14:schemeClr w14:val="tx1"/>
            </w14:solidFill>
          </w14:textFill>
        </w:rPr>
        <w:t>，均为居住、办公、学校、公园绿地等用地</w:t>
      </w:r>
      <w:r>
        <w:rPr>
          <w:rFonts w:hint="eastAsia"/>
          <w:color w:val="000000" w:themeColor="text1"/>
          <w:highlight w:val="none"/>
          <w14:textFill>
            <w14:solidFill>
              <w14:schemeClr w14:val="tx1"/>
            </w14:solidFill>
          </w14:textFill>
        </w:rPr>
        <w:t>，有少量的商业金融用地，城市总体规划在1类区范围内没有大的噪声污染源，因此1类区划分与规划相协调，能够满足规划要求。</w:t>
      </w:r>
    </w:p>
    <w:p w14:paraId="169F2921">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（2）2类区</w:t>
      </w:r>
    </w:p>
    <w:p w14:paraId="7B324D64">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本次声环境功能区划分的2类区范围，主要为商业金融等用地，以及部分居住、商业、市政</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仓储</w:t>
      </w:r>
      <w:r>
        <w:rPr>
          <w:rFonts w:hint="eastAsia"/>
          <w:color w:val="000000" w:themeColor="text1"/>
          <w14:textFill>
            <w14:solidFill>
              <w14:schemeClr w14:val="tx1"/>
            </w14:solidFill>
          </w14:textFill>
        </w:rPr>
        <w:t>等混合用地，功能区划分时，充分考虑了城市总体规划的要求，按照城市规划及现状用地类型予以划分，因此2类区与城市规划相协调。</w:t>
      </w:r>
    </w:p>
    <w:p w14:paraId="44CC4183">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（3）3类区</w:t>
      </w:r>
    </w:p>
    <w:p w14:paraId="031D906F">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本次</w:t>
      </w:r>
      <w:r>
        <w:rPr>
          <w:rFonts w:hint="eastAsia"/>
          <w:color w:val="000000" w:themeColor="text1"/>
          <w:lang w:val="en-US" w:eastAsia="zh-CN"/>
          <w14:textFill>
            <w14:solidFill>
              <w14:schemeClr w14:val="tx1"/>
            </w14:solidFill>
          </w14:textFill>
        </w:rPr>
        <w:t>声环境</w:t>
      </w:r>
      <w:r>
        <w:rPr>
          <w:rFonts w:hint="eastAsia"/>
          <w:color w:val="000000" w:themeColor="text1"/>
          <w14:textFill>
            <w14:solidFill>
              <w14:schemeClr w14:val="tx1"/>
            </w14:solidFill>
          </w14:textFill>
        </w:rPr>
        <w:t>功能区划分的3类区为</w:t>
      </w:r>
      <w:r>
        <w:rPr>
          <w:rFonts w:hint="eastAsia" w:cs="Times New Roman"/>
          <w:b w:val="0"/>
          <w:bCs w:val="0"/>
          <w:i w:val="0"/>
          <w:iCs w:val="0"/>
          <w:color w:val="000000" w:themeColor="text1"/>
          <w:kern w:val="0"/>
          <w:sz w:val="24"/>
          <w:szCs w:val="24"/>
          <w:highlight w:val="none"/>
          <w:u w:val="none"/>
          <w:lang w:val="en-US" w:eastAsia="zh-CN" w:bidi="ar"/>
          <w14:textFill>
            <w14:solidFill>
              <w14:schemeClr w14:val="tx1"/>
            </w14:solidFill>
          </w14:textFill>
        </w:rPr>
        <w:t>城区东部工业区：东辉路－振荣大街－规划边界，</w:t>
      </w:r>
      <w:r>
        <w:rPr>
          <w:rFonts w:hint="eastAsia" w:cs="Times New Roman"/>
          <w:b w:val="0"/>
          <w:bCs w:val="0"/>
          <w:i w:val="0"/>
          <w:iCs w:val="0"/>
          <w:color w:val="000000" w:themeColor="text1"/>
          <w:kern w:val="0"/>
          <w:sz w:val="24"/>
          <w:szCs w:val="24"/>
          <w:u w:val="none"/>
          <w:lang w:val="en-US" w:eastAsia="zh-CN" w:bidi="ar"/>
          <w14:textFill>
            <w14:solidFill>
              <w14:schemeClr w14:val="tx1"/>
            </w14:solidFill>
          </w14:textFill>
        </w:rPr>
        <w:t>物流仓储区：规划运通街－顺达路－红星大街－东环路，</w:t>
      </w:r>
      <w:r>
        <w:rPr>
          <w:rFonts w:hint="eastAsia"/>
          <w:color w:val="000000" w:themeColor="text1"/>
          <w14:textFill>
            <w14:solidFill>
              <w14:schemeClr w14:val="tx1"/>
            </w14:solidFill>
          </w14:textFill>
        </w:rPr>
        <w:t>主要为仓储用地、工业用</w:t>
      </w:r>
      <w:r>
        <w:rPr>
          <w:rFonts w:hint="eastAsia"/>
          <w:color w:val="000000" w:themeColor="text1"/>
          <w:lang w:val="en-US" w:eastAsia="zh-CN"/>
          <w14:textFill>
            <w14:solidFill>
              <w14:schemeClr w14:val="tx1"/>
            </w14:solidFill>
          </w14:textFill>
        </w:rPr>
        <w:t>地</w:t>
      </w:r>
      <w:r>
        <w:rPr>
          <w:rFonts w:hint="eastAsia"/>
          <w:color w:val="000000" w:themeColor="text1"/>
          <w14:textFill>
            <w14:solidFill>
              <w14:schemeClr w14:val="tx1"/>
            </w14:solidFill>
          </w14:textFill>
        </w:rPr>
        <w:t>，城市总体规划中这些均为工业、仓储用地，因此3类区与城市规划相协调。</w:t>
      </w:r>
    </w:p>
    <w:p w14:paraId="1606F739">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（4）4类区</w:t>
      </w:r>
    </w:p>
    <w:p w14:paraId="6373947C">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本次</w:t>
      </w:r>
      <w:r>
        <w:rPr>
          <w:rFonts w:hint="eastAsia"/>
          <w:color w:val="000000" w:themeColor="text1"/>
          <w:lang w:val="en-US" w:eastAsia="zh-CN"/>
          <w14:textFill>
            <w14:solidFill>
              <w14:schemeClr w14:val="tx1"/>
            </w14:solidFill>
          </w14:textFill>
        </w:rPr>
        <w:t>声环境</w:t>
      </w:r>
      <w:r>
        <w:rPr>
          <w:rFonts w:hint="eastAsia"/>
          <w:color w:val="000000" w:themeColor="text1"/>
          <w14:textFill>
            <w14:solidFill>
              <w14:schemeClr w14:val="tx1"/>
            </w14:solidFill>
          </w14:textFill>
        </w:rPr>
        <w:t>功能区划分的4类区为</w:t>
      </w: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镇内城市道路，按照城市规划及现状用地类型，结合城市道路等级予以划分，城市快速路、城市主干路、城市次干路边界线外一定距离内的区域划分为4a类</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因此4类区与城市规划相协调。</w:t>
      </w:r>
    </w:p>
    <w:p w14:paraId="77230D37">
      <w:pPr>
        <w:pStyle w:val="4"/>
        <w:rPr>
          <w:rFonts w:hint="eastAsia"/>
          <w:color w:val="000000" w:themeColor="text1"/>
          <w14:textFill>
            <w14:solidFill>
              <w14:schemeClr w14:val="tx1"/>
            </w14:solidFill>
          </w14:textFill>
        </w:rPr>
      </w:pPr>
      <w:bookmarkStart w:id="162" w:name="_Toc17850"/>
      <w:r>
        <w:rPr>
          <w:rFonts w:hint="eastAsia"/>
          <w:color w:val="000000" w:themeColor="text1"/>
          <w14:textFill>
            <w14:solidFill>
              <w14:schemeClr w14:val="tx1"/>
            </w14:solidFill>
          </w14:textFill>
        </w:rPr>
        <w:t>5.3.2</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区划目标的可达性分析</w:t>
      </w:r>
      <w:bookmarkEnd w:id="162"/>
    </w:p>
    <w:p w14:paraId="2A13DC42">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根据对</w:t>
      </w: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声环境质量现状调查，</w:t>
      </w: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昼间和夜间达标率较高</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声环境质量较好</w:t>
      </w:r>
      <w:r>
        <w:rPr>
          <w:rFonts w:hint="eastAsia"/>
          <w:color w:val="000000" w:themeColor="text1"/>
          <w:highlight w:val="none"/>
          <w14:textFill>
            <w14:solidFill>
              <w14:schemeClr w14:val="tx1"/>
            </w14:solidFill>
          </w14:textFill>
        </w:rPr>
        <w:t>。</w:t>
      </w:r>
      <w:r>
        <w:rPr>
          <w:rFonts w:hint="eastAsia"/>
          <w:color w:val="auto"/>
          <w:highlight w:val="none"/>
        </w:rPr>
        <w:t>1类区昼间、夜间声环境质量达标率均为100%，2类区昼间、夜间声环境质量达标率均为100%，3类区昼间、夜间声环境质量达标率均为100%，4a类区昼间、夜间声环境质量达标率均为100%。</w:t>
      </w:r>
    </w:p>
    <w:p w14:paraId="75316233">
      <w:pPr>
        <w:ind w:firstLine="471"/>
        <w:rPr>
          <w:rFonts w:hint="eastAsia"/>
          <w:color w:val="000000" w:themeColor="text1"/>
          <w14:textFill>
            <w14:solidFill>
              <w14:schemeClr w14:val="tx1"/>
            </w14:solidFill>
          </w14:textFill>
        </w:rPr>
      </w:pPr>
      <w:r>
        <w:rPr>
          <w:rFonts w:hint="eastAsia"/>
          <w:color w:val="000000" w:themeColor="text1"/>
          <w:highlight w:val="none"/>
          <w14:textFill>
            <w14:solidFill>
              <w14:schemeClr w14:val="tx1"/>
            </w14:solidFill>
          </w14:textFill>
        </w:rPr>
        <w:t>此次对</w:t>
      </w:r>
      <w:r>
        <w:rPr>
          <w:rFonts w:hint="eastAsia"/>
          <w:color w:val="000000" w:themeColor="text1"/>
          <w:highlight w:val="none"/>
          <w:lang w:eastAsia="zh-CN"/>
          <w14:textFill>
            <w14:solidFill>
              <w14:schemeClr w14:val="tx1"/>
            </w14:solidFill>
          </w14:textFill>
        </w:rPr>
        <w:t>绥滨县中心城区</w:t>
      </w:r>
      <w:r>
        <w:rPr>
          <w:rFonts w:hint="eastAsia"/>
          <w:color w:val="000000" w:themeColor="text1"/>
          <w:highlight w:val="none"/>
          <w14:textFill>
            <w14:solidFill>
              <w14:schemeClr w14:val="tx1"/>
            </w14:solidFill>
          </w14:textFill>
        </w:rPr>
        <w:t>声环境质量现状进行调查，各类</w:t>
      </w:r>
      <w:r>
        <w:rPr>
          <w:rFonts w:hint="eastAsia"/>
          <w:color w:val="000000" w:themeColor="text1"/>
          <w:highlight w:val="none"/>
          <w:lang w:val="en-US" w:eastAsia="zh-CN"/>
          <w14:textFill>
            <w14:solidFill>
              <w14:schemeClr w14:val="tx1"/>
            </w14:solidFill>
          </w14:textFill>
        </w:rPr>
        <w:t>声环境</w:t>
      </w:r>
      <w:r>
        <w:rPr>
          <w:rFonts w:hint="eastAsia"/>
          <w:color w:val="000000" w:themeColor="text1"/>
          <w:highlight w:val="none"/>
          <w14:textFill>
            <w14:solidFill>
              <w14:schemeClr w14:val="tx1"/>
            </w14:solidFill>
          </w14:textFill>
        </w:rPr>
        <w:t>功能区均能满足相应的标准要求</w:t>
      </w:r>
      <w:r>
        <w:rPr>
          <w:rFonts w:hint="eastAsia"/>
          <w:color w:val="000000" w:themeColor="text1"/>
          <w14:textFill>
            <w14:solidFill>
              <w14:schemeClr w14:val="tx1"/>
            </w14:solidFill>
          </w14:textFill>
        </w:rPr>
        <w:t>。因此，本次声环境功能区划在结合</w:t>
      </w:r>
      <w:r>
        <w:rPr>
          <w:rFonts w:hint="eastAsia"/>
          <w:color w:val="000000" w:themeColor="text1"/>
          <w:lang w:eastAsia="zh-CN"/>
          <w14:textFill>
            <w14:solidFill>
              <w14:schemeClr w14:val="tx1"/>
            </w14:solidFill>
          </w14:textFill>
        </w:rPr>
        <w:t>国土空间总体规划</w:t>
      </w:r>
      <w:r>
        <w:rPr>
          <w:rFonts w:hint="eastAsia"/>
          <w:color w:val="000000" w:themeColor="text1"/>
          <w14:textFill>
            <w14:solidFill>
              <w14:schemeClr w14:val="tx1"/>
            </w14:solidFill>
          </w14:textFill>
        </w:rPr>
        <w:t>的前提下，充分考虑了城市声环境质量现状</w:t>
      </w:r>
      <w:r>
        <w:rPr>
          <w:rFonts w:hint="eastAsia"/>
          <w:color w:val="000000" w:themeColor="text1"/>
          <w:lang w:eastAsia="zh-CN"/>
          <w14:textFill>
            <w14:solidFill>
              <w14:schemeClr w14:val="tx1"/>
            </w14:solidFill>
          </w14:textFill>
        </w:rPr>
        <w:t>和今后经济社会发展的需要</w:t>
      </w:r>
      <w:r>
        <w:rPr>
          <w:rFonts w:hint="eastAsia"/>
          <w:color w:val="000000" w:themeColor="text1"/>
          <w14:textFill>
            <w14:solidFill>
              <w14:schemeClr w14:val="tx1"/>
            </w14:solidFill>
          </w14:textFill>
        </w:rPr>
        <w:t>，分析影响区域声环境质量超标的主要因素有交通</w:t>
      </w:r>
      <w:r>
        <w:rPr>
          <w:rFonts w:hint="eastAsia"/>
          <w:color w:val="000000" w:themeColor="text1"/>
          <w:lang w:val="en-US" w:eastAsia="zh-CN"/>
          <w14:textFill>
            <w14:solidFill>
              <w14:schemeClr w14:val="tx1"/>
            </w14:solidFill>
          </w14:textFill>
        </w:rPr>
        <w:t>噪声</w:t>
      </w:r>
      <w:r>
        <w:rPr>
          <w:rFonts w:hint="eastAsia"/>
          <w:color w:val="000000" w:themeColor="text1"/>
          <w14:textFill>
            <w14:solidFill>
              <w14:schemeClr w14:val="tx1"/>
            </w14:solidFill>
          </w14:textFill>
        </w:rPr>
        <w:t>以及居民生活噪声等。</w:t>
      </w:r>
    </w:p>
    <w:p w14:paraId="598F2BFF">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目前，</w:t>
      </w: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部分区域声环境质量良好，噪声污染线源与面源相叠加，保证声环境质量完全达标也是一个需要努力的过程；技术的发展和住宅质量能保障</w:t>
      </w: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人居住宅室内声环境质量达标，不影响人们正常生活及工作。政策导向和管理在环境保护中起着至关重要的作用，良好的政策导向和有效的环境管理会对</w:t>
      </w: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声环境质量的改善起到至关重要的作用。因此，制定严格的噪声控制政策及声环境管理机制对</w:t>
      </w: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声环境</w:t>
      </w:r>
      <w:r>
        <w:rPr>
          <w:rFonts w:hint="eastAsia"/>
          <w:color w:val="000000" w:themeColor="text1"/>
          <w:lang w:val="en-US" w:eastAsia="zh-CN"/>
          <w14:textFill>
            <w14:solidFill>
              <w14:schemeClr w14:val="tx1"/>
            </w14:solidFill>
          </w14:textFill>
        </w:rPr>
        <w:t>功能区</w:t>
      </w:r>
      <w:r>
        <w:rPr>
          <w:rFonts w:hint="eastAsia"/>
          <w:color w:val="000000" w:themeColor="text1"/>
          <w14:textFill>
            <w14:solidFill>
              <w14:schemeClr w14:val="tx1"/>
            </w14:solidFill>
          </w14:textFill>
        </w:rPr>
        <w:t>达标有积极的作用。</w:t>
      </w:r>
    </w:p>
    <w:p w14:paraId="4358EFFA">
      <w:pPr>
        <w:pStyle w:val="4"/>
        <w:rPr>
          <w:rFonts w:hint="eastAsia"/>
          <w:color w:val="000000" w:themeColor="text1"/>
          <w14:textFill>
            <w14:solidFill>
              <w14:schemeClr w14:val="tx1"/>
            </w14:solidFill>
          </w14:textFill>
        </w:rPr>
      </w:pPr>
      <w:bookmarkStart w:id="163" w:name="_Toc12884"/>
      <w:r>
        <w:rPr>
          <w:rFonts w:hint="eastAsia"/>
          <w:color w:val="000000" w:themeColor="text1"/>
          <w14:textFill>
            <w14:solidFill>
              <w14:schemeClr w14:val="tx1"/>
            </w14:solidFill>
          </w14:textFill>
        </w:rPr>
        <w:t>5.3.3</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环境管理的可操作性分析</w:t>
      </w:r>
      <w:bookmarkEnd w:id="163"/>
    </w:p>
    <w:p w14:paraId="5F2D9BA3">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本次声</w:t>
      </w:r>
      <w:r>
        <w:rPr>
          <w:rFonts w:hint="eastAsia"/>
          <w:color w:val="000000" w:themeColor="text1"/>
          <w:lang w:val="en-US" w:eastAsia="zh-CN"/>
          <w14:textFill>
            <w14:solidFill>
              <w14:schemeClr w14:val="tx1"/>
            </w14:solidFill>
          </w14:textFill>
        </w:rPr>
        <w:t>环境</w:t>
      </w:r>
      <w:r>
        <w:rPr>
          <w:rFonts w:hint="eastAsia"/>
          <w:color w:val="000000" w:themeColor="text1"/>
          <w14:textFill>
            <w14:solidFill>
              <w14:schemeClr w14:val="tx1"/>
            </w14:solidFill>
          </w14:textFill>
        </w:rPr>
        <w:t>功能区划分以保证区域内声环境质量、确保区域内的人群健康为目的。其结果与</w:t>
      </w: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环境管理目标基本一致，范围明确，能够应用于日常声环境管理，满足环境管理要求的深度，具有较强的可操作性。</w:t>
      </w:r>
    </w:p>
    <w:p w14:paraId="7375B624">
      <w:pPr>
        <w:pStyle w:val="4"/>
        <w:bidi w:val="0"/>
        <w:rPr>
          <w:rFonts w:hint="eastAsia"/>
          <w:color w:val="000000" w:themeColor="text1"/>
          <w14:textFill>
            <w14:solidFill>
              <w14:schemeClr w14:val="tx1"/>
            </w14:solidFill>
          </w14:textFill>
        </w:rPr>
      </w:pPr>
      <w:bookmarkStart w:id="164" w:name="_Toc5306"/>
      <w:r>
        <w:rPr>
          <w:rFonts w:hint="eastAsia"/>
          <w:color w:val="000000" w:themeColor="text1"/>
          <w14:textFill>
            <w14:solidFill>
              <w14:schemeClr w14:val="tx1"/>
            </w14:solidFill>
          </w14:textFill>
        </w:rPr>
        <w:t>5.3.4</w:t>
      </w:r>
      <w:r>
        <w:rPr>
          <w:rFonts w:hint="eastAsia"/>
          <w:color w:val="000000" w:themeColor="text1"/>
          <w:lang w:val="en-US" w:eastAsia="zh-CN"/>
          <w14:textFill>
            <w14:solidFill>
              <w14:schemeClr w14:val="tx1"/>
            </w14:solidFill>
          </w14:textFill>
        </w:rPr>
        <w:t xml:space="preserve"> </w:t>
      </w:r>
      <w:r>
        <w:rPr>
          <w:rFonts w:hint="eastAsia"/>
          <w:color w:val="000000" w:themeColor="text1"/>
          <w:lang w:eastAsia="zh-CN"/>
          <w14:textFill>
            <w14:solidFill>
              <w14:schemeClr w14:val="tx1"/>
            </w14:solidFill>
          </w14:textFill>
        </w:rPr>
        <w:t>区划</w:t>
      </w:r>
      <w:r>
        <w:rPr>
          <w:rFonts w:hint="eastAsia"/>
          <w:color w:val="000000" w:themeColor="text1"/>
          <w14:textFill>
            <w14:solidFill>
              <w14:schemeClr w14:val="tx1"/>
            </w14:solidFill>
          </w14:textFill>
        </w:rPr>
        <w:t>实施可行性分析结论</w:t>
      </w:r>
      <w:bookmarkEnd w:id="164"/>
    </w:p>
    <w:p w14:paraId="601B6193">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本次声环境功能区划定结果与</w:t>
      </w:r>
      <w:r>
        <w:rPr>
          <w:rFonts w:hint="eastAsia"/>
          <w:color w:val="000000" w:themeColor="text1"/>
          <w:lang w:eastAsia="zh-CN"/>
          <w14:textFill>
            <w14:solidFill>
              <w14:schemeClr w14:val="tx1"/>
            </w14:solidFill>
          </w14:textFill>
        </w:rPr>
        <w:t>国土空间总体规划</w:t>
      </w:r>
      <w:r>
        <w:rPr>
          <w:rFonts w:hint="eastAsia"/>
          <w:color w:val="000000" w:themeColor="text1"/>
          <w14:textFill>
            <w14:solidFill>
              <w14:schemeClr w14:val="tx1"/>
            </w14:solidFill>
          </w14:textFill>
        </w:rPr>
        <w:t>相协调，1类区多数为规划的居住、学校等用地；2类区为商业金融用地以及以商业为主的商业、居住、市政等混合用地；3类区为工业、仓储用地；4类区为道路两侧区域，具有较强的环境管理可操作性，因此本次声环境功能区划定结果是可行的。</w:t>
      </w:r>
    </w:p>
    <w:p w14:paraId="48197A26">
      <w:pPr>
        <w:pStyle w:val="3"/>
        <w:keepNext/>
        <w:keepLines/>
        <w:rPr>
          <w:color w:val="000000" w:themeColor="text1"/>
          <w:kern w:val="2"/>
          <w14:textFill>
            <w14:solidFill>
              <w14:schemeClr w14:val="tx1"/>
            </w14:solidFill>
          </w14:textFill>
        </w:rPr>
      </w:pPr>
      <w:bookmarkStart w:id="165" w:name="_Toc25753"/>
      <w:bookmarkStart w:id="166" w:name="_Toc26210"/>
      <w:bookmarkStart w:id="167" w:name="_Toc16984"/>
      <w:bookmarkStart w:id="168" w:name="_Toc17947"/>
      <w:r>
        <w:rPr>
          <w:color w:val="000000" w:themeColor="text1"/>
          <w:kern w:val="2"/>
          <w14:textFill>
            <w14:solidFill>
              <w14:schemeClr w14:val="tx1"/>
            </w14:solidFill>
          </w14:textFill>
        </w:rPr>
        <w:t>5.4</w:t>
      </w:r>
      <w:r>
        <w:rPr>
          <w:rFonts w:hint="eastAsia"/>
          <w:color w:val="000000" w:themeColor="text1"/>
          <w:kern w:val="2"/>
          <w:lang w:val="en-US" w:eastAsia="zh-CN"/>
          <w14:textFill>
            <w14:solidFill>
              <w14:schemeClr w14:val="tx1"/>
            </w14:solidFill>
          </w14:textFill>
        </w:rPr>
        <w:t xml:space="preserve"> 声环境</w:t>
      </w:r>
      <w:r>
        <w:rPr>
          <w:color w:val="000000" w:themeColor="text1"/>
          <w:kern w:val="2"/>
          <w14:textFill>
            <w14:solidFill>
              <w14:schemeClr w14:val="tx1"/>
            </w14:solidFill>
          </w14:textFill>
        </w:rPr>
        <w:t>管理及保护措施</w:t>
      </w:r>
      <w:bookmarkEnd w:id="165"/>
      <w:bookmarkEnd w:id="166"/>
      <w:bookmarkEnd w:id="167"/>
      <w:bookmarkEnd w:id="168"/>
    </w:p>
    <w:p w14:paraId="6A5DE950">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根据</w:t>
      </w: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目前声环境监测结果，其管理及保护措施应主要从以下几个方面开展。</w:t>
      </w:r>
    </w:p>
    <w:p w14:paraId="5A8DE053">
      <w:pPr>
        <w:pStyle w:val="4"/>
        <w:rPr>
          <w:rFonts w:hint="eastAsia"/>
          <w:color w:val="000000" w:themeColor="text1"/>
          <w14:textFill>
            <w14:solidFill>
              <w14:schemeClr w14:val="tx1"/>
            </w14:solidFill>
          </w14:textFill>
        </w:rPr>
      </w:pPr>
      <w:bookmarkStart w:id="169" w:name="_Toc4793"/>
      <w:r>
        <w:rPr>
          <w:rFonts w:hint="eastAsia"/>
          <w:color w:val="000000" w:themeColor="text1"/>
          <w14:textFill>
            <w14:solidFill>
              <w14:schemeClr w14:val="tx1"/>
            </w14:solidFill>
          </w14:textFill>
        </w:rPr>
        <w:t>5.4.1</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按照</w:t>
      </w:r>
      <w:r>
        <w:rPr>
          <w:rFonts w:hint="eastAsia"/>
          <w:color w:val="000000" w:themeColor="text1"/>
          <w:lang w:eastAsia="zh-CN"/>
          <w14:textFill>
            <w14:solidFill>
              <w14:schemeClr w14:val="tx1"/>
            </w14:solidFill>
          </w14:textFill>
        </w:rPr>
        <w:t>国土空间总体规划</w:t>
      </w:r>
      <w:r>
        <w:rPr>
          <w:rFonts w:hint="eastAsia"/>
          <w:color w:val="000000" w:themeColor="text1"/>
          <w14:textFill>
            <w14:solidFill>
              <w14:schemeClr w14:val="tx1"/>
            </w14:solidFill>
          </w14:textFill>
        </w:rPr>
        <w:t>，合理分布噪声源</w:t>
      </w:r>
      <w:bookmarkEnd w:id="169"/>
    </w:p>
    <w:p w14:paraId="19EDA83A">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按照</w:t>
      </w:r>
      <w:r>
        <w:rPr>
          <w:rFonts w:hint="eastAsia"/>
          <w:color w:val="000000" w:themeColor="text1"/>
          <w:lang w:eastAsia="zh-CN"/>
          <w14:textFill>
            <w14:solidFill>
              <w14:schemeClr w14:val="tx1"/>
            </w14:solidFill>
          </w14:textFill>
        </w:rPr>
        <w:t>绥滨县国土空间总体规划</w:t>
      </w:r>
      <w:r>
        <w:rPr>
          <w:rFonts w:hint="eastAsia"/>
          <w:color w:val="000000" w:themeColor="text1"/>
          <w14:textFill>
            <w14:solidFill>
              <w14:schemeClr w14:val="tx1"/>
            </w14:solidFill>
          </w14:textFill>
        </w:rPr>
        <w:t>，</w:t>
      </w:r>
      <w:r>
        <w:rPr>
          <w:rFonts w:hint="eastAsia" w:ascii="Times New Roman" w:hAnsi="Times New Roman" w:eastAsia="宋体" w:cs="Times New Roman"/>
          <w:color w:val="000000" w:themeColor="text1"/>
          <w:sz w:val="24"/>
          <w:szCs w:val="24"/>
          <w14:textFill>
            <w14:solidFill>
              <w14:schemeClr w14:val="tx1"/>
            </w14:solidFill>
          </w14:textFill>
        </w:rPr>
        <w:t>利用科学手段合理</w:t>
      </w:r>
      <w:r>
        <w:rPr>
          <w:rFonts w:hint="eastAsia" w:ascii="Times New Roman" w:hAnsi="Times New Roman" w:eastAsia="宋体" w:cs="Times New Roman"/>
          <w:color w:val="000000" w:themeColor="text1"/>
          <w:sz w:val="24"/>
          <w:szCs w:val="24"/>
          <w:lang w:eastAsia="zh-CN"/>
          <w14:textFill>
            <w14:solidFill>
              <w14:schemeClr w14:val="tx1"/>
            </w14:solidFill>
          </w14:textFill>
        </w:rPr>
        <w:t>控制</w:t>
      </w:r>
      <w:r>
        <w:rPr>
          <w:rFonts w:hint="eastAsia" w:ascii="Times New Roman" w:hAnsi="Times New Roman" w:eastAsia="宋体" w:cs="Times New Roman"/>
          <w:color w:val="000000" w:themeColor="text1"/>
          <w:sz w:val="24"/>
          <w:szCs w:val="24"/>
          <w14:textFill>
            <w14:solidFill>
              <w14:schemeClr w14:val="tx1"/>
            </w14:solidFill>
          </w14:textFill>
        </w:rPr>
        <w:t>噪声源</w:t>
      </w:r>
      <w:r>
        <w:rPr>
          <w:rFonts w:hint="eastAsia" w:ascii="Times New Roman" w:hAnsi="Times New Roman" w:eastAsia="宋体" w:cs="Times New Roman"/>
          <w:color w:val="000000" w:themeColor="text1"/>
          <w:sz w:val="24"/>
          <w:szCs w:val="24"/>
          <w:lang w:eastAsia="zh-CN"/>
          <w14:textFill>
            <w14:solidFill>
              <w14:schemeClr w14:val="tx1"/>
            </w14:solidFill>
          </w14:textFill>
        </w:rPr>
        <w:t>的</w:t>
      </w:r>
      <w:r>
        <w:rPr>
          <w:rFonts w:hint="eastAsia" w:ascii="Times New Roman" w:hAnsi="Times New Roman" w:eastAsia="宋体" w:cs="Times New Roman"/>
          <w:color w:val="000000" w:themeColor="text1"/>
          <w:sz w:val="24"/>
          <w:szCs w:val="24"/>
          <w14:textFill>
            <w14:solidFill>
              <w14:schemeClr w14:val="tx1"/>
            </w14:solidFill>
          </w14:textFill>
        </w:rPr>
        <w:t>分布</w:t>
      </w:r>
      <w:r>
        <w:rPr>
          <w:rFonts w:hint="eastAsia" w:ascii="Times New Roman" w:hAnsi="Times New Roman" w:eastAsia="宋体" w:cs="Times New Roman"/>
          <w:color w:val="000000" w:themeColor="text1"/>
          <w14:textFill>
            <w14:solidFill>
              <w14:schemeClr w14:val="tx1"/>
            </w14:solidFill>
          </w14:textFill>
        </w:rPr>
        <w:t>，减</w:t>
      </w:r>
      <w:r>
        <w:rPr>
          <w:rFonts w:hint="eastAsia"/>
          <w:color w:val="000000" w:themeColor="text1"/>
          <w14:textFill>
            <w14:solidFill>
              <w14:schemeClr w14:val="tx1"/>
            </w14:solidFill>
          </w14:textFill>
        </w:rPr>
        <w:t>少</w:t>
      </w:r>
      <w:r>
        <w:rPr>
          <w:rFonts w:hint="eastAsia"/>
          <w:color w:val="000000" w:themeColor="text1"/>
          <w:lang w:eastAsia="zh-CN"/>
          <w14:textFill>
            <w14:solidFill>
              <w14:schemeClr w14:val="tx1"/>
            </w14:solidFill>
          </w14:textFill>
        </w:rPr>
        <w:t>噪声</w:t>
      </w:r>
      <w:r>
        <w:rPr>
          <w:rFonts w:hint="eastAsia"/>
          <w:color w:val="000000" w:themeColor="text1"/>
          <w14:textFill>
            <w14:solidFill>
              <w14:schemeClr w14:val="tx1"/>
            </w14:solidFill>
          </w14:textFill>
        </w:rPr>
        <w:t>叠加形成噪声污染。</w:t>
      </w:r>
    </w:p>
    <w:p w14:paraId="6ADFDFAC">
      <w:pPr>
        <w:pStyle w:val="4"/>
        <w:rPr>
          <w:rFonts w:hint="eastAsia"/>
          <w:color w:val="000000" w:themeColor="text1"/>
          <w14:textFill>
            <w14:solidFill>
              <w14:schemeClr w14:val="tx1"/>
            </w14:solidFill>
          </w14:textFill>
        </w:rPr>
      </w:pPr>
      <w:bookmarkStart w:id="170" w:name="_Toc20187"/>
      <w:r>
        <w:rPr>
          <w:rFonts w:hint="eastAsia"/>
          <w:color w:val="000000" w:themeColor="text1"/>
          <w14:textFill>
            <w14:solidFill>
              <w14:schemeClr w14:val="tx1"/>
            </w14:solidFill>
          </w14:textFill>
        </w:rPr>
        <w:t>5.4.2</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依据相关法律法规，加大重点领域噪声污染防治力度</w:t>
      </w:r>
      <w:bookmarkEnd w:id="170"/>
    </w:p>
    <w:p w14:paraId="7CCA8230">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一是严格执行《工业企业厂界环境噪声排放标准》（GB</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12348-2008）要求，加大对工业噪声排放超标污染源的治理力度，查处工业企业噪声排放超标扰民行为。</w:t>
      </w:r>
    </w:p>
    <w:p w14:paraId="288AE0D3">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二是不断加强交通噪声污染防治。全面落实《地面交通噪声污染防治技术政策》，对噪声敏感建筑物集中区域的高架路、快速路、高速公路等道路两边应配套建设隔声屏障，严格实施禁鸣、限行、限速等措施。</w:t>
      </w:r>
    </w:p>
    <w:p w14:paraId="621E9583">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三是积极推进社会生活噪声污染防治。严格实施《社会生活环境噪声排放标准》（GB</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22337-2008），加大县域内尤其是1类声环境</w:t>
      </w:r>
      <w:r>
        <w:rPr>
          <w:rFonts w:hint="eastAsia"/>
          <w:color w:val="000000" w:themeColor="text1"/>
          <w:lang w:val="en-US" w:eastAsia="zh-CN"/>
          <w14:textFill>
            <w14:solidFill>
              <w14:schemeClr w14:val="tx1"/>
            </w14:solidFill>
          </w14:textFill>
        </w:rPr>
        <w:t>功能</w:t>
      </w:r>
      <w:r>
        <w:rPr>
          <w:rFonts w:hint="eastAsia"/>
          <w:color w:val="000000" w:themeColor="text1"/>
          <w14:textFill>
            <w14:solidFill>
              <w14:schemeClr w14:val="tx1"/>
            </w14:solidFill>
          </w14:textFill>
        </w:rPr>
        <w:t>区社会生活噪声治理。</w:t>
      </w:r>
    </w:p>
    <w:p w14:paraId="429E95F3">
      <w:pPr>
        <w:pStyle w:val="4"/>
        <w:rPr>
          <w:rFonts w:hint="eastAsia"/>
          <w:color w:val="000000" w:themeColor="text1"/>
          <w14:textFill>
            <w14:solidFill>
              <w14:schemeClr w14:val="tx1"/>
            </w14:solidFill>
          </w14:textFill>
        </w:rPr>
      </w:pPr>
      <w:bookmarkStart w:id="171" w:name="_Toc10202"/>
      <w:r>
        <w:rPr>
          <w:rFonts w:hint="eastAsia"/>
          <w:color w:val="000000" w:themeColor="text1"/>
          <w14:textFill>
            <w14:solidFill>
              <w14:schemeClr w14:val="tx1"/>
            </w14:solidFill>
          </w14:textFill>
        </w:rPr>
        <w:t>5.4.3</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完善声环境监测网络，强化监管支撑能力建设</w:t>
      </w:r>
      <w:bookmarkEnd w:id="171"/>
    </w:p>
    <w:p w14:paraId="660FAF79">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一是完善噪声监测网络。重点噪声污染源应安装噪声自动监测仪器，将监测数据作为执法监管依据。加强噪声污染执法监测能力，加大力度对环境监测和环境监察部门配置相应的噪声现场监测设备和仪器。</w:t>
      </w:r>
    </w:p>
    <w:p w14:paraId="606FFDF7">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二是提高执法监管能力。坚持按年组织开展噪声污染防治相关法规、政策和标准的培训。</w:t>
      </w:r>
    </w:p>
    <w:p w14:paraId="05E84A14">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三是强化部门协调联动。环保、城管、公安、文化、交通、住建等部门应协调配合，加强噪声防治污染。定期组织联合执法专项行动。</w:t>
      </w:r>
    </w:p>
    <w:p w14:paraId="1F7E055A">
      <w:pPr>
        <w:pStyle w:val="4"/>
        <w:rPr>
          <w:rFonts w:hint="eastAsia"/>
          <w:color w:val="000000" w:themeColor="text1"/>
          <w14:textFill>
            <w14:solidFill>
              <w14:schemeClr w14:val="tx1"/>
            </w14:solidFill>
          </w14:textFill>
        </w:rPr>
      </w:pPr>
      <w:bookmarkStart w:id="172" w:name="_Toc29980"/>
      <w:r>
        <w:rPr>
          <w:rFonts w:hint="eastAsia"/>
          <w:color w:val="000000" w:themeColor="text1"/>
          <w14:textFill>
            <w14:solidFill>
              <w14:schemeClr w14:val="tx1"/>
            </w14:solidFill>
          </w14:textFill>
        </w:rPr>
        <w:t>5.4.4</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与城市整体建设相衔接，做好宣传教育工作</w:t>
      </w:r>
      <w:bookmarkEnd w:id="172"/>
    </w:p>
    <w:p w14:paraId="52120FF0">
      <w:pPr>
        <w:keepNext w:val="0"/>
        <w:keepLines w:val="0"/>
        <w:pageBreakBefore w:val="0"/>
        <w:widowControl w:val="0"/>
        <w:kinsoku/>
        <w:wordWrap/>
        <w:overflowPunct/>
        <w:topLinePunct w:val="0"/>
        <w:autoSpaceDE/>
        <w:autoSpaceDN/>
        <w:bidi w:val="0"/>
        <w:adjustRightInd/>
        <w:snapToGrid/>
        <w:ind w:firstLine="472" w:firstLineChars="200"/>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不断深化信息管理。划定后的声环境功能区应在</w:t>
      </w:r>
      <w:r>
        <w:rPr>
          <w:rFonts w:hint="eastAsia"/>
          <w:color w:val="000000" w:themeColor="text1"/>
          <w:lang w:eastAsia="zh-CN"/>
          <w14:textFill>
            <w14:solidFill>
              <w14:schemeClr w14:val="tx1"/>
            </w14:solidFill>
          </w14:textFill>
        </w:rPr>
        <w:t>绥滨县</w:t>
      </w:r>
      <w:r>
        <w:rPr>
          <w:rFonts w:hint="eastAsia"/>
          <w:color w:val="000000" w:themeColor="text1"/>
          <w14:textFill>
            <w14:solidFill>
              <w14:schemeClr w14:val="tx1"/>
            </w14:solidFill>
          </w14:textFill>
        </w:rPr>
        <w:t>政府网站予以公开。建立环境噪声信息通报制度，区划制定和建设项目审批前应广泛征求相关居民意见</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同时大力促进公众参与。广泛宣传噪声污染防治的法律法规和政策，介绍噪声对人体健康危害的知识。</w:t>
      </w:r>
    </w:p>
    <w:p w14:paraId="5F59C09A">
      <w:pPr>
        <w:ind w:firstLine="471"/>
        <w:rPr>
          <w:rFonts w:hint="eastAsia"/>
          <w:color w:val="000000" w:themeColor="text1"/>
          <w14:textFill>
            <w14:solidFill>
              <w14:schemeClr w14:val="tx1"/>
            </w14:solidFill>
          </w14:textFill>
        </w:rPr>
        <w:sectPr>
          <w:pgSz w:w="11906" w:h="16838"/>
          <w:pgMar w:top="1440" w:right="1803" w:bottom="1440" w:left="1803" w:header="794" w:footer="992" w:gutter="0"/>
          <w:pgBorders>
            <w:top w:val="none" w:sz="0" w:space="0"/>
            <w:left w:val="none" w:sz="0" w:space="0"/>
            <w:bottom w:val="none" w:sz="0" w:space="0"/>
            <w:right w:val="none" w:sz="0" w:space="0"/>
          </w:pgBorders>
          <w:pgNumType w:fmt="numberInDash"/>
          <w:cols w:space="720" w:num="1"/>
          <w:rtlGutter w:val="0"/>
          <w:docGrid w:type="linesAndChars" w:linePitch="347" w:charSpace="-874"/>
        </w:sectPr>
      </w:pPr>
    </w:p>
    <w:p w14:paraId="1723CDC6">
      <w:pPr>
        <w:pStyle w:val="2"/>
        <w:keepNext/>
        <w:keepLines/>
        <w:jc w:val="center"/>
        <w:rPr>
          <w:rFonts w:hint="eastAsia"/>
          <w:color w:val="000000" w:themeColor="text1"/>
          <w14:textFill>
            <w14:solidFill>
              <w14:schemeClr w14:val="tx1"/>
            </w14:solidFill>
          </w14:textFill>
        </w:rPr>
      </w:pPr>
      <w:bookmarkStart w:id="173" w:name="_Toc19247"/>
      <w:bookmarkStart w:id="174" w:name="_Toc15078"/>
      <w:bookmarkStart w:id="175" w:name="_Toc11326"/>
      <w:bookmarkStart w:id="176" w:name="_Toc28116"/>
      <w:r>
        <w:rPr>
          <w:rFonts w:hint="eastAsia"/>
          <w:color w:val="000000" w:themeColor="text1"/>
          <w14:textFill>
            <w14:solidFill>
              <w14:schemeClr w14:val="tx1"/>
            </w14:solidFill>
          </w14:textFill>
        </w:rPr>
        <w:t>6</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结论</w:t>
      </w:r>
      <w:bookmarkEnd w:id="173"/>
      <w:bookmarkEnd w:id="174"/>
      <w:bookmarkEnd w:id="175"/>
      <w:bookmarkEnd w:id="176"/>
    </w:p>
    <w:p w14:paraId="3EBC9547">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按照《声环境功能区划分技术规范》（GB/T</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15190-2014）要求，对</w:t>
      </w: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声环境功能区进行划分。根据现场监测结果，</w:t>
      </w: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声环境质量较好，各监测点均</w:t>
      </w:r>
      <w:r>
        <w:rPr>
          <w:rFonts w:hint="eastAsia"/>
          <w:color w:val="000000" w:themeColor="text1"/>
          <w:lang w:val="en-US" w:eastAsia="zh-CN"/>
          <w14:textFill>
            <w14:solidFill>
              <w14:schemeClr w14:val="tx1"/>
            </w14:solidFill>
          </w14:textFill>
        </w:rPr>
        <w:t>未</w:t>
      </w:r>
      <w:r>
        <w:rPr>
          <w:rFonts w:hint="eastAsia"/>
          <w:color w:val="000000" w:themeColor="text1"/>
          <w14:textFill>
            <w14:solidFill>
              <w14:schemeClr w14:val="tx1"/>
            </w14:solidFill>
          </w14:textFill>
        </w:rPr>
        <w:t>超标。</w:t>
      </w:r>
    </w:p>
    <w:p w14:paraId="5A51B4DE">
      <w:pPr>
        <w:ind w:firstLine="471"/>
        <w:rPr>
          <w:color w:val="000000" w:themeColor="text1"/>
          <w14:textFill>
            <w14:solidFill>
              <w14:schemeClr w14:val="tx1"/>
            </w14:solidFill>
          </w14:textFill>
        </w:rPr>
        <w:sectPr>
          <w:pgSz w:w="11906" w:h="16838"/>
          <w:pgMar w:top="1440" w:right="1803" w:bottom="1440" w:left="1803" w:header="794" w:footer="992" w:gutter="0"/>
          <w:pgBorders>
            <w:top w:val="none" w:sz="0" w:space="0"/>
            <w:left w:val="none" w:sz="0" w:space="0"/>
            <w:bottom w:val="none" w:sz="0" w:space="0"/>
            <w:right w:val="none" w:sz="0" w:space="0"/>
          </w:pgBorders>
          <w:pgNumType w:fmt="numberInDash"/>
          <w:cols w:space="720" w:num="1"/>
          <w:rtlGutter w:val="0"/>
          <w:docGrid w:type="linesAndChars" w:linePitch="347" w:charSpace="-874"/>
        </w:sectPr>
      </w:pPr>
      <w:r>
        <w:rPr>
          <w:rFonts w:hint="eastAsia"/>
          <w:color w:val="000000" w:themeColor="text1"/>
          <w14:textFill>
            <w14:solidFill>
              <w14:schemeClr w14:val="tx1"/>
            </w14:solidFill>
          </w14:textFill>
        </w:rPr>
        <w:t>在采取制定噪声控制政策、声环境管理机制等手段后，能够实现</w:t>
      </w:r>
      <w:r>
        <w:rPr>
          <w:rFonts w:hint="eastAsia"/>
          <w:color w:val="000000" w:themeColor="text1"/>
          <w:lang w:eastAsia="zh-CN"/>
          <w14:textFill>
            <w14:solidFill>
              <w14:schemeClr w14:val="tx1"/>
            </w14:solidFill>
          </w14:textFill>
        </w:rPr>
        <w:t>绥滨县中心城区</w:t>
      </w:r>
      <w:r>
        <w:rPr>
          <w:rFonts w:hint="eastAsia"/>
          <w:color w:val="000000" w:themeColor="text1"/>
          <w:lang w:val="en-US" w:eastAsia="zh-CN"/>
          <w14:textFill>
            <w14:solidFill>
              <w14:schemeClr w14:val="tx1"/>
            </w14:solidFill>
          </w14:textFill>
        </w:rPr>
        <w:t>各声环境功能区</w:t>
      </w:r>
      <w:r>
        <w:rPr>
          <w:rFonts w:hint="eastAsia"/>
          <w:color w:val="000000" w:themeColor="text1"/>
          <w14:textFill>
            <w14:solidFill>
              <w14:schemeClr w14:val="tx1"/>
            </w14:solidFill>
          </w14:textFill>
        </w:rPr>
        <w:t>达标，因此本次声环境功能区划定结果是</w:t>
      </w:r>
      <w:r>
        <w:rPr>
          <w:rFonts w:hint="eastAsia"/>
          <w:color w:val="000000" w:themeColor="text1"/>
          <w:lang w:eastAsia="zh-CN"/>
          <w14:textFill>
            <w14:solidFill>
              <w14:schemeClr w14:val="tx1"/>
            </w14:solidFill>
          </w14:textFill>
        </w:rPr>
        <w:t>科学的、</w:t>
      </w:r>
      <w:r>
        <w:rPr>
          <w:rFonts w:hint="eastAsia"/>
          <w:color w:val="000000" w:themeColor="text1"/>
          <w14:textFill>
            <w14:solidFill>
              <w14:schemeClr w14:val="tx1"/>
            </w14:solidFill>
          </w14:textFill>
        </w:rPr>
        <w:t>可行的</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可以</w:t>
      </w:r>
      <w:r>
        <w:rPr>
          <w:color w:val="000000" w:themeColor="text1"/>
          <w14:textFill>
            <w14:solidFill>
              <w14:schemeClr w14:val="tx1"/>
            </w14:solidFill>
          </w14:textFill>
        </w:rPr>
        <w:t>满足</w:t>
      </w:r>
      <w:r>
        <w:rPr>
          <w:rFonts w:hint="eastAsia"/>
          <w:color w:val="000000" w:themeColor="text1"/>
          <w:lang w:eastAsia="zh-CN"/>
          <w14:textFill>
            <w14:solidFill>
              <w14:schemeClr w14:val="tx1"/>
            </w14:solidFill>
          </w14:textFill>
        </w:rPr>
        <w:t>绥滨县中心城区</w:t>
      </w:r>
      <w:r>
        <w:rPr>
          <w:color w:val="000000" w:themeColor="text1"/>
          <w14:textFill>
            <w14:solidFill>
              <w14:schemeClr w14:val="tx1"/>
            </w14:solidFill>
          </w14:textFill>
        </w:rPr>
        <w:t>现阶段城镇建设和</w:t>
      </w:r>
      <w:r>
        <w:rPr>
          <w:rFonts w:hint="eastAsia"/>
          <w:color w:val="000000" w:themeColor="text1"/>
          <w:lang w:eastAsia="zh-CN"/>
          <w14:textFill>
            <w14:solidFill>
              <w14:schemeClr w14:val="tx1"/>
            </w14:solidFill>
          </w14:textFill>
        </w:rPr>
        <w:t>今后经济社会</w:t>
      </w:r>
      <w:r>
        <w:rPr>
          <w:color w:val="000000" w:themeColor="text1"/>
          <w14:textFill>
            <w14:solidFill>
              <w14:schemeClr w14:val="tx1"/>
            </w14:solidFill>
          </w14:textFill>
        </w:rPr>
        <w:t>发展</w:t>
      </w:r>
      <w:r>
        <w:rPr>
          <w:rFonts w:hint="eastAsia"/>
          <w:color w:val="000000" w:themeColor="text1"/>
          <w14:textFill>
            <w14:solidFill>
              <w14:schemeClr w14:val="tx1"/>
            </w14:solidFill>
          </w14:textFill>
        </w:rPr>
        <w:t>需求</w:t>
      </w:r>
      <w:r>
        <w:rPr>
          <w:color w:val="000000" w:themeColor="text1"/>
          <w14:textFill>
            <w14:solidFill>
              <w14:schemeClr w14:val="tx1"/>
            </w14:solidFill>
          </w14:textFill>
        </w:rPr>
        <w:t>。</w:t>
      </w:r>
    </w:p>
    <w:p w14:paraId="18CF6A2A">
      <w:pPr>
        <w:pStyle w:val="2"/>
        <w:keepNext/>
        <w:keepLines/>
        <w:jc w:val="center"/>
        <w:rPr>
          <w:rFonts w:hint="eastAsia"/>
          <w:color w:val="000000" w:themeColor="text1"/>
          <w:lang w:val="en-US" w:eastAsia="zh-CN"/>
          <w14:textFill>
            <w14:solidFill>
              <w14:schemeClr w14:val="tx1"/>
            </w14:solidFill>
          </w14:textFill>
        </w:rPr>
      </w:pPr>
      <w:bookmarkStart w:id="177" w:name="_Toc24125"/>
      <w:r>
        <w:rPr>
          <w:rFonts w:hint="eastAsia"/>
          <w:color w:val="000000" w:themeColor="text1"/>
          <w:lang w:val="en-US" w:eastAsia="zh-CN"/>
          <w14:textFill>
            <w14:solidFill>
              <w14:schemeClr w14:val="tx1"/>
            </w14:solidFill>
          </w14:textFill>
        </w:rPr>
        <w:t>7 建议</w:t>
      </w:r>
      <w:bookmarkEnd w:id="177"/>
    </w:p>
    <w:p w14:paraId="186278F5">
      <w:pPr>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针对绥滨县中心城区声环境现状，结合本次规划方案，为控制噪声污染水平，保障民众日常生活、工作学习等环境的宁静舒适，提出以下建议：</w:t>
      </w:r>
    </w:p>
    <w:p w14:paraId="1E1C494A">
      <w:pPr>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及时调整声环境功能区划分</w:t>
      </w:r>
    </w:p>
    <w:p w14:paraId="6EB846DB">
      <w:pPr>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本次区划工作以国土空间总体规划为依据，随着城市规划的逐步实施，应及时对声环境功能区进行调整。当城市道路等级发生变更时，声环境功能区划应依据实际道路等级进行实时更新。此外，在今后的城市规划和总体设计中，应对各类交通干线和噪声源进行合理布局，对于需要保持安静的区域，如医院、学校、办公楼等，应与交通干线及工业区保持适当距离，以利用环境自然衰减效应降低噪声影响。如在3类声环境功能区内存在学校、医院、居民区等声环境敏感目标，则应按2类声环境功能区进行管理。</w:t>
      </w:r>
    </w:p>
    <w:p w14:paraId="327EED3B">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）编制区域噪声防治规划</w:t>
      </w:r>
    </w:p>
    <w:p w14:paraId="549489E3">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通过规划的实施，要求各</w:t>
      </w:r>
      <w:r>
        <w:rPr>
          <w:rFonts w:hint="eastAsia"/>
          <w:color w:val="000000" w:themeColor="text1"/>
          <w:lang w:val="en-US" w:eastAsia="zh-CN"/>
          <w14:textFill>
            <w14:solidFill>
              <w14:schemeClr w14:val="tx1"/>
            </w14:solidFill>
          </w14:textFill>
        </w:rPr>
        <w:t>声环境</w:t>
      </w:r>
      <w:r>
        <w:rPr>
          <w:rFonts w:hint="eastAsia"/>
          <w:color w:val="000000" w:themeColor="text1"/>
          <w14:textFill>
            <w14:solidFill>
              <w14:schemeClr w14:val="tx1"/>
            </w14:solidFill>
          </w14:textFill>
        </w:rPr>
        <w:t>功能区达到国家规定标准，工业噪声、建筑施工噪声、交通噪声、社会生活噪声污染得到有效控制，城市管理部门应加强对商业活动宣传噪声的控制，在居住区及其附近街道、广场、公园等区域，22:00</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次日6:00期间应避免进行产生环境噪声污染、影响周边居民正常休息的商品展示、宣传促销等活动。在其他时间进行商品展示、宣传促销等活动，使用音响器材所产生的环境噪声不得超过相应声环境功能区域环境噪声排放限值。采取有效管控措施后，城市声环境质量有所改善，噪声扰民问题明显缓解，为人民群众营造舒适、安静的生活环境和工作环境，保障广大市民的身体健康。</w:t>
      </w:r>
    </w:p>
    <w:p w14:paraId="15CCAC18">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）加强噪声达标区建设</w:t>
      </w:r>
    </w:p>
    <w:p w14:paraId="70C37BDC">
      <w:pPr>
        <w:bidi w:val="0"/>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结合绥滨县中心城区</w:t>
      </w:r>
      <w:r>
        <w:rPr>
          <w:rFonts w:hint="eastAsia"/>
          <w:color w:val="000000" w:themeColor="text1"/>
          <w14:textFill>
            <w14:solidFill>
              <w14:schemeClr w14:val="tx1"/>
            </w14:solidFill>
          </w14:textFill>
        </w:rPr>
        <w:t>的城镇建设和发展规模</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城市总体功能布局</w:t>
      </w:r>
      <w:r>
        <w:rPr>
          <w:rFonts w:hint="eastAsia"/>
          <w:color w:val="000000" w:themeColor="text1"/>
          <w:lang w:eastAsia="zh-CN"/>
          <w14:textFill>
            <w14:solidFill>
              <w14:schemeClr w14:val="tx1"/>
            </w14:solidFill>
          </w14:textFill>
        </w:rPr>
        <w:t>以及</w:t>
      </w:r>
      <w:r>
        <w:rPr>
          <w:rFonts w:hint="eastAsia"/>
          <w:color w:val="000000" w:themeColor="text1"/>
          <w14:textFill>
            <w14:solidFill>
              <w14:schemeClr w14:val="tx1"/>
            </w14:solidFill>
          </w14:textFill>
        </w:rPr>
        <w:t>声环境功能区划结果，开展声环境达标区建设工作，</w:t>
      </w:r>
      <w:r>
        <w:rPr>
          <w:rFonts w:hint="eastAsia"/>
          <w:color w:val="000000" w:themeColor="text1"/>
          <w:lang w:eastAsia="zh-CN"/>
          <w14:textFill>
            <w14:solidFill>
              <w14:schemeClr w14:val="tx1"/>
            </w14:solidFill>
          </w14:textFill>
        </w:rPr>
        <w:t>保持现有</w:t>
      </w:r>
      <w:r>
        <w:rPr>
          <w:rFonts w:hint="eastAsia"/>
          <w:color w:val="000000" w:themeColor="text1"/>
          <w14:textFill>
            <w14:solidFill>
              <w14:schemeClr w14:val="tx1"/>
            </w14:solidFill>
          </w14:textFill>
        </w:rPr>
        <w:t>声环境达标区覆盖率。声</w:t>
      </w:r>
      <w:r>
        <w:rPr>
          <w:rFonts w:hint="eastAsia"/>
          <w:color w:val="000000" w:themeColor="text1"/>
          <w:lang w:val="en-US" w:eastAsia="zh-CN"/>
          <w14:textFill>
            <w14:solidFill>
              <w14:schemeClr w14:val="tx1"/>
            </w14:solidFill>
          </w14:textFill>
        </w:rPr>
        <w:t>环境</w:t>
      </w:r>
      <w:r>
        <w:rPr>
          <w:rFonts w:hint="eastAsia"/>
          <w:color w:val="000000" w:themeColor="text1"/>
          <w14:textFill>
            <w14:solidFill>
              <w14:schemeClr w14:val="tx1"/>
            </w14:solidFill>
          </w14:textFill>
        </w:rPr>
        <w:t>功能区的达标覆盖率的提高需要多个部门协调合作，主要措施有：</w:t>
      </w:r>
    </w:p>
    <w:p w14:paraId="78792A50">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①</w:t>
      </w:r>
      <w:r>
        <w:rPr>
          <w:rFonts w:hint="eastAsia"/>
          <w:color w:val="000000" w:themeColor="text1"/>
          <w:lang w:eastAsia="zh-CN"/>
          <w14:textFill>
            <w14:solidFill>
              <w14:schemeClr w14:val="tx1"/>
            </w14:solidFill>
          </w14:textFill>
        </w:rPr>
        <w:t>绥滨县中心城区</w:t>
      </w:r>
      <w:r>
        <w:rPr>
          <w:rFonts w:hint="eastAsia"/>
          <w:color w:val="000000" w:themeColor="text1"/>
          <w14:textFill>
            <w14:solidFill>
              <w14:schemeClr w14:val="tx1"/>
            </w14:solidFill>
          </w14:textFill>
        </w:rPr>
        <w:t>推广机动车“禁鸣”措施，加强禁鸣宣传。通过公共信息平台，给全县司机定期发送禁鸣提示；在交通要道、城</w:t>
      </w:r>
      <w:r>
        <w:rPr>
          <w:rFonts w:hint="eastAsia"/>
          <w:color w:val="000000" w:themeColor="text1"/>
          <w:highlight w:val="none"/>
          <w14:textFill>
            <w14:solidFill>
              <w14:schemeClr w14:val="tx1"/>
            </w14:solidFill>
          </w14:textFill>
        </w:rPr>
        <w:t>市</w:t>
      </w:r>
      <w:r>
        <w:rPr>
          <w:rFonts w:hint="eastAsia"/>
          <w:color w:val="000000" w:themeColor="text1"/>
          <w14:textFill>
            <w14:solidFill>
              <w14:schemeClr w14:val="tx1"/>
            </w14:solidFill>
          </w14:textFill>
        </w:rPr>
        <w:t>主干道等区域张贴醒目的禁鸣标志；在商场、公交车、宾馆等公共场所张贴统一的静音标志，禁止商家利用高音喇叭进行促销等。</w:t>
      </w:r>
    </w:p>
    <w:p w14:paraId="7F5EE030">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②道路新建、改造时，铺装低噪声路面。施工中的各种大型机械的使用尽量安排在白天工作，若实在需要工作的尽量安排在22:00之前进行。</w:t>
      </w:r>
    </w:p>
    <w:p w14:paraId="4091C7E4">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③加强对沿街流动小贩的整治，避免造成交通拥堵，进而影响声环境质量。</w:t>
      </w:r>
    </w:p>
    <w:p w14:paraId="65748E1E">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）开展“宁静小区”创建活动</w:t>
      </w:r>
    </w:p>
    <w:p w14:paraId="1562B82F">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在声环境达标区内开展“宁静小区”创建活动。各小区要设立专人负责创建工作，小区配电设施、水泵等公用设施要采取减噪措施，小区居民室内装修要控制作业时间避免噪声扰民，小区居民在室内播放音乐、演奏乐器及各类群众性文体活动适当控制音量，小区内禁止设置高音喇叭和机动车鸣笛，并且制定防止饲养宠物产生的噪声扰民的措施等。</w:t>
      </w:r>
    </w:p>
    <w:p w14:paraId="228F5171">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）严格建设项目的审批</w:t>
      </w:r>
    </w:p>
    <w:p w14:paraId="71CF1442">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声环境功能区划是在结合城市用地现状及规划的基础上进行的，对于在1、2类</w:t>
      </w:r>
      <w:r>
        <w:rPr>
          <w:rFonts w:hint="eastAsia"/>
          <w:color w:val="000000" w:themeColor="text1"/>
          <w:lang w:val="en-US" w:eastAsia="zh-CN"/>
          <w14:textFill>
            <w14:solidFill>
              <w14:schemeClr w14:val="tx1"/>
            </w14:solidFill>
          </w14:textFill>
        </w:rPr>
        <w:t>声环境</w:t>
      </w:r>
      <w:r>
        <w:rPr>
          <w:rFonts w:hint="eastAsia"/>
          <w:color w:val="000000" w:themeColor="text1"/>
          <w14:textFill>
            <w14:solidFill>
              <w14:schemeClr w14:val="tx1"/>
            </w14:solidFill>
          </w14:textFill>
        </w:rPr>
        <w:t>区范围内新建的项目，应严格审批，避免在文教、居住设施旁，建立新的噪声污染源；对于在3类</w:t>
      </w:r>
      <w:r>
        <w:rPr>
          <w:rFonts w:hint="eastAsia"/>
          <w:color w:val="000000" w:themeColor="text1"/>
          <w:lang w:val="en-US" w:eastAsia="zh-CN"/>
          <w14:textFill>
            <w14:solidFill>
              <w14:schemeClr w14:val="tx1"/>
            </w14:solidFill>
          </w14:textFill>
        </w:rPr>
        <w:t>声环境</w:t>
      </w:r>
      <w:r>
        <w:rPr>
          <w:rFonts w:hint="eastAsia"/>
          <w:color w:val="000000" w:themeColor="text1"/>
          <w14:textFill>
            <w14:solidFill>
              <w14:schemeClr w14:val="tx1"/>
            </w14:solidFill>
          </w14:textFill>
        </w:rPr>
        <w:t>区中原已存在的文教、居住区旁新建项目，应严格审批，尽量使噪声源远离文教、居住区，预留足够的防护距离。</w:t>
      </w:r>
    </w:p>
    <w:p w14:paraId="1AFF96A7">
      <w:pPr>
        <w:ind w:firstLine="47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6</w:t>
      </w:r>
      <w:r>
        <w:rPr>
          <w:rFonts w:hint="eastAsia"/>
          <w:color w:val="000000" w:themeColor="text1"/>
          <w14:textFill>
            <w14:solidFill>
              <w14:schemeClr w14:val="tx1"/>
            </w14:solidFill>
          </w14:textFill>
        </w:rPr>
        <w:t>）完善噪声投诉与处理工作机制</w:t>
      </w:r>
    </w:p>
    <w:p w14:paraId="46DF37C0">
      <w:pPr>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设立噪声投诉热线及监督处理机构，配置专职人员，依据各部门职权范围，制定高效的处理机制，为居民提供直接联系相关监管部门的渠道，从而确保问题在最短时间内得到妥善解决。</w:t>
      </w:r>
    </w:p>
    <w:p w14:paraId="73B368D0">
      <w:pPr>
        <w:rPr>
          <w:rFonts w:hint="eastAsia"/>
          <w:color w:val="000000" w:themeColor="text1"/>
          <w:lang w:eastAsia="zh-CN"/>
          <w14:textFill>
            <w14:solidFill>
              <w14:schemeClr w14:val="tx1"/>
            </w14:solidFill>
          </w14:textFill>
        </w:rPr>
      </w:pPr>
    </w:p>
    <w:p w14:paraId="2B761962">
      <w:pPr>
        <w:ind w:firstLine="471"/>
        <w:rPr>
          <w:rFonts w:hint="eastAsia"/>
          <w:color w:val="000000" w:themeColor="text1"/>
          <w14:textFill>
            <w14:solidFill>
              <w14:schemeClr w14:val="tx1"/>
            </w14:solidFill>
          </w14:textFill>
        </w:rPr>
        <w:sectPr>
          <w:pgSz w:w="11906" w:h="16838"/>
          <w:pgMar w:top="1440" w:right="1803" w:bottom="1440" w:left="1803" w:header="794" w:footer="992" w:gutter="0"/>
          <w:pgBorders>
            <w:top w:val="none" w:sz="0" w:space="0"/>
            <w:left w:val="none" w:sz="0" w:space="0"/>
            <w:bottom w:val="none" w:sz="0" w:space="0"/>
            <w:right w:val="none" w:sz="0" w:space="0"/>
          </w:pgBorders>
          <w:pgNumType w:fmt="numberInDash"/>
          <w:cols w:space="720" w:num="1"/>
          <w:rtlGutter w:val="0"/>
          <w:docGrid w:type="linesAndChars" w:linePitch="347" w:charSpace="-874"/>
        </w:sectPr>
      </w:pPr>
    </w:p>
    <w:p w14:paraId="3CB4DC3F">
      <w:pPr>
        <w:pStyle w:val="31"/>
        <w:jc w:val="left"/>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附件</w:t>
      </w:r>
      <w:r>
        <w:rPr>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color w:val="000000" w:themeColor="text1"/>
          <w14:textFill>
            <w14:solidFill>
              <w14:schemeClr w14:val="tx1"/>
            </w14:solidFill>
          </w14:textFill>
        </w:rPr>
        <w:t>环保部办公厅印发的《关于加强和规范声环境功能区划分管理工作的通知》</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环办大气函</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2017</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1709号</w:t>
      </w:r>
      <w:r>
        <w:rPr>
          <w:rFonts w:hint="eastAsia"/>
          <w:color w:val="000000" w:themeColor="text1"/>
          <w14:textFill>
            <w14:solidFill>
              <w14:schemeClr w14:val="tx1"/>
            </w14:solidFill>
          </w14:textFill>
        </w:rPr>
        <w:t>）</w:t>
      </w:r>
    </w:p>
    <w:p w14:paraId="33E2161A">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19700" cy="7548245"/>
            <wp:effectExtent l="0" t="0" r="7620" b="10795"/>
            <wp:docPr id="14" name="图片 1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7" descr="1"/>
                    <pic:cNvPicPr>
                      <a:picLocks noChangeAspect="1"/>
                    </pic:cNvPicPr>
                  </pic:nvPicPr>
                  <pic:blipFill>
                    <a:blip r:embed="rId30"/>
                    <a:stretch>
                      <a:fillRect/>
                    </a:stretch>
                  </pic:blipFill>
                  <pic:spPr>
                    <a:xfrm>
                      <a:off x="0" y="0"/>
                      <a:ext cx="5219700" cy="7548245"/>
                    </a:xfrm>
                    <a:prstGeom prst="rect">
                      <a:avLst/>
                    </a:prstGeom>
                    <a:noFill/>
                    <a:ln>
                      <a:noFill/>
                    </a:ln>
                  </pic:spPr>
                </pic:pic>
              </a:graphicData>
            </a:graphic>
          </wp:inline>
        </w:drawing>
      </w:r>
    </w:p>
    <w:p w14:paraId="5713D64A">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19700" cy="7472680"/>
            <wp:effectExtent l="0" t="0" r="7620" b="10160"/>
            <wp:docPr id="15" name="图片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8" descr="2"/>
                    <pic:cNvPicPr>
                      <a:picLocks noChangeAspect="1"/>
                    </pic:cNvPicPr>
                  </pic:nvPicPr>
                  <pic:blipFill>
                    <a:blip r:embed="rId31"/>
                    <a:stretch>
                      <a:fillRect/>
                    </a:stretch>
                  </pic:blipFill>
                  <pic:spPr>
                    <a:xfrm>
                      <a:off x="0" y="0"/>
                      <a:ext cx="5219700" cy="7472680"/>
                    </a:xfrm>
                    <a:prstGeom prst="rect">
                      <a:avLst/>
                    </a:prstGeom>
                    <a:noFill/>
                    <a:ln>
                      <a:noFill/>
                    </a:ln>
                  </pic:spPr>
                </pic:pic>
              </a:graphicData>
            </a:graphic>
          </wp:inline>
        </w:drawing>
      </w:r>
    </w:p>
    <w:p w14:paraId="49E14998">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19700" cy="7731125"/>
            <wp:effectExtent l="0" t="0" r="7620" b="10795"/>
            <wp:docPr id="16" name="图片 1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9" descr="3"/>
                    <pic:cNvPicPr>
                      <a:picLocks noChangeAspect="1"/>
                    </pic:cNvPicPr>
                  </pic:nvPicPr>
                  <pic:blipFill>
                    <a:blip r:embed="rId32"/>
                    <a:stretch>
                      <a:fillRect/>
                    </a:stretch>
                  </pic:blipFill>
                  <pic:spPr>
                    <a:xfrm>
                      <a:off x="0" y="0"/>
                      <a:ext cx="5219700" cy="7731125"/>
                    </a:xfrm>
                    <a:prstGeom prst="rect">
                      <a:avLst/>
                    </a:prstGeom>
                    <a:noFill/>
                    <a:ln>
                      <a:noFill/>
                    </a:ln>
                  </pic:spPr>
                </pic:pic>
              </a:graphicData>
            </a:graphic>
          </wp:inline>
        </w:drawing>
      </w:r>
    </w:p>
    <w:p w14:paraId="755EBEC1">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19700" cy="7698740"/>
            <wp:effectExtent l="0" t="0" r="7620" b="12700"/>
            <wp:docPr id="17" name="图片 2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0" descr="4"/>
                    <pic:cNvPicPr>
                      <a:picLocks noChangeAspect="1"/>
                    </pic:cNvPicPr>
                  </pic:nvPicPr>
                  <pic:blipFill>
                    <a:blip r:embed="rId33"/>
                    <a:stretch>
                      <a:fillRect/>
                    </a:stretch>
                  </pic:blipFill>
                  <pic:spPr>
                    <a:xfrm>
                      <a:off x="0" y="0"/>
                      <a:ext cx="5219700" cy="7698740"/>
                    </a:xfrm>
                    <a:prstGeom prst="rect">
                      <a:avLst/>
                    </a:prstGeom>
                    <a:noFill/>
                    <a:ln>
                      <a:noFill/>
                    </a:ln>
                  </pic:spPr>
                </pic:pic>
              </a:graphicData>
            </a:graphic>
          </wp:inline>
        </w:drawing>
      </w:r>
    </w:p>
    <w:p w14:paraId="0070D283">
      <w:pPr>
        <w:ind w:firstLine="0" w:firstLineChars="0"/>
        <w:jc w:val="center"/>
        <w:rPr>
          <w:color w:val="000000" w:themeColor="text1"/>
          <w14:textFill>
            <w14:solidFill>
              <w14:schemeClr w14:val="tx1"/>
            </w14:solidFill>
          </w14:textFill>
        </w:rPr>
      </w:pPr>
    </w:p>
    <w:p w14:paraId="30D3F49A">
      <w:pPr>
        <w:ind w:firstLine="0" w:firstLineChars="0"/>
        <w:jc w:val="center"/>
        <w:rPr>
          <w:color w:val="000000" w:themeColor="text1"/>
          <w14:textFill>
            <w14:solidFill>
              <w14:schemeClr w14:val="tx1"/>
            </w14:solidFill>
          </w14:textFill>
        </w:rPr>
      </w:pPr>
    </w:p>
    <w:p w14:paraId="0C1CC23F">
      <w:pPr>
        <w:ind w:firstLine="0" w:firstLineChars="0"/>
        <w:jc w:val="both"/>
        <w:rPr>
          <w:rFonts w:hint="eastAsia"/>
          <w:color w:val="000000" w:themeColor="text1"/>
          <w:lang w:eastAsia="zh-CN"/>
          <w14:textFill>
            <w14:solidFill>
              <w14:schemeClr w14:val="tx1"/>
            </w14:solidFill>
          </w14:textFill>
        </w:rPr>
      </w:pPr>
    </w:p>
    <w:p w14:paraId="54557533">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附件2 监测报告</w:t>
      </w:r>
      <w:bookmarkStart w:id="178" w:name="_GoBack"/>
      <w:bookmarkEnd w:id="178"/>
    </w:p>
    <w:p w14:paraId="5AC4619E">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drawing>
          <wp:inline distT="0" distB="0" distL="114300" distR="114300">
            <wp:extent cx="5261610" cy="7058025"/>
            <wp:effectExtent l="0" t="0" r="0" b="0"/>
            <wp:docPr id="6" name="图片 6" descr="HZNZ202512017绥滨县中心城区声环境功能区划分技术报告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HZNZ202512017绥滨县中心城区声环境功能区划分技术报告_01"/>
                    <pic:cNvPicPr>
                      <a:picLocks noChangeAspect="1"/>
                    </pic:cNvPicPr>
                  </pic:nvPicPr>
                  <pic:blipFill>
                    <a:blip r:embed="rId34"/>
                    <a:srcRect b="5194"/>
                    <a:stretch>
                      <a:fillRect/>
                    </a:stretch>
                  </pic:blipFill>
                  <pic:spPr>
                    <a:xfrm>
                      <a:off x="0" y="0"/>
                      <a:ext cx="5261610" cy="7058025"/>
                    </a:xfrm>
                    <a:prstGeom prst="rect">
                      <a:avLst/>
                    </a:prstGeom>
                  </pic:spPr>
                </pic:pic>
              </a:graphicData>
            </a:graphic>
          </wp:inline>
        </w:drawing>
      </w:r>
    </w:p>
    <w:p w14:paraId="71B1EB21">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drawing>
          <wp:inline distT="0" distB="0" distL="114300" distR="114300">
            <wp:extent cx="5261610" cy="7072630"/>
            <wp:effectExtent l="0" t="0" r="0" b="0"/>
            <wp:docPr id="20" name="图片 20" descr="HZNZ202512017绥滨县中心城区声环境功能区划分技术报告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HZNZ202512017绥滨县中心城区声环境功能区划分技术报告_02"/>
                    <pic:cNvPicPr>
                      <a:picLocks noChangeAspect="1"/>
                    </pic:cNvPicPr>
                  </pic:nvPicPr>
                  <pic:blipFill>
                    <a:blip r:embed="rId35"/>
                    <a:srcRect b="4998"/>
                    <a:stretch>
                      <a:fillRect/>
                    </a:stretch>
                  </pic:blipFill>
                  <pic:spPr>
                    <a:xfrm>
                      <a:off x="0" y="0"/>
                      <a:ext cx="5261610" cy="7072630"/>
                    </a:xfrm>
                    <a:prstGeom prst="rect">
                      <a:avLst/>
                    </a:prstGeom>
                  </pic:spPr>
                </pic:pic>
              </a:graphicData>
            </a:graphic>
          </wp:inline>
        </w:drawing>
      </w:r>
    </w:p>
    <w:p w14:paraId="47FF9A07">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drawing>
          <wp:inline distT="0" distB="0" distL="114300" distR="114300">
            <wp:extent cx="5261610" cy="7038975"/>
            <wp:effectExtent l="0" t="0" r="0" b="0"/>
            <wp:docPr id="21" name="图片 21" descr="HZNZ202512017绥滨县中心城区声环境功能区划分技术报告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HZNZ202512017绥滨县中心城区声环境功能区划分技术报告_03"/>
                    <pic:cNvPicPr>
                      <a:picLocks noChangeAspect="1"/>
                    </pic:cNvPicPr>
                  </pic:nvPicPr>
                  <pic:blipFill>
                    <a:blip r:embed="rId36"/>
                    <a:srcRect b="5450"/>
                    <a:stretch>
                      <a:fillRect/>
                    </a:stretch>
                  </pic:blipFill>
                  <pic:spPr>
                    <a:xfrm>
                      <a:off x="0" y="0"/>
                      <a:ext cx="5261610" cy="7038975"/>
                    </a:xfrm>
                    <a:prstGeom prst="rect">
                      <a:avLst/>
                    </a:prstGeom>
                  </pic:spPr>
                </pic:pic>
              </a:graphicData>
            </a:graphic>
          </wp:inline>
        </w:drawing>
      </w:r>
    </w:p>
    <w:p w14:paraId="143EFD8C">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drawing>
          <wp:inline distT="0" distB="0" distL="114300" distR="114300">
            <wp:extent cx="5261610" cy="7073900"/>
            <wp:effectExtent l="0" t="0" r="0" b="0"/>
            <wp:docPr id="22" name="图片 22" descr="HZNZ202512017绥滨县中心城区声环境功能区划分技术报告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HZNZ202512017绥滨县中心城区声环境功能区划分技术报告_04"/>
                    <pic:cNvPicPr>
                      <a:picLocks noChangeAspect="1"/>
                    </pic:cNvPicPr>
                  </pic:nvPicPr>
                  <pic:blipFill>
                    <a:blip r:embed="rId37"/>
                    <a:srcRect b="4981"/>
                    <a:stretch>
                      <a:fillRect/>
                    </a:stretch>
                  </pic:blipFill>
                  <pic:spPr>
                    <a:xfrm>
                      <a:off x="0" y="0"/>
                      <a:ext cx="5261610" cy="7073900"/>
                    </a:xfrm>
                    <a:prstGeom prst="rect">
                      <a:avLst/>
                    </a:prstGeom>
                  </pic:spPr>
                </pic:pic>
              </a:graphicData>
            </a:graphic>
          </wp:inline>
        </w:drawing>
      </w:r>
    </w:p>
    <w:p w14:paraId="17172286">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drawing>
          <wp:inline distT="0" distB="0" distL="114300" distR="114300">
            <wp:extent cx="5261610" cy="7052945"/>
            <wp:effectExtent l="0" t="0" r="0" b="0"/>
            <wp:docPr id="23" name="图片 23" descr="HZNZ202512017绥滨县中心城区声环境功能区划分技术报告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HZNZ202512017绥滨县中心城区声环境功能区划分技术报告_05"/>
                    <pic:cNvPicPr>
                      <a:picLocks noChangeAspect="1"/>
                    </pic:cNvPicPr>
                  </pic:nvPicPr>
                  <pic:blipFill>
                    <a:blip r:embed="rId38"/>
                    <a:srcRect b="5263"/>
                    <a:stretch>
                      <a:fillRect/>
                    </a:stretch>
                  </pic:blipFill>
                  <pic:spPr>
                    <a:xfrm>
                      <a:off x="0" y="0"/>
                      <a:ext cx="5261610" cy="7052945"/>
                    </a:xfrm>
                    <a:prstGeom prst="rect">
                      <a:avLst/>
                    </a:prstGeom>
                  </pic:spPr>
                </pic:pic>
              </a:graphicData>
            </a:graphic>
          </wp:inline>
        </w:drawing>
      </w:r>
    </w:p>
    <w:p w14:paraId="62F8201E">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drawing>
          <wp:inline distT="0" distB="0" distL="114300" distR="114300">
            <wp:extent cx="5261610" cy="7047230"/>
            <wp:effectExtent l="0" t="0" r="0" b="0"/>
            <wp:docPr id="24" name="图片 24" descr="HZNZ202512017绥滨县中心城区声环境功能区划分技术报告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HZNZ202512017绥滨县中心城区声环境功能区划分技术报告_06"/>
                    <pic:cNvPicPr>
                      <a:picLocks noChangeAspect="1"/>
                    </pic:cNvPicPr>
                  </pic:nvPicPr>
                  <pic:blipFill>
                    <a:blip r:embed="rId39"/>
                    <a:srcRect b="5339"/>
                    <a:stretch>
                      <a:fillRect/>
                    </a:stretch>
                  </pic:blipFill>
                  <pic:spPr>
                    <a:xfrm>
                      <a:off x="0" y="0"/>
                      <a:ext cx="5261610" cy="7047230"/>
                    </a:xfrm>
                    <a:prstGeom prst="rect">
                      <a:avLst/>
                    </a:prstGeom>
                  </pic:spPr>
                </pic:pic>
              </a:graphicData>
            </a:graphic>
          </wp:inline>
        </w:drawing>
      </w:r>
    </w:p>
    <w:p w14:paraId="776E5F2B">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drawing>
          <wp:inline distT="0" distB="0" distL="114300" distR="114300">
            <wp:extent cx="5261610" cy="7054215"/>
            <wp:effectExtent l="0" t="0" r="0" b="0"/>
            <wp:docPr id="25" name="图片 25" descr="HZNZ202512017绥滨县中心城区声环境功能区划分技术报告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HZNZ202512017绥滨县中心城区声环境功能区划分技术报告_07"/>
                    <pic:cNvPicPr>
                      <a:picLocks noChangeAspect="1"/>
                    </pic:cNvPicPr>
                  </pic:nvPicPr>
                  <pic:blipFill>
                    <a:blip r:embed="rId40"/>
                    <a:srcRect b="5246"/>
                    <a:stretch>
                      <a:fillRect/>
                    </a:stretch>
                  </pic:blipFill>
                  <pic:spPr>
                    <a:xfrm>
                      <a:off x="0" y="0"/>
                      <a:ext cx="5261610" cy="7054215"/>
                    </a:xfrm>
                    <a:prstGeom prst="rect">
                      <a:avLst/>
                    </a:prstGeom>
                  </pic:spPr>
                </pic:pic>
              </a:graphicData>
            </a:graphic>
          </wp:inline>
        </w:drawing>
      </w:r>
    </w:p>
    <w:p w14:paraId="28744554">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drawing>
          <wp:inline distT="0" distB="0" distL="114300" distR="114300">
            <wp:extent cx="5261610" cy="7071360"/>
            <wp:effectExtent l="0" t="0" r="0" b="0"/>
            <wp:docPr id="26" name="图片 26" descr="HZNZ202512017绥滨县中心城区声环境功能区划分技术报告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HZNZ202512017绥滨县中心城区声环境功能区划分技术报告_08"/>
                    <pic:cNvPicPr>
                      <a:picLocks noChangeAspect="1"/>
                    </pic:cNvPicPr>
                  </pic:nvPicPr>
                  <pic:blipFill>
                    <a:blip r:embed="rId41"/>
                    <a:srcRect b="5015"/>
                    <a:stretch>
                      <a:fillRect/>
                    </a:stretch>
                  </pic:blipFill>
                  <pic:spPr>
                    <a:xfrm>
                      <a:off x="0" y="0"/>
                      <a:ext cx="5261610" cy="7071360"/>
                    </a:xfrm>
                    <a:prstGeom prst="rect">
                      <a:avLst/>
                    </a:prstGeom>
                  </pic:spPr>
                </pic:pic>
              </a:graphicData>
            </a:graphic>
          </wp:inline>
        </w:drawing>
      </w:r>
    </w:p>
    <w:p w14:paraId="1B37E634">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drawing>
          <wp:inline distT="0" distB="0" distL="114300" distR="114300">
            <wp:extent cx="5261610" cy="7073265"/>
            <wp:effectExtent l="0" t="0" r="0" b="0"/>
            <wp:docPr id="27" name="图片 27" descr="HZNZ202512017绥滨县中心城区声环境功能区划分技术报告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HZNZ202512017绥滨县中心城区声环境功能区划分技术报告_09"/>
                    <pic:cNvPicPr>
                      <a:picLocks noChangeAspect="1"/>
                    </pic:cNvPicPr>
                  </pic:nvPicPr>
                  <pic:blipFill>
                    <a:blip r:embed="rId42"/>
                    <a:srcRect b="4990"/>
                    <a:stretch>
                      <a:fillRect/>
                    </a:stretch>
                  </pic:blipFill>
                  <pic:spPr>
                    <a:xfrm>
                      <a:off x="0" y="0"/>
                      <a:ext cx="5261610" cy="7073265"/>
                    </a:xfrm>
                    <a:prstGeom prst="rect">
                      <a:avLst/>
                    </a:prstGeom>
                  </pic:spPr>
                </pic:pic>
              </a:graphicData>
            </a:graphic>
          </wp:inline>
        </w:drawing>
      </w:r>
    </w:p>
    <w:p w14:paraId="4EC6323B">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drawing>
          <wp:inline distT="0" distB="0" distL="114300" distR="114300">
            <wp:extent cx="5261610" cy="7062470"/>
            <wp:effectExtent l="0" t="0" r="0" b="0"/>
            <wp:docPr id="28" name="图片 28" descr="HZNZ202512017绥滨县中心城区声环境功能区划分技术报告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HZNZ202512017绥滨县中心城区声环境功能区划分技术报告_10"/>
                    <pic:cNvPicPr>
                      <a:picLocks noChangeAspect="1"/>
                    </pic:cNvPicPr>
                  </pic:nvPicPr>
                  <pic:blipFill>
                    <a:blip r:embed="rId43"/>
                    <a:srcRect b="5135"/>
                    <a:stretch>
                      <a:fillRect/>
                    </a:stretch>
                  </pic:blipFill>
                  <pic:spPr>
                    <a:xfrm>
                      <a:off x="0" y="0"/>
                      <a:ext cx="5261610" cy="7062470"/>
                    </a:xfrm>
                    <a:prstGeom prst="rect">
                      <a:avLst/>
                    </a:prstGeom>
                  </pic:spPr>
                </pic:pic>
              </a:graphicData>
            </a:graphic>
          </wp:inline>
        </w:drawing>
      </w:r>
    </w:p>
    <w:p w14:paraId="659330D8">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drawing>
          <wp:inline distT="0" distB="0" distL="114300" distR="114300">
            <wp:extent cx="5261610" cy="7056755"/>
            <wp:effectExtent l="0" t="0" r="0" b="0"/>
            <wp:docPr id="29" name="图片 29" descr="HZNZ202512017绥滨县中心城区声环境功能区划分技术报告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HZNZ202512017绥滨县中心城区声环境功能区划分技术报告_11"/>
                    <pic:cNvPicPr>
                      <a:picLocks noChangeAspect="1"/>
                    </pic:cNvPicPr>
                  </pic:nvPicPr>
                  <pic:blipFill>
                    <a:blip r:embed="rId44"/>
                    <a:srcRect b="5212"/>
                    <a:stretch>
                      <a:fillRect/>
                    </a:stretch>
                  </pic:blipFill>
                  <pic:spPr>
                    <a:xfrm>
                      <a:off x="0" y="0"/>
                      <a:ext cx="5261610" cy="7056755"/>
                    </a:xfrm>
                    <a:prstGeom prst="rect">
                      <a:avLst/>
                    </a:prstGeom>
                  </pic:spPr>
                </pic:pic>
              </a:graphicData>
            </a:graphic>
          </wp:inline>
        </w:drawing>
      </w:r>
    </w:p>
    <w:p w14:paraId="54792EB1">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drawing>
          <wp:inline distT="0" distB="0" distL="114300" distR="114300">
            <wp:extent cx="5261610" cy="7061200"/>
            <wp:effectExtent l="0" t="0" r="0" b="0"/>
            <wp:docPr id="30" name="图片 30" descr="HZNZ202512017绥滨县中心城区声环境功能区划分技术报告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HZNZ202512017绥滨县中心城区声环境功能区划分技术报告_12"/>
                    <pic:cNvPicPr>
                      <a:picLocks noChangeAspect="1"/>
                    </pic:cNvPicPr>
                  </pic:nvPicPr>
                  <pic:blipFill>
                    <a:blip r:embed="rId45"/>
                    <a:srcRect b="5152"/>
                    <a:stretch>
                      <a:fillRect/>
                    </a:stretch>
                  </pic:blipFill>
                  <pic:spPr>
                    <a:xfrm>
                      <a:off x="0" y="0"/>
                      <a:ext cx="5261610" cy="7061200"/>
                    </a:xfrm>
                    <a:prstGeom prst="rect">
                      <a:avLst/>
                    </a:prstGeom>
                  </pic:spPr>
                </pic:pic>
              </a:graphicData>
            </a:graphic>
          </wp:inline>
        </w:drawing>
      </w:r>
    </w:p>
    <w:p w14:paraId="0E76A81F">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drawing>
          <wp:inline distT="0" distB="0" distL="114300" distR="114300">
            <wp:extent cx="5261610" cy="7078345"/>
            <wp:effectExtent l="0" t="0" r="0" b="0"/>
            <wp:docPr id="31" name="图片 31" descr="HZNZ202512017绥滨县中心城区声环境功能区划分技术报告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HZNZ202512017绥滨县中心城区声环境功能区划分技术报告_13"/>
                    <pic:cNvPicPr>
                      <a:picLocks noChangeAspect="1"/>
                    </pic:cNvPicPr>
                  </pic:nvPicPr>
                  <pic:blipFill>
                    <a:blip r:embed="rId46"/>
                    <a:srcRect b="4922"/>
                    <a:stretch>
                      <a:fillRect/>
                    </a:stretch>
                  </pic:blipFill>
                  <pic:spPr>
                    <a:xfrm>
                      <a:off x="0" y="0"/>
                      <a:ext cx="5261610" cy="7078345"/>
                    </a:xfrm>
                    <a:prstGeom prst="rect">
                      <a:avLst/>
                    </a:prstGeom>
                  </pic:spPr>
                </pic:pic>
              </a:graphicData>
            </a:graphic>
          </wp:inline>
        </w:drawing>
      </w:r>
    </w:p>
    <w:p w14:paraId="6F99750E">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drawing>
          <wp:inline distT="0" distB="0" distL="114300" distR="114300">
            <wp:extent cx="5261610" cy="7075170"/>
            <wp:effectExtent l="0" t="0" r="0" b="0"/>
            <wp:docPr id="32" name="图片 32" descr="HZNZ202512017绥滨县中心城区声环境功能区划分技术报告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HZNZ202512017绥滨县中心城区声环境功能区划分技术报告_14"/>
                    <pic:cNvPicPr>
                      <a:picLocks noChangeAspect="1"/>
                    </pic:cNvPicPr>
                  </pic:nvPicPr>
                  <pic:blipFill>
                    <a:blip r:embed="rId47"/>
                    <a:srcRect b="4964"/>
                    <a:stretch>
                      <a:fillRect/>
                    </a:stretch>
                  </pic:blipFill>
                  <pic:spPr>
                    <a:xfrm>
                      <a:off x="0" y="0"/>
                      <a:ext cx="5261610" cy="7075170"/>
                    </a:xfrm>
                    <a:prstGeom prst="rect">
                      <a:avLst/>
                    </a:prstGeom>
                  </pic:spPr>
                </pic:pic>
              </a:graphicData>
            </a:graphic>
          </wp:inline>
        </w:drawing>
      </w:r>
    </w:p>
    <w:p w14:paraId="317117FD">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drawing>
          <wp:inline distT="0" distB="0" distL="114300" distR="114300">
            <wp:extent cx="5261610" cy="7071995"/>
            <wp:effectExtent l="0" t="0" r="0" b="0"/>
            <wp:docPr id="33" name="图片 33" descr="HZNZ202512017绥滨县中心城区声环境功能区划分技术报告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HZNZ202512017绥滨县中心城区声环境功能区划分技术报告_15"/>
                    <pic:cNvPicPr>
                      <a:picLocks noChangeAspect="1"/>
                    </pic:cNvPicPr>
                  </pic:nvPicPr>
                  <pic:blipFill>
                    <a:blip r:embed="rId48"/>
                    <a:srcRect b="5007"/>
                    <a:stretch>
                      <a:fillRect/>
                    </a:stretch>
                  </pic:blipFill>
                  <pic:spPr>
                    <a:xfrm>
                      <a:off x="0" y="0"/>
                      <a:ext cx="5261610" cy="7071995"/>
                    </a:xfrm>
                    <a:prstGeom prst="rect">
                      <a:avLst/>
                    </a:prstGeom>
                  </pic:spPr>
                </pic:pic>
              </a:graphicData>
            </a:graphic>
          </wp:inline>
        </w:drawing>
      </w:r>
    </w:p>
    <w:p w14:paraId="688C6BDB">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drawing>
          <wp:inline distT="0" distB="0" distL="114300" distR="114300">
            <wp:extent cx="5261610" cy="7058660"/>
            <wp:effectExtent l="0" t="0" r="0" b="0"/>
            <wp:docPr id="34" name="图片 34" descr="HZNZ202512017绥滨县中心城区声环境功能区划分技术报告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HZNZ202512017绥滨县中心城区声环境功能区划分技术报告_16"/>
                    <pic:cNvPicPr>
                      <a:picLocks noChangeAspect="1"/>
                    </pic:cNvPicPr>
                  </pic:nvPicPr>
                  <pic:blipFill>
                    <a:blip r:embed="rId49"/>
                    <a:srcRect b="5186"/>
                    <a:stretch>
                      <a:fillRect/>
                    </a:stretch>
                  </pic:blipFill>
                  <pic:spPr>
                    <a:xfrm>
                      <a:off x="0" y="0"/>
                      <a:ext cx="5261610" cy="7058660"/>
                    </a:xfrm>
                    <a:prstGeom prst="rect">
                      <a:avLst/>
                    </a:prstGeom>
                  </pic:spPr>
                </pic:pic>
              </a:graphicData>
            </a:graphic>
          </wp:inline>
        </w:drawing>
      </w:r>
    </w:p>
    <w:p w14:paraId="38B8CAB5">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drawing>
          <wp:inline distT="0" distB="0" distL="114300" distR="114300">
            <wp:extent cx="5261610" cy="7070725"/>
            <wp:effectExtent l="0" t="0" r="0" b="0"/>
            <wp:docPr id="35" name="图片 35" descr="HZNZ202512017绥滨县中心城区声环境功能区划分技术报告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HZNZ202512017绥滨县中心城区声环境功能区划分技术报告_17"/>
                    <pic:cNvPicPr>
                      <a:picLocks noChangeAspect="1"/>
                    </pic:cNvPicPr>
                  </pic:nvPicPr>
                  <pic:blipFill>
                    <a:blip r:embed="rId50"/>
                    <a:srcRect b="5024"/>
                    <a:stretch>
                      <a:fillRect/>
                    </a:stretch>
                  </pic:blipFill>
                  <pic:spPr>
                    <a:xfrm>
                      <a:off x="0" y="0"/>
                      <a:ext cx="5261610" cy="7070725"/>
                    </a:xfrm>
                    <a:prstGeom prst="rect">
                      <a:avLst/>
                    </a:prstGeom>
                  </pic:spPr>
                </pic:pic>
              </a:graphicData>
            </a:graphic>
          </wp:inline>
        </w:drawing>
      </w:r>
    </w:p>
    <w:p w14:paraId="34C3DCB4">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drawing>
          <wp:inline distT="0" distB="0" distL="114300" distR="114300">
            <wp:extent cx="5261610" cy="7085330"/>
            <wp:effectExtent l="0" t="0" r="0" b="0"/>
            <wp:docPr id="36" name="图片 36" descr="HZNZ202512017绥滨县中心城区声环境功能区划分技术报告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HZNZ202512017绥滨县中心城区声环境功能区划分技术报告_18"/>
                    <pic:cNvPicPr>
                      <a:picLocks noChangeAspect="1"/>
                    </pic:cNvPicPr>
                  </pic:nvPicPr>
                  <pic:blipFill>
                    <a:blip r:embed="rId51"/>
                    <a:srcRect b="4828"/>
                    <a:stretch>
                      <a:fillRect/>
                    </a:stretch>
                  </pic:blipFill>
                  <pic:spPr>
                    <a:xfrm>
                      <a:off x="0" y="0"/>
                      <a:ext cx="5261610" cy="7085330"/>
                    </a:xfrm>
                    <a:prstGeom prst="rect">
                      <a:avLst/>
                    </a:prstGeom>
                  </pic:spPr>
                </pic:pic>
              </a:graphicData>
            </a:graphic>
          </wp:inline>
        </w:drawing>
      </w:r>
    </w:p>
    <w:p w14:paraId="00192E40">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drawing>
          <wp:inline distT="0" distB="0" distL="114300" distR="114300">
            <wp:extent cx="5261610" cy="7054215"/>
            <wp:effectExtent l="0" t="0" r="0" b="0"/>
            <wp:docPr id="37" name="图片 37" descr="HZNZ202512017绥滨县中心城区声环境功能区划分技术报告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HZNZ202512017绥滨县中心城区声环境功能区划分技术报告_19"/>
                    <pic:cNvPicPr>
                      <a:picLocks noChangeAspect="1"/>
                    </pic:cNvPicPr>
                  </pic:nvPicPr>
                  <pic:blipFill>
                    <a:blip r:embed="rId52"/>
                    <a:srcRect b="5246"/>
                    <a:stretch>
                      <a:fillRect/>
                    </a:stretch>
                  </pic:blipFill>
                  <pic:spPr>
                    <a:xfrm>
                      <a:off x="0" y="0"/>
                      <a:ext cx="5261610" cy="7054215"/>
                    </a:xfrm>
                    <a:prstGeom prst="rect">
                      <a:avLst/>
                    </a:prstGeom>
                  </pic:spPr>
                </pic:pic>
              </a:graphicData>
            </a:graphic>
          </wp:inline>
        </w:drawing>
      </w:r>
    </w:p>
    <w:p w14:paraId="0FCB89F8">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drawing>
          <wp:inline distT="0" distB="0" distL="114300" distR="114300">
            <wp:extent cx="5261610" cy="7081520"/>
            <wp:effectExtent l="0" t="0" r="0" b="0"/>
            <wp:docPr id="38" name="图片 38" descr="HZNZ202512017绥滨县中心城区声环境功能区划分技术报告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HZNZ202512017绥滨县中心城区声环境功能区划分技术报告_20"/>
                    <pic:cNvPicPr>
                      <a:picLocks noChangeAspect="1"/>
                    </pic:cNvPicPr>
                  </pic:nvPicPr>
                  <pic:blipFill>
                    <a:blip r:embed="rId53"/>
                    <a:srcRect b="4879"/>
                    <a:stretch>
                      <a:fillRect/>
                    </a:stretch>
                  </pic:blipFill>
                  <pic:spPr>
                    <a:xfrm>
                      <a:off x="0" y="0"/>
                      <a:ext cx="5261610" cy="7081520"/>
                    </a:xfrm>
                    <a:prstGeom prst="rect">
                      <a:avLst/>
                    </a:prstGeom>
                  </pic:spPr>
                </pic:pic>
              </a:graphicData>
            </a:graphic>
          </wp:inline>
        </w:drawing>
      </w:r>
    </w:p>
    <w:p w14:paraId="2E6719EA">
      <w:pPr>
        <w:pStyle w:val="31"/>
        <w:jc w:val="left"/>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drawing>
          <wp:inline distT="0" distB="0" distL="114300" distR="114300">
            <wp:extent cx="5261610" cy="7070725"/>
            <wp:effectExtent l="0" t="0" r="0" b="0"/>
            <wp:docPr id="39" name="图片 39" descr="HZNZ202512017绥滨县中心城区声环境功能区划分技术报告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HZNZ202512017绥滨县中心城区声环境功能区划分技术报告_21"/>
                    <pic:cNvPicPr>
                      <a:picLocks noChangeAspect="1"/>
                    </pic:cNvPicPr>
                  </pic:nvPicPr>
                  <pic:blipFill>
                    <a:blip r:embed="rId54"/>
                    <a:srcRect b="5024"/>
                    <a:stretch>
                      <a:fillRect/>
                    </a:stretch>
                  </pic:blipFill>
                  <pic:spPr>
                    <a:xfrm>
                      <a:off x="0" y="0"/>
                      <a:ext cx="5261610" cy="7070725"/>
                    </a:xfrm>
                    <a:prstGeom prst="rect">
                      <a:avLst/>
                    </a:prstGeom>
                  </pic:spPr>
                </pic:pic>
              </a:graphicData>
            </a:graphic>
          </wp:inline>
        </w:drawing>
      </w:r>
    </w:p>
    <w:p w14:paraId="67DCD3FF">
      <w:pPr>
        <w:pStyle w:val="31"/>
        <w:jc w:val="left"/>
        <w:rPr>
          <w:rFonts w:hint="eastAsia" w:ascii="Times New Roman" w:hAnsi="Times New Roman" w:cs="Times New Roman"/>
          <w:color w:val="000000" w:themeColor="text1"/>
          <w:lang w:val="en-US" w:eastAsia="zh-CN"/>
          <w14:textFill>
            <w14:solidFill>
              <w14:schemeClr w14:val="tx1"/>
            </w14:solidFill>
          </w14:textFill>
        </w:rPr>
      </w:pPr>
    </w:p>
    <w:p w14:paraId="6A037B03">
      <w:pPr>
        <w:pStyle w:val="31"/>
        <w:jc w:val="left"/>
        <w:rPr>
          <w:rFonts w:hint="eastAsia" w:ascii="Times New Roman" w:hAnsi="Times New Roman" w:cs="Times New Roman"/>
          <w:color w:val="000000" w:themeColor="text1"/>
          <w:lang w:val="en-US" w:eastAsia="zh-CN"/>
          <w14:textFill>
            <w14:solidFill>
              <w14:schemeClr w14:val="tx1"/>
            </w14:solidFill>
          </w14:textFill>
        </w:rPr>
      </w:pPr>
    </w:p>
    <w:sectPr>
      <w:pgSz w:w="11906" w:h="16838"/>
      <w:pgMar w:top="1440" w:right="1803" w:bottom="1440" w:left="1803" w:header="794" w:footer="992" w:gutter="0"/>
      <w:pgBorders>
        <w:top w:val="none" w:sz="0" w:space="0"/>
        <w:left w:val="none" w:sz="0" w:space="0"/>
        <w:bottom w:val="none" w:sz="0" w:space="0"/>
        <w:right w:val="none" w:sz="0" w:space="0"/>
      </w:pgBorders>
      <w:pgNumType w:fmt="numberInDash"/>
      <w:cols w:space="720" w:num="1"/>
      <w:rtlGutter w:val="0"/>
      <w:docGrid w:type="linesAndChars" w:linePitch="347" w:charSpace="-874"/>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 wne:kcmPrimary="0434">
      <wne:acd wne:acdName="acd3"/>
    </wne:keymap>
    <wne:keymap wne:kcmPrimary="0435">
      <wne:acd wne:acdName="acd4"/>
    </wne:keymap>
    <wne:keymap wne:kcmPrimary="0442">
      <wne:acd wne:acdName="acd5"/>
    </wne:keymap>
  </wne:keymaps>
  <wne:acds>
    <wne:acd wne:argValue="AQAAAAEA" wne:acdName="acd0" wne:fciIndexBasedOn="0065"/>
    <wne:acd wne:argValue="AQAAAAIA" wne:acdName="acd1" wne:fciIndexBasedOn="0065"/>
    <wne:acd wne:argValue="AQAAAAMA" wne:acdName="acd2" wne:fciIndexBasedOn="0065"/>
    <wne:acd wne:argValue="AQAAAAQA" wne:acdName="acd3" wne:fciIndexBasedOn="0065"/>
    <wne:acd wne:argValue="AQAAAAAA" wne:acdName="acd4" wne:fciIndexBasedOn="0065"/>
    <wne:acd wne:argValue="AgBoiDRZATD+Vg1U" wne:acdName="acd5"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72"/>
      </w:pPr>
      <w:r>
        <w:separator/>
      </w:r>
    </w:p>
  </w:endnote>
  <w:endnote w:type="continuationSeparator" w:id="1">
    <w:p>
      <w:pPr>
        <w:spacing w:line="240" w:lineRule="auto"/>
        <w:ind w:firstLine="47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8C696">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A080D">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A032C">
    <w:pPr>
      <w:pStyle w:val="14"/>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27FF6E3">
                          <w:pPr>
                            <w:pStyle w:val="14"/>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JgvZd8BAAC/AwAADgAAAGRycy9lMm9Eb2MueG1srVPBjtMwEL0j8Q+W&#10;7zTZskJV1HQFVIuQECAtfIDrOI0l22N53CblA+APOHHhznf1Oxg7SReWyx64JOOZ8Zt5b8brm8Ea&#10;dlQBNbiaXy1KzpST0Gi3r/nnT7fPVpxhFK4RBpyq+Ukhv9k8fbLufaWW0IFpVGAE4rDqfc27GH1V&#10;FCg7ZQUuwCtHwRaCFZGOYV80QfSEbk2xLMsXRQ+h8QGkQiTvdgzyCTE8BhDaVku1BXmwysURNSgj&#10;IlHCTnvkm9xt2yoZP7QtqshMzYlpzF8qQvYufYvNWlT7IHyn5dSCeEwLDzhZoR0VvUBtRRTsEPQ/&#10;UFbLAAhtXEiwxUgkK0IsrsoH2tx1wqvMhaRGfxEd/x+sfH/8GJhuan79nDMnLE38/P3b+cev88+v&#10;7Drp03usKO3OU2IcXsFAWzP7kZyJ9tAGm/5EiFGc1D1d1FVDZDJdWi1Xq5JCkmLzgfCL++s+YHyj&#10;wLJk1DzQ+LKq4vgO45g6p6RqDm61MXmExv3lIMzkKVLvY4/JisNumAjtoDkRH3oHVKeD8IWznrag&#10;5o6WnjPz1pHIaWFmI8zGbjaEk3Sx5pGz0Xwdx8U6+KD3XV611BT6l4dInWYCqY2x9tQdzTVLMO1g&#10;Wpw/zznr/t1t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LJgvZd8BAAC/AwAADgAAAAAA&#10;AAABACAAAAAeAQAAZHJzL2Uyb0RvYy54bWxQSwUGAAAAAAYABgBZAQAAbwUAAAAA&#10;">
              <v:fill on="f" focussize="0,0"/>
              <v:stroke on="f"/>
              <v:imagedata o:title=""/>
              <o:lock v:ext="edit" aspectratio="f"/>
              <v:textbox inset="0mm,0mm,0mm,0mm" style="mso-fit-shape-to-text:t;">
                <w:txbxContent>
                  <w:p w14:paraId="427FF6E3">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156C3">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AD9AF87">
                          <w:pPr>
                            <w:pStyle w:val="14"/>
                          </w:pPr>
                          <w:r>
                            <w:fldChar w:fldCharType="begin"/>
                          </w:r>
                          <w:r>
                            <w:instrText xml:space="preserve"> PAGE  \* MERGEFORMAT </w:instrText>
                          </w:r>
                          <w:r>
                            <w:fldChar w:fldCharType="separate"/>
                          </w:r>
                          <w:r>
                            <w:t>73</w:t>
                          </w:r>
                          <w: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UoQd94BAAC/AwAADgAAAGRycy9lMm9Eb2MueG1srVNBrtMwEN0jcQfL&#10;e5q0QqiKmn4B1UdICJA+HMB1nMaS7bHGbpNyALgBKzbsOVfPwdhJ+uGz+Qs2yXhm/Gbem/HmZrCG&#10;nRQGDa7my0XJmXISGu0ONf/86fbZmrMQhWuEAadqflaB32yfPtn0vlIr6MA0ChmBuFD1vuZdjL4q&#10;iiA7ZUVYgFeOgi2gFZGOeCgaFD2hW1OsyvJF0QM2HkGqEMi7G4N8QsTHAELbaql2II9WuTiiojIi&#10;EqXQaR/4NnfbtkrGD20bVGSm5sQ05i8VIXufvsV2I6oDCt9pObUgHtPCA05WaEdFr1A7EQU7ov4H&#10;ymqJEKCNCwm2GIlkRYjFsnygzV0nvMpcSOrgr6KH/wcr358+ItNNzZ8vOXPC0sQv379dfvy6/PzK&#10;lkmf3oeK0u48JcbhFQy0NbM/kDPRHlq06U+EGMVJ3fNVXTVEJtOl9Wq9LikkKTYfCL+4v+4xxDcK&#10;LEtGzZHGl1UVp3chjqlzSqrm4FYbk0do3F8OwkyeIvU+9pisOOyHidAemjPxoXdAdTrAL5z1tAU1&#10;d7T0nJm3jkROCzMbOBv72RBO0sWaR85G83UcF+voUR+6vGqpqeBfHiN1mgmkNsbaU3c01yzBtINp&#10;cf4856z7d7f9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NShB33gEAAL8DAAAOAAAAAAAA&#10;AAEAIAAAAB4BAABkcnMvZTJvRG9jLnhtbFBLBQYAAAAABgAGAFkBAABuBQAAAAA=&#10;">
              <v:fill on="f" focussize="0,0"/>
              <v:stroke on="f"/>
              <v:imagedata o:title=""/>
              <o:lock v:ext="edit" aspectratio="f"/>
              <v:textbox inset="0mm,0mm,0mm,0mm" style="mso-fit-shape-to-text:t;">
                <w:txbxContent>
                  <w:p w14:paraId="4AD9AF87">
                    <w:pPr>
                      <w:pStyle w:val="14"/>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0953B">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7DAA1C">
                          <w:pPr>
                            <w:pStyle w:val="14"/>
                          </w:pPr>
                          <w:r>
                            <w:fldChar w:fldCharType="begin"/>
                          </w:r>
                          <w:r>
                            <w:instrText xml:space="preserve"> PAGE  \* MERGEFORMAT </w:instrText>
                          </w:r>
                          <w:r>
                            <w:fldChar w:fldCharType="separate"/>
                          </w:r>
                          <w:r>
                            <w:t>73</w:t>
                          </w:r>
                          <w:r>
                            <w:fldChar w:fldCharType="end"/>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yilj98BAAC/AwAADgAAAGRycy9lMm9Eb2MueG1srVPBjtMwEL0j8Q+W&#10;7zTZaIWqqukKtlqEhABp4QNcx2ks2R5r7DYpHwB/wIkLd76r38HYSbqwXPbAJRnPjN/MezNe3wzW&#10;sKPCoMHV/GpRcqachEa7fc0/f7p7seQsROEaYcCpmp9U4Deb58/WvV+pCjowjUJGIC6sel/zLka/&#10;KoogO2VFWIBXjoItoBWRjrgvGhQ9oVtTVGX5sugBG48gVQjk3Y5BPiHiUwChbbVUW5AHq1wcUVEZ&#10;EYlS6LQPfJO7bVsl44e2DSoyU3NiGvOXipC9S99isxarPQrfaTm1IJ7SwiNOVmhHRS9QWxEFO6D+&#10;B8pqiRCgjQsJthiJZEWIxVX5SJv7TniVuZDUwV9ED/8PVr4/fkSmm5pfV5w5YWni5+/fzj9+nX9+&#10;ZVXSp/dhRWn3nhLj8BoG2prZH8iZaA8t2vQnQozipO7poq4aIpPp0rJaLksKSYrNB8IvHq57DPGN&#10;AsuSUXOk8WVVxfFdiGPqnJKqObjTxuQRGveXgzCTp0i9jz0mKw67YSK0g+ZEfOgdUJ0O8AtnPW1B&#10;zR0tPWfmrSOR08LMBs7GbjaEk3Sx5pGz0byN42IdPOp9l1ctNRX8q0OkTjOB1MZYe+qO5polmHYw&#10;Lc6f55z18O42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0yilj98BAAC/AwAADgAAAAAA&#10;AAABACAAAAAeAQAAZHJzL2Uyb0RvYy54bWxQSwUGAAAAAAYABgBZAQAAbwUAAAAA&#10;">
              <v:fill on="f" focussize="0,0"/>
              <v:stroke on="f"/>
              <v:imagedata o:title=""/>
              <o:lock v:ext="edit" aspectratio="f"/>
              <v:textbox inset="0mm,0mm,0mm,0mm" style="mso-fit-shape-to-text:t;">
                <w:txbxContent>
                  <w:p w14:paraId="357DAA1C">
                    <w:pPr>
                      <w:pStyle w:val="14"/>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72"/>
      </w:pPr>
      <w:r>
        <w:separator/>
      </w:r>
    </w:p>
  </w:footnote>
  <w:footnote w:type="continuationSeparator" w:id="1">
    <w:p>
      <w:pPr>
        <w:spacing w:line="360" w:lineRule="auto"/>
        <w:ind w:firstLine="47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0CBB0">
    <w:pPr>
      <w:pStyle w:val="1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30430">
    <w:pPr>
      <w:pStyle w:val="1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94271">
    <w:pPr>
      <w:pStyle w:val="15"/>
      <w:pBdr>
        <w:bottom w:val="thickThinSmallGap" w:color="auto" w:sz="18" w:space="1"/>
      </w:pBdr>
      <w:rPr>
        <w:rFonts w:hint="eastAsia" w:ascii="黑体" w:hAnsi="黑体" w:cs="黑体"/>
        <w:szCs w:val="32"/>
      </w:rPr>
    </w:pPr>
    <w:r>
      <w:rPr>
        <w:rFonts w:hint="eastAsia" w:ascii="黑体" w:hAnsi="黑体" w:cs="黑体"/>
        <w:szCs w:val="32"/>
        <w:lang w:eastAsia="zh-CN"/>
      </w:rPr>
      <w:t>绥滨县</w:t>
    </w:r>
    <w:r>
      <w:rPr>
        <w:rFonts w:hint="eastAsia" w:ascii="黑体" w:hAnsi="黑体" w:cs="黑体"/>
        <w:color w:val="auto"/>
        <w:szCs w:val="32"/>
        <w:lang w:eastAsia="zh-CN"/>
      </w:rPr>
      <w:t>中心城区</w:t>
    </w:r>
    <w:r>
      <w:rPr>
        <w:rFonts w:hint="eastAsia" w:ascii="黑体" w:hAnsi="黑体" w:cs="黑体"/>
        <w:szCs w:val="32"/>
      </w:rPr>
      <w:t>声环境功能区划分技术报告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hyphenationZone w:val="360"/>
  <w:drawingGridHorizontalSpacing w:val="118"/>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E"/>
    <w:rsid w:val="000937EC"/>
    <w:rsid w:val="00176136"/>
    <w:rsid w:val="00180CF1"/>
    <w:rsid w:val="002021A9"/>
    <w:rsid w:val="002B390C"/>
    <w:rsid w:val="002E1CD4"/>
    <w:rsid w:val="00377A98"/>
    <w:rsid w:val="003B39AD"/>
    <w:rsid w:val="00417CF2"/>
    <w:rsid w:val="004D0268"/>
    <w:rsid w:val="00522102"/>
    <w:rsid w:val="005B7E4E"/>
    <w:rsid w:val="005C17D0"/>
    <w:rsid w:val="005D7BBB"/>
    <w:rsid w:val="006805E5"/>
    <w:rsid w:val="006A1CF9"/>
    <w:rsid w:val="00750014"/>
    <w:rsid w:val="00751EEC"/>
    <w:rsid w:val="00781111"/>
    <w:rsid w:val="008C00CD"/>
    <w:rsid w:val="008D2601"/>
    <w:rsid w:val="0095693B"/>
    <w:rsid w:val="00A5027E"/>
    <w:rsid w:val="00A61DE2"/>
    <w:rsid w:val="00AC7D6A"/>
    <w:rsid w:val="00AE60B5"/>
    <w:rsid w:val="00B04DFA"/>
    <w:rsid w:val="00B92181"/>
    <w:rsid w:val="00D50D6E"/>
    <w:rsid w:val="00DA1009"/>
    <w:rsid w:val="00DC64FB"/>
    <w:rsid w:val="00E10225"/>
    <w:rsid w:val="00E54102"/>
    <w:rsid w:val="00EF4110"/>
    <w:rsid w:val="00F07A71"/>
    <w:rsid w:val="00F46D05"/>
    <w:rsid w:val="01105699"/>
    <w:rsid w:val="01161381"/>
    <w:rsid w:val="013712F7"/>
    <w:rsid w:val="014F7F8E"/>
    <w:rsid w:val="01D810BA"/>
    <w:rsid w:val="01E46D89"/>
    <w:rsid w:val="01FD52EA"/>
    <w:rsid w:val="020A5163"/>
    <w:rsid w:val="02104157"/>
    <w:rsid w:val="02445FE5"/>
    <w:rsid w:val="0259076E"/>
    <w:rsid w:val="025F388A"/>
    <w:rsid w:val="02661E94"/>
    <w:rsid w:val="02BC0BE9"/>
    <w:rsid w:val="03442791"/>
    <w:rsid w:val="034B2E38"/>
    <w:rsid w:val="039C6DD7"/>
    <w:rsid w:val="0438668D"/>
    <w:rsid w:val="043D5F24"/>
    <w:rsid w:val="04D94B9F"/>
    <w:rsid w:val="052027CE"/>
    <w:rsid w:val="05281538"/>
    <w:rsid w:val="05785C8A"/>
    <w:rsid w:val="05BE0BDA"/>
    <w:rsid w:val="05CC1180"/>
    <w:rsid w:val="05CE0E7F"/>
    <w:rsid w:val="062D6B4E"/>
    <w:rsid w:val="065C5A00"/>
    <w:rsid w:val="069D270C"/>
    <w:rsid w:val="06A463B8"/>
    <w:rsid w:val="07306D8B"/>
    <w:rsid w:val="07440FCD"/>
    <w:rsid w:val="07603356"/>
    <w:rsid w:val="07AF7E3A"/>
    <w:rsid w:val="0804341D"/>
    <w:rsid w:val="080A150B"/>
    <w:rsid w:val="08495703"/>
    <w:rsid w:val="08507BE0"/>
    <w:rsid w:val="08512C9F"/>
    <w:rsid w:val="08C96CD9"/>
    <w:rsid w:val="09297778"/>
    <w:rsid w:val="0977026E"/>
    <w:rsid w:val="097842D5"/>
    <w:rsid w:val="0A1B60BD"/>
    <w:rsid w:val="0A456833"/>
    <w:rsid w:val="0AF31F8F"/>
    <w:rsid w:val="0B0F3A26"/>
    <w:rsid w:val="0B0F7EA8"/>
    <w:rsid w:val="0B6B051B"/>
    <w:rsid w:val="0B7775DF"/>
    <w:rsid w:val="0BAE1F24"/>
    <w:rsid w:val="0BC55E54"/>
    <w:rsid w:val="0C7067C1"/>
    <w:rsid w:val="0CC679CB"/>
    <w:rsid w:val="0CCB0ECC"/>
    <w:rsid w:val="0CD0220D"/>
    <w:rsid w:val="0D696CDD"/>
    <w:rsid w:val="0D9217FF"/>
    <w:rsid w:val="0DC43CFC"/>
    <w:rsid w:val="0DCE33A9"/>
    <w:rsid w:val="0E0001AD"/>
    <w:rsid w:val="0E1108FE"/>
    <w:rsid w:val="0E3B31DF"/>
    <w:rsid w:val="0E4137B5"/>
    <w:rsid w:val="0E4706B2"/>
    <w:rsid w:val="0E6255D4"/>
    <w:rsid w:val="0E6D2AA6"/>
    <w:rsid w:val="0E9262B2"/>
    <w:rsid w:val="0E990EFC"/>
    <w:rsid w:val="0F334D5E"/>
    <w:rsid w:val="10156893"/>
    <w:rsid w:val="106519DD"/>
    <w:rsid w:val="106F63B8"/>
    <w:rsid w:val="10806817"/>
    <w:rsid w:val="10AE08D0"/>
    <w:rsid w:val="10C04426"/>
    <w:rsid w:val="10C54CCA"/>
    <w:rsid w:val="10E34436"/>
    <w:rsid w:val="1106155F"/>
    <w:rsid w:val="11653D6C"/>
    <w:rsid w:val="11785740"/>
    <w:rsid w:val="119D2A3E"/>
    <w:rsid w:val="11C52008"/>
    <w:rsid w:val="11D64215"/>
    <w:rsid w:val="11FA7F03"/>
    <w:rsid w:val="12154734"/>
    <w:rsid w:val="123122E5"/>
    <w:rsid w:val="124F64A1"/>
    <w:rsid w:val="1266706A"/>
    <w:rsid w:val="12D42D04"/>
    <w:rsid w:val="14210078"/>
    <w:rsid w:val="14290FD2"/>
    <w:rsid w:val="14333BA0"/>
    <w:rsid w:val="144A14F6"/>
    <w:rsid w:val="147F24B8"/>
    <w:rsid w:val="1494332B"/>
    <w:rsid w:val="14C02376"/>
    <w:rsid w:val="14CC2FE4"/>
    <w:rsid w:val="14D4695F"/>
    <w:rsid w:val="155C2B41"/>
    <w:rsid w:val="16016957"/>
    <w:rsid w:val="160E39F0"/>
    <w:rsid w:val="161C0D90"/>
    <w:rsid w:val="162E0AC3"/>
    <w:rsid w:val="163D20FF"/>
    <w:rsid w:val="16BC409B"/>
    <w:rsid w:val="17492104"/>
    <w:rsid w:val="180A36AC"/>
    <w:rsid w:val="180B5C64"/>
    <w:rsid w:val="183B1103"/>
    <w:rsid w:val="18446C91"/>
    <w:rsid w:val="18E100F8"/>
    <w:rsid w:val="18EA6F23"/>
    <w:rsid w:val="19502919"/>
    <w:rsid w:val="195A1F6E"/>
    <w:rsid w:val="195B2FC6"/>
    <w:rsid w:val="19C81325"/>
    <w:rsid w:val="1A164EFB"/>
    <w:rsid w:val="1A2752B2"/>
    <w:rsid w:val="1A671ED8"/>
    <w:rsid w:val="1AE71241"/>
    <w:rsid w:val="1AE96DC7"/>
    <w:rsid w:val="1B4A1EFB"/>
    <w:rsid w:val="1B61433C"/>
    <w:rsid w:val="1B6C00C4"/>
    <w:rsid w:val="1B9D2601"/>
    <w:rsid w:val="1C103880"/>
    <w:rsid w:val="1C4E2245"/>
    <w:rsid w:val="1C791910"/>
    <w:rsid w:val="1D232A04"/>
    <w:rsid w:val="1D2C2BE0"/>
    <w:rsid w:val="1D4F0718"/>
    <w:rsid w:val="1D762D4C"/>
    <w:rsid w:val="1DBE5879"/>
    <w:rsid w:val="1DE63A32"/>
    <w:rsid w:val="1E2A7DC2"/>
    <w:rsid w:val="1E727ED1"/>
    <w:rsid w:val="1E833E37"/>
    <w:rsid w:val="1E85324A"/>
    <w:rsid w:val="1F0F173B"/>
    <w:rsid w:val="1F105928"/>
    <w:rsid w:val="1F7F7C9A"/>
    <w:rsid w:val="1F9C6A7C"/>
    <w:rsid w:val="1FFD7F00"/>
    <w:rsid w:val="208C08C0"/>
    <w:rsid w:val="209F2C88"/>
    <w:rsid w:val="20A56D47"/>
    <w:rsid w:val="20DE53BB"/>
    <w:rsid w:val="210479D4"/>
    <w:rsid w:val="211C233A"/>
    <w:rsid w:val="2150136E"/>
    <w:rsid w:val="22194E4C"/>
    <w:rsid w:val="22460F43"/>
    <w:rsid w:val="224F70F1"/>
    <w:rsid w:val="227F30E6"/>
    <w:rsid w:val="22DF15A0"/>
    <w:rsid w:val="2334047B"/>
    <w:rsid w:val="233F7E6C"/>
    <w:rsid w:val="23497861"/>
    <w:rsid w:val="237D58CC"/>
    <w:rsid w:val="238B30B1"/>
    <w:rsid w:val="23B117E5"/>
    <w:rsid w:val="23D35176"/>
    <w:rsid w:val="23D42D7D"/>
    <w:rsid w:val="23DF1103"/>
    <w:rsid w:val="244E63D4"/>
    <w:rsid w:val="24747FE9"/>
    <w:rsid w:val="24AF7273"/>
    <w:rsid w:val="24C863C9"/>
    <w:rsid w:val="24F64E33"/>
    <w:rsid w:val="251B0967"/>
    <w:rsid w:val="251E5B96"/>
    <w:rsid w:val="25C07D24"/>
    <w:rsid w:val="25DA6A48"/>
    <w:rsid w:val="265158F5"/>
    <w:rsid w:val="26B96187"/>
    <w:rsid w:val="26D42FC1"/>
    <w:rsid w:val="26E049C9"/>
    <w:rsid w:val="26FF298C"/>
    <w:rsid w:val="27217BE0"/>
    <w:rsid w:val="27386B1B"/>
    <w:rsid w:val="2769195B"/>
    <w:rsid w:val="27B05A75"/>
    <w:rsid w:val="27ED7947"/>
    <w:rsid w:val="280E4926"/>
    <w:rsid w:val="28212236"/>
    <w:rsid w:val="283A6E54"/>
    <w:rsid w:val="285F5A42"/>
    <w:rsid w:val="28645547"/>
    <w:rsid w:val="289E3187"/>
    <w:rsid w:val="28D14146"/>
    <w:rsid w:val="29787C34"/>
    <w:rsid w:val="29BD49CB"/>
    <w:rsid w:val="29E0634B"/>
    <w:rsid w:val="29F47AC1"/>
    <w:rsid w:val="29FA6504"/>
    <w:rsid w:val="2A27165A"/>
    <w:rsid w:val="2A297180"/>
    <w:rsid w:val="2A2C6C70"/>
    <w:rsid w:val="2AA10882"/>
    <w:rsid w:val="2ABC3D95"/>
    <w:rsid w:val="2AE337D3"/>
    <w:rsid w:val="2B7D30FE"/>
    <w:rsid w:val="2BB66F76"/>
    <w:rsid w:val="2BC43604"/>
    <w:rsid w:val="2BE07D12"/>
    <w:rsid w:val="2BF043F9"/>
    <w:rsid w:val="2C2045B2"/>
    <w:rsid w:val="2C3F5163"/>
    <w:rsid w:val="2C4E2ECE"/>
    <w:rsid w:val="2C680F76"/>
    <w:rsid w:val="2C755D0D"/>
    <w:rsid w:val="2CB20D73"/>
    <w:rsid w:val="2D104627"/>
    <w:rsid w:val="2D59068D"/>
    <w:rsid w:val="2D727090"/>
    <w:rsid w:val="2D8748E9"/>
    <w:rsid w:val="2DDB37DB"/>
    <w:rsid w:val="2DEA7700"/>
    <w:rsid w:val="2E25631E"/>
    <w:rsid w:val="2E440A2C"/>
    <w:rsid w:val="2E895051"/>
    <w:rsid w:val="2F330266"/>
    <w:rsid w:val="2F787981"/>
    <w:rsid w:val="2F993BED"/>
    <w:rsid w:val="2FBF2459"/>
    <w:rsid w:val="2FD5182F"/>
    <w:rsid w:val="2FEC1E76"/>
    <w:rsid w:val="30011F27"/>
    <w:rsid w:val="300C37CC"/>
    <w:rsid w:val="30A13F14"/>
    <w:rsid w:val="30AB7F08"/>
    <w:rsid w:val="30B52F3C"/>
    <w:rsid w:val="30C65115"/>
    <w:rsid w:val="30E85CC5"/>
    <w:rsid w:val="310C6298"/>
    <w:rsid w:val="315D7B4B"/>
    <w:rsid w:val="31A311F7"/>
    <w:rsid w:val="31D54E31"/>
    <w:rsid w:val="329809E9"/>
    <w:rsid w:val="32A47F7A"/>
    <w:rsid w:val="33124E6A"/>
    <w:rsid w:val="33A83F13"/>
    <w:rsid w:val="33D03344"/>
    <w:rsid w:val="33D56C16"/>
    <w:rsid w:val="33D75E9F"/>
    <w:rsid w:val="33F26834"/>
    <w:rsid w:val="33FF18B6"/>
    <w:rsid w:val="33FF76FA"/>
    <w:rsid w:val="34267A16"/>
    <w:rsid w:val="34452663"/>
    <w:rsid w:val="345528B4"/>
    <w:rsid w:val="34991083"/>
    <w:rsid w:val="34A51AF9"/>
    <w:rsid w:val="34CA1C51"/>
    <w:rsid w:val="34EC7728"/>
    <w:rsid w:val="352443E9"/>
    <w:rsid w:val="35247FD5"/>
    <w:rsid w:val="355C6968"/>
    <w:rsid w:val="35771C89"/>
    <w:rsid w:val="359B2D38"/>
    <w:rsid w:val="35EF65E1"/>
    <w:rsid w:val="36242D77"/>
    <w:rsid w:val="368E5EDD"/>
    <w:rsid w:val="36AA1648"/>
    <w:rsid w:val="36B275B8"/>
    <w:rsid w:val="36D64211"/>
    <w:rsid w:val="36DA7EC6"/>
    <w:rsid w:val="371D62BE"/>
    <w:rsid w:val="37720519"/>
    <w:rsid w:val="37852E1A"/>
    <w:rsid w:val="378C7933"/>
    <w:rsid w:val="38316F10"/>
    <w:rsid w:val="38711257"/>
    <w:rsid w:val="387C649D"/>
    <w:rsid w:val="387F29F9"/>
    <w:rsid w:val="3884425C"/>
    <w:rsid w:val="389D428C"/>
    <w:rsid w:val="38A50319"/>
    <w:rsid w:val="38E075A3"/>
    <w:rsid w:val="391C048E"/>
    <w:rsid w:val="39B37FAE"/>
    <w:rsid w:val="39B60304"/>
    <w:rsid w:val="39D61D1E"/>
    <w:rsid w:val="39F33306"/>
    <w:rsid w:val="3A0D43C8"/>
    <w:rsid w:val="3A545BA4"/>
    <w:rsid w:val="3A60140C"/>
    <w:rsid w:val="3A700B1E"/>
    <w:rsid w:val="3A85582D"/>
    <w:rsid w:val="3A884E3C"/>
    <w:rsid w:val="3A9512E0"/>
    <w:rsid w:val="3AAE14A9"/>
    <w:rsid w:val="3ADE23C2"/>
    <w:rsid w:val="3AF116FF"/>
    <w:rsid w:val="3B620B7D"/>
    <w:rsid w:val="3B7F18E1"/>
    <w:rsid w:val="3B9E50AD"/>
    <w:rsid w:val="3BBC42F8"/>
    <w:rsid w:val="3BC81537"/>
    <w:rsid w:val="3BCE2FC8"/>
    <w:rsid w:val="3BEA589B"/>
    <w:rsid w:val="3C2217C3"/>
    <w:rsid w:val="3C5B4A69"/>
    <w:rsid w:val="3CC701F0"/>
    <w:rsid w:val="3CD33508"/>
    <w:rsid w:val="3CD502DC"/>
    <w:rsid w:val="3D2E64B4"/>
    <w:rsid w:val="3DA70690"/>
    <w:rsid w:val="3DB53026"/>
    <w:rsid w:val="3DC3718A"/>
    <w:rsid w:val="3E295549"/>
    <w:rsid w:val="3E3420DC"/>
    <w:rsid w:val="3E7A1EC4"/>
    <w:rsid w:val="3EE21A59"/>
    <w:rsid w:val="3F3B000C"/>
    <w:rsid w:val="3F6A7BC7"/>
    <w:rsid w:val="3F9A4869"/>
    <w:rsid w:val="3FD23641"/>
    <w:rsid w:val="3FE65583"/>
    <w:rsid w:val="400C23CA"/>
    <w:rsid w:val="4039777F"/>
    <w:rsid w:val="40CC0682"/>
    <w:rsid w:val="40CF0BDD"/>
    <w:rsid w:val="41317286"/>
    <w:rsid w:val="418367A9"/>
    <w:rsid w:val="41D55B54"/>
    <w:rsid w:val="420E0F14"/>
    <w:rsid w:val="42107AA8"/>
    <w:rsid w:val="421309EA"/>
    <w:rsid w:val="43305BFF"/>
    <w:rsid w:val="434F770F"/>
    <w:rsid w:val="435F19FB"/>
    <w:rsid w:val="43AB7F24"/>
    <w:rsid w:val="43BE6737"/>
    <w:rsid w:val="43C024AB"/>
    <w:rsid w:val="43D30430"/>
    <w:rsid w:val="43F42902"/>
    <w:rsid w:val="43F67F35"/>
    <w:rsid w:val="442C21B0"/>
    <w:rsid w:val="445A7E01"/>
    <w:rsid w:val="44966F51"/>
    <w:rsid w:val="44C85ABB"/>
    <w:rsid w:val="450517F3"/>
    <w:rsid w:val="45635804"/>
    <w:rsid w:val="456B1A5D"/>
    <w:rsid w:val="45823F12"/>
    <w:rsid w:val="458F359B"/>
    <w:rsid w:val="459371BC"/>
    <w:rsid w:val="45AF27D7"/>
    <w:rsid w:val="461B1C1B"/>
    <w:rsid w:val="462176BD"/>
    <w:rsid w:val="46785C78"/>
    <w:rsid w:val="46810B28"/>
    <w:rsid w:val="46821C9A"/>
    <w:rsid w:val="469519CD"/>
    <w:rsid w:val="46CE1383"/>
    <w:rsid w:val="473A4323"/>
    <w:rsid w:val="47444178"/>
    <w:rsid w:val="47483673"/>
    <w:rsid w:val="47585A9F"/>
    <w:rsid w:val="47E94C70"/>
    <w:rsid w:val="480B1834"/>
    <w:rsid w:val="480D3197"/>
    <w:rsid w:val="487A531F"/>
    <w:rsid w:val="48A24750"/>
    <w:rsid w:val="490014FC"/>
    <w:rsid w:val="49115557"/>
    <w:rsid w:val="49254C34"/>
    <w:rsid w:val="492C391D"/>
    <w:rsid w:val="496A0BEE"/>
    <w:rsid w:val="497F6A07"/>
    <w:rsid w:val="49823EC1"/>
    <w:rsid w:val="499323A4"/>
    <w:rsid w:val="49A8143B"/>
    <w:rsid w:val="49CA233A"/>
    <w:rsid w:val="49EA7D88"/>
    <w:rsid w:val="49F4498B"/>
    <w:rsid w:val="4A0F33D7"/>
    <w:rsid w:val="4A617BB2"/>
    <w:rsid w:val="4A7F66F1"/>
    <w:rsid w:val="4A9459DD"/>
    <w:rsid w:val="4B344045"/>
    <w:rsid w:val="4B4539D0"/>
    <w:rsid w:val="4B5B7B05"/>
    <w:rsid w:val="4B787C68"/>
    <w:rsid w:val="4BB41A6E"/>
    <w:rsid w:val="4BB94ACE"/>
    <w:rsid w:val="4BD74836"/>
    <w:rsid w:val="4BD91EE8"/>
    <w:rsid w:val="4BE16B65"/>
    <w:rsid w:val="4BE53498"/>
    <w:rsid w:val="4BEA27BB"/>
    <w:rsid w:val="4C340964"/>
    <w:rsid w:val="4C767EF9"/>
    <w:rsid w:val="4C8A062B"/>
    <w:rsid w:val="4C9E7102"/>
    <w:rsid w:val="4CC81A16"/>
    <w:rsid w:val="4CDD409A"/>
    <w:rsid w:val="4CF707A3"/>
    <w:rsid w:val="4D2910C1"/>
    <w:rsid w:val="4DC50327"/>
    <w:rsid w:val="4DD63967"/>
    <w:rsid w:val="4DF72F6D"/>
    <w:rsid w:val="4E086F29"/>
    <w:rsid w:val="4E3C163E"/>
    <w:rsid w:val="4EC97EEC"/>
    <w:rsid w:val="4F341D28"/>
    <w:rsid w:val="4F413C47"/>
    <w:rsid w:val="4F616DFE"/>
    <w:rsid w:val="4FAC4ED0"/>
    <w:rsid w:val="4FB70548"/>
    <w:rsid w:val="4FCE31AB"/>
    <w:rsid w:val="4FDF7053"/>
    <w:rsid w:val="502B02F9"/>
    <w:rsid w:val="502F4C40"/>
    <w:rsid w:val="50B76955"/>
    <w:rsid w:val="516C7467"/>
    <w:rsid w:val="519F7BA4"/>
    <w:rsid w:val="51FB2277"/>
    <w:rsid w:val="52A80CDA"/>
    <w:rsid w:val="52D65C0F"/>
    <w:rsid w:val="52D9305D"/>
    <w:rsid w:val="531C3B06"/>
    <w:rsid w:val="538B5222"/>
    <w:rsid w:val="53CA4C80"/>
    <w:rsid w:val="53D8236C"/>
    <w:rsid w:val="544423ED"/>
    <w:rsid w:val="54456BE1"/>
    <w:rsid w:val="548555B9"/>
    <w:rsid w:val="54DF2C75"/>
    <w:rsid w:val="54EF03E5"/>
    <w:rsid w:val="5617627F"/>
    <w:rsid w:val="561C5C67"/>
    <w:rsid w:val="562346E0"/>
    <w:rsid w:val="563E4B38"/>
    <w:rsid w:val="564170B4"/>
    <w:rsid w:val="56421F06"/>
    <w:rsid w:val="56646A8F"/>
    <w:rsid w:val="56D3300B"/>
    <w:rsid w:val="5707167F"/>
    <w:rsid w:val="57385255"/>
    <w:rsid w:val="57B85C78"/>
    <w:rsid w:val="57E94CAC"/>
    <w:rsid w:val="583D0117"/>
    <w:rsid w:val="586E7B85"/>
    <w:rsid w:val="58BD31AC"/>
    <w:rsid w:val="59055760"/>
    <w:rsid w:val="593F2872"/>
    <w:rsid w:val="59AA358A"/>
    <w:rsid w:val="59C95329"/>
    <w:rsid w:val="59EC3BA2"/>
    <w:rsid w:val="5A004E84"/>
    <w:rsid w:val="5A130E92"/>
    <w:rsid w:val="5A3E3CD2"/>
    <w:rsid w:val="5ABF3065"/>
    <w:rsid w:val="5AE928DA"/>
    <w:rsid w:val="5B465534"/>
    <w:rsid w:val="5B5A7906"/>
    <w:rsid w:val="5B900585"/>
    <w:rsid w:val="5B99131B"/>
    <w:rsid w:val="5BA629EB"/>
    <w:rsid w:val="5BCC5A39"/>
    <w:rsid w:val="5BD95199"/>
    <w:rsid w:val="5C5C3302"/>
    <w:rsid w:val="5C732401"/>
    <w:rsid w:val="5C8237F5"/>
    <w:rsid w:val="5CB92345"/>
    <w:rsid w:val="5CE648D9"/>
    <w:rsid w:val="5D290C69"/>
    <w:rsid w:val="5DD66AB8"/>
    <w:rsid w:val="5E8E1C6D"/>
    <w:rsid w:val="5E972BD5"/>
    <w:rsid w:val="5F0476DF"/>
    <w:rsid w:val="5F0B4827"/>
    <w:rsid w:val="5F145282"/>
    <w:rsid w:val="5F745085"/>
    <w:rsid w:val="5FB66871"/>
    <w:rsid w:val="5FD5306F"/>
    <w:rsid w:val="5FE87251"/>
    <w:rsid w:val="5FF65542"/>
    <w:rsid w:val="60304AE7"/>
    <w:rsid w:val="603906F6"/>
    <w:rsid w:val="6071763E"/>
    <w:rsid w:val="60D613D0"/>
    <w:rsid w:val="614E35EC"/>
    <w:rsid w:val="6155027F"/>
    <w:rsid w:val="615748EE"/>
    <w:rsid w:val="61970253"/>
    <w:rsid w:val="6204091A"/>
    <w:rsid w:val="623936FD"/>
    <w:rsid w:val="624960D7"/>
    <w:rsid w:val="625B6FBC"/>
    <w:rsid w:val="62AE428A"/>
    <w:rsid w:val="62DB0C58"/>
    <w:rsid w:val="62F31AFE"/>
    <w:rsid w:val="63022A93"/>
    <w:rsid w:val="63141F85"/>
    <w:rsid w:val="632276D9"/>
    <w:rsid w:val="634E3D33"/>
    <w:rsid w:val="63581512"/>
    <w:rsid w:val="635F08D6"/>
    <w:rsid w:val="63650559"/>
    <w:rsid w:val="63A31776"/>
    <w:rsid w:val="63BB0FFE"/>
    <w:rsid w:val="63D4317D"/>
    <w:rsid w:val="63D74F7B"/>
    <w:rsid w:val="63E57BEB"/>
    <w:rsid w:val="640454FF"/>
    <w:rsid w:val="640F71B2"/>
    <w:rsid w:val="64663F31"/>
    <w:rsid w:val="64A920F3"/>
    <w:rsid w:val="64BD5616"/>
    <w:rsid w:val="65315D5A"/>
    <w:rsid w:val="65442AE4"/>
    <w:rsid w:val="654C2E85"/>
    <w:rsid w:val="65944B4E"/>
    <w:rsid w:val="659C3EAB"/>
    <w:rsid w:val="65AE7F5E"/>
    <w:rsid w:val="65B00898"/>
    <w:rsid w:val="65C6527D"/>
    <w:rsid w:val="65F95E0A"/>
    <w:rsid w:val="66012783"/>
    <w:rsid w:val="66367C20"/>
    <w:rsid w:val="665E5BD6"/>
    <w:rsid w:val="66611474"/>
    <w:rsid w:val="667258CB"/>
    <w:rsid w:val="66763229"/>
    <w:rsid w:val="66B4626A"/>
    <w:rsid w:val="67044388"/>
    <w:rsid w:val="67114C48"/>
    <w:rsid w:val="672C3830"/>
    <w:rsid w:val="673C6346"/>
    <w:rsid w:val="676C782A"/>
    <w:rsid w:val="67954732"/>
    <w:rsid w:val="67B2785F"/>
    <w:rsid w:val="68196D9E"/>
    <w:rsid w:val="686B4994"/>
    <w:rsid w:val="6877495A"/>
    <w:rsid w:val="68A90854"/>
    <w:rsid w:val="68AD44EE"/>
    <w:rsid w:val="68AF296B"/>
    <w:rsid w:val="68E51EE8"/>
    <w:rsid w:val="68E57D0D"/>
    <w:rsid w:val="69472BA3"/>
    <w:rsid w:val="6A08581E"/>
    <w:rsid w:val="6A291171"/>
    <w:rsid w:val="6A4A055F"/>
    <w:rsid w:val="6A6904B8"/>
    <w:rsid w:val="6A845731"/>
    <w:rsid w:val="6A927E4E"/>
    <w:rsid w:val="6A9D11B4"/>
    <w:rsid w:val="6AEB30AD"/>
    <w:rsid w:val="6B3B4596"/>
    <w:rsid w:val="6B456583"/>
    <w:rsid w:val="6B7C067B"/>
    <w:rsid w:val="6BBB5183"/>
    <w:rsid w:val="6BCA4833"/>
    <w:rsid w:val="6BEC5795"/>
    <w:rsid w:val="6C143BE9"/>
    <w:rsid w:val="6C216DBB"/>
    <w:rsid w:val="6C7730FF"/>
    <w:rsid w:val="6C88775B"/>
    <w:rsid w:val="6CB542C8"/>
    <w:rsid w:val="6CF13171"/>
    <w:rsid w:val="6D14040B"/>
    <w:rsid w:val="6D2F3C23"/>
    <w:rsid w:val="6D975611"/>
    <w:rsid w:val="6DE34AE4"/>
    <w:rsid w:val="6E0077C5"/>
    <w:rsid w:val="6E3A2CD6"/>
    <w:rsid w:val="6E8E69EC"/>
    <w:rsid w:val="6EA14B04"/>
    <w:rsid w:val="6EAF6C69"/>
    <w:rsid w:val="6EC922AC"/>
    <w:rsid w:val="6ECD5DE9"/>
    <w:rsid w:val="6EE95D7C"/>
    <w:rsid w:val="6F4F00B9"/>
    <w:rsid w:val="6F69477C"/>
    <w:rsid w:val="6FAF14A2"/>
    <w:rsid w:val="6FEA0C29"/>
    <w:rsid w:val="6FEF4FD6"/>
    <w:rsid w:val="70125476"/>
    <w:rsid w:val="703C7927"/>
    <w:rsid w:val="709661BE"/>
    <w:rsid w:val="70BB710E"/>
    <w:rsid w:val="70DC1C8E"/>
    <w:rsid w:val="70E7386C"/>
    <w:rsid w:val="70EB02B8"/>
    <w:rsid w:val="716F713B"/>
    <w:rsid w:val="71770865"/>
    <w:rsid w:val="71C72047"/>
    <w:rsid w:val="72370ABC"/>
    <w:rsid w:val="72C25C43"/>
    <w:rsid w:val="72E163D5"/>
    <w:rsid w:val="7327134F"/>
    <w:rsid w:val="73313267"/>
    <w:rsid w:val="733F0CA0"/>
    <w:rsid w:val="734D0635"/>
    <w:rsid w:val="73836ECE"/>
    <w:rsid w:val="73A8257E"/>
    <w:rsid w:val="73B870DD"/>
    <w:rsid w:val="73E84F83"/>
    <w:rsid w:val="742A7ABE"/>
    <w:rsid w:val="74A203E8"/>
    <w:rsid w:val="75022074"/>
    <w:rsid w:val="75455D2E"/>
    <w:rsid w:val="754A1796"/>
    <w:rsid w:val="75B54FBA"/>
    <w:rsid w:val="75C64E50"/>
    <w:rsid w:val="75DC28C5"/>
    <w:rsid w:val="75E04B1D"/>
    <w:rsid w:val="766D1A47"/>
    <w:rsid w:val="76907B9B"/>
    <w:rsid w:val="76A74E38"/>
    <w:rsid w:val="76F61765"/>
    <w:rsid w:val="770E4D00"/>
    <w:rsid w:val="773645BB"/>
    <w:rsid w:val="77514BED"/>
    <w:rsid w:val="776B3252"/>
    <w:rsid w:val="776F6CAD"/>
    <w:rsid w:val="777F79AC"/>
    <w:rsid w:val="77A16C9F"/>
    <w:rsid w:val="77B02ACB"/>
    <w:rsid w:val="77DE08BF"/>
    <w:rsid w:val="7808174F"/>
    <w:rsid w:val="783063C3"/>
    <w:rsid w:val="783F619F"/>
    <w:rsid w:val="784E4DCE"/>
    <w:rsid w:val="785B589E"/>
    <w:rsid w:val="78753289"/>
    <w:rsid w:val="789B436E"/>
    <w:rsid w:val="78C315EA"/>
    <w:rsid w:val="78D93032"/>
    <w:rsid w:val="78E508AC"/>
    <w:rsid w:val="79463717"/>
    <w:rsid w:val="796F666E"/>
    <w:rsid w:val="79C337E9"/>
    <w:rsid w:val="7A7474B9"/>
    <w:rsid w:val="7AAF6F19"/>
    <w:rsid w:val="7AB80F9A"/>
    <w:rsid w:val="7ABE07EB"/>
    <w:rsid w:val="7B0C1557"/>
    <w:rsid w:val="7B0C60D2"/>
    <w:rsid w:val="7B226FCC"/>
    <w:rsid w:val="7B354F51"/>
    <w:rsid w:val="7B5302ED"/>
    <w:rsid w:val="7BA76E2E"/>
    <w:rsid w:val="7BBC11CF"/>
    <w:rsid w:val="7BEC3136"/>
    <w:rsid w:val="7BF001E1"/>
    <w:rsid w:val="7C0943C4"/>
    <w:rsid w:val="7C1F7BF8"/>
    <w:rsid w:val="7C9B602D"/>
    <w:rsid w:val="7CAB4D9F"/>
    <w:rsid w:val="7CB24380"/>
    <w:rsid w:val="7CB47CC8"/>
    <w:rsid w:val="7D070051"/>
    <w:rsid w:val="7D433C63"/>
    <w:rsid w:val="7D8A0E59"/>
    <w:rsid w:val="7DA55B29"/>
    <w:rsid w:val="7DBF5FC7"/>
    <w:rsid w:val="7E3C2153"/>
    <w:rsid w:val="7E7044F2"/>
    <w:rsid w:val="7E7A0ECD"/>
    <w:rsid w:val="7E9E4751"/>
    <w:rsid w:val="7EC14FBA"/>
    <w:rsid w:val="7F231565"/>
    <w:rsid w:val="7F3B68AE"/>
    <w:rsid w:val="7F74591C"/>
    <w:rsid w:val="7FC9210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keepNext w:val="0"/>
      <w:keepLines w:val="0"/>
      <w:spacing w:before="240" w:beforeLines="0" w:beforeAutospacing="0" w:after="240" w:afterLines="0" w:afterAutospacing="0" w:line="360" w:lineRule="auto"/>
      <w:ind w:firstLine="0" w:firstLineChars="0"/>
      <w:outlineLvl w:val="0"/>
    </w:pPr>
    <w:rPr>
      <w:rFonts w:ascii="Times New Roman" w:hAnsi="Times New Roman" w:eastAsia="黑体" w:cs="Times New Roman"/>
      <w:kern w:val="44"/>
      <w:sz w:val="32"/>
      <w:szCs w:val="36"/>
    </w:rPr>
  </w:style>
  <w:style w:type="paragraph" w:styleId="3">
    <w:name w:val="heading 2"/>
    <w:basedOn w:val="1"/>
    <w:next w:val="1"/>
    <w:qFormat/>
    <w:uiPriority w:val="0"/>
    <w:pPr>
      <w:spacing w:before="160" w:beforeAutospacing="0" w:after="160" w:afterAutospacing="0"/>
      <w:ind w:firstLine="0" w:firstLineChars="0"/>
      <w:jc w:val="both"/>
      <w:outlineLvl w:val="1"/>
    </w:pPr>
    <w:rPr>
      <w:rFonts w:hint="eastAsia" w:ascii="Times New Roman" w:hAnsi="Times New Roman" w:eastAsia="黑体" w:cs="Times New Roman"/>
      <w:kern w:val="0"/>
      <w:sz w:val="28"/>
      <w:szCs w:val="28"/>
      <w:lang w:bidi="ar"/>
    </w:rPr>
  </w:style>
  <w:style w:type="paragraph" w:styleId="4">
    <w:name w:val="heading 3"/>
    <w:basedOn w:val="1"/>
    <w:next w:val="1"/>
    <w:link w:val="23"/>
    <w:qFormat/>
    <w:uiPriority w:val="0"/>
    <w:pPr>
      <w:keepNext/>
      <w:keepLines/>
      <w:adjustRightInd/>
      <w:snapToGrid/>
      <w:spacing w:before="60" w:after="60" w:line="360" w:lineRule="auto"/>
      <w:ind w:firstLine="0" w:firstLineChars="0"/>
      <w:outlineLvl w:val="2"/>
    </w:pPr>
    <w:rPr>
      <w:rFonts w:eastAsia="黑体"/>
      <w:sz w:val="24"/>
    </w:rPr>
  </w:style>
  <w:style w:type="paragraph" w:styleId="5">
    <w:name w:val="heading 4"/>
    <w:basedOn w:val="1"/>
    <w:next w:val="1"/>
    <w:link w:val="24"/>
    <w:qFormat/>
    <w:uiPriority w:val="0"/>
    <w:pPr>
      <w:keepNext/>
      <w:keepLines/>
      <w:spacing w:line="360" w:lineRule="auto"/>
      <w:ind w:firstLine="0" w:firstLineChars="0"/>
      <w:outlineLvl w:val="3"/>
    </w:pPr>
    <w:rPr>
      <w:rFonts w:eastAsia="仿宋"/>
      <w:kern w:val="0"/>
    </w:rPr>
  </w:style>
  <w:style w:type="paragraph" w:styleId="6">
    <w:name w:val="heading 5"/>
    <w:basedOn w:val="1"/>
    <w:next w:val="1"/>
    <w:link w:val="25"/>
    <w:qFormat/>
    <w:uiPriority w:val="0"/>
    <w:pPr>
      <w:keepNext/>
      <w:keepLines/>
      <w:spacing w:beforeLines="0" w:beforeAutospacing="0" w:afterLines="0" w:afterAutospacing="0" w:line="360" w:lineRule="auto"/>
      <w:ind w:firstLine="640"/>
      <w:outlineLvl w:val="4"/>
    </w:pPr>
    <w:rPr>
      <w:rFonts w:ascii="Times New Roman" w:hAnsi="Times New Roman" w:eastAsia="宋体" w:cs="Times New Roman"/>
    </w:rPr>
  </w:style>
  <w:style w:type="paragraph" w:styleId="7">
    <w:name w:val="heading 6"/>
    <w:basedOn w:val="1"/>
    <w:next w:val="1"/>
    <w:qFormat/>
    <w:uiPriority w:val="0"/>
    <w:pPr>
      <w:keepNext/>
      <w:keepLines/>
      <w:spacing w:beforeLines="0" w:beforeAutospacing="0" w:afterLines="0" w:afterAutospacing="0" w:line="360" w:lineRule="auto"/>
      <w:outlineLvl w:val="5"/>
    </w:pPr>
    <w:rPr>
      <w:rFonts w:ascii="Times New Roman" w:hAnsi="Times New Roman" w:eastAsia="宋体"/>
    </w:rPr>
  </w:style>
  <w:style w:type="character" w:default="1" w:styleId="21">
    <w:name w:val="Default Paragraph Font"/>
    <w:semiHidden/>
    <w:qFormat/>
    <w:uiPriority w:val="0"/>
    <w:rPr>
      <w:rFonts w:ascii="Times New Roman" w:hAnsi="Times New Roman" w:eastAsia="宋体"/>
      <w:sz w:val="24"/>
      <w:szCs w:val="24"/>
    </w:rPr>
  </w:style>
  <w:style w:type="table" w:default="1" w:styleId="19">
    <w:name w:val="Normal Table"/>
    <w:semiHidden/>
    <w:qFormat/>
    <w:uiPriority w:val="0"/>
    <w:tblPr>
      <w:tblCellMar>
        <w:top w:w="0" w:type="dxa"/>
        <w:left w:w="108" w:type="dxa"/>
        <w:bottom w:w="0" w:type="dxa"/>
        <w:right w:w="108" w:type="dxa"/>
      </w:tblCellMar>
    </w:tblPr>
  </w:style>
  <w:style w:type="paragraph" w:styleId="8">
    <w:name w:val="annotation text"/>
    <w:basedOn w:val="1"/>
    <w:link w:val="26"/>
    <w:qFormat/>
    <w:uiPriority w:val="0"/>
    <w:pPr>
      <w:jc w:val="left"/>
    </w:pPr>
  </w:style>
  <w:style w:type="paragraph" w:styleId="9">
    <w:name w:val="Body Text"/>
    <w:basedOn w:val="1"/>
    <w:next w:val="10"/>
    <w:qFormat/>
    <w:uiPriority w:val="0"/>
    <w:pPr>
      <w:widowControl/>
      <w:tabs>
        <w:tab w:val="left" w:pos="0"/>
      </w:tabs>
      <w:snapToGrid/>
      <w:spacing w:line="288" w:lineRule="auto"/>
      <w:ind w:right="0"/>
    </w:pPr>
    <w:rPr>
      <w:rFonts w:ascii="Times New Roman" w:hAnsi="Times New Roman" w:eastAsia="宋体" w:cs="Times New Roman"/>
      <w:kern w:val="0"/>
      <w:sz w:val="21"/>
      <w:szCs w:val="21"/>
    </w:rPr>
  </w:style>
  <w:style w:type="paragraph" w:styleId="10">
    <w:name w:val="toc 2"/>
    <w:basedOn w:val="1"/>
    <w:next w:val="1"/>
    <w:qFormat/>
    <w:uiPriority w:val="0"/>
    <w:pPr>
      <w:ind w:left="420" w:leftChars="200"/>
    </w:pPr>
  </w:style>
  <w:style w:type="paragraph" w:styleId="11">
    <w:name w:val="Body Text Indent"/>
    <w:basedOn w:val="1"/>
    <w:next w:val="9"/>
    <w:qFormat/>
    <w:uiPriority w:val="0"/>
    <w:pPr>
      <w:spacing w:after="120"/>
      <w:ind w:left="420" w:leftChars="200"/>
    </w:pPr>
  </w:style>
  <w:style w:type="paragraph" w:styleId="12">
    <w:name w:val="toc 3"/>
    <w:basedOn w:val="1"/>
    <w:next w:val="1"/>
    <w:qFormat/>
    <w:uiPriority w:val="0"/>
    <w:pPr>
      <w:ind w:left="840" w:leftChars="400"/>
    </w:pPr>
  </w:style>
  <w:style w:type="paragraph" w:styleId="13">
    <w:name w:val="Balloon Text"/>
    <w:basedOn w:val="1"/>
    <w:link w:val="27"/>
    <w:qFormat/>
    <w:uiPriority w:val="0"/>
    <w:pPr>
      <w:spacing w:line="240" w:lineRule="auto"/>
    </w:pPr>
    <w:rPr>
      <w:sz w:val="18"/>
      <w:szCs w:val="18"/>
    </w:rPr>
  </w:style>
  <w:style w:type="paragraph" w:styleId="14">
    <w:name w:val="footer"/>
    <w:basedOn w:val="1"/>
    <w:qFormat/>
    <w:uiPriority w:val="0"/>
    <w:pPr>
      <w:tabs>
        <w:tab w:val="center" w:pos="4153"/>
        <w:tab w:val="right" w:pos="8306"/>
      </w:tabs>
      <w:snapToGrid/>
      <w:ind w:firstLine="0" w:firstLineChars="0"/>
      <w:jc w:val="both"/>
    </w:pPr>
    <w:rPr>
      <w:sz w:val="21"/>
      <w:szCs w:val="21"/>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spacing w:line="240" w:lineRule="auto"/>
      <w:ind w:firstLine="0" w:firstLineChars="0"/>
      <w:jc w:val="center"/>
      <w:outlineLvl w:val="9"/>
    </w:pPr>
    <w:rPr>
      <w:rFonts w:ascii="Times New Roman" w:hAnsi="Times New Roman" w:eastAsia="黑体" w:cs="Times New Roman"/>
      <w:kern w:val="2"/>
      <w:sz w:val="21"/>
      <w:szCs w:val="21"/>
    </w:rPr>
  </w:style>
  <w:style w:type="paragraph" w:styleId="16">
    <w:name w:val="toc 1"/>
    <w:basedOn w:val="1"/>
    <w:next w:val="1"/>
    <w:qFormat/>
    <w:uiPriority w:val="0"/>
  </w:style>
  <w:style w:type="paragraph" w:styleId="17">
    <w:name w:val="annotation subject"/>
    <w:basedOn w:val="1"/>
    <w:next w:val="1"/>
    <w:qFormat/>
    <w:uiPriority w:val="0"/>
    <w:pPr>
      <w:spacing w:line="240" w:lineRule="auto"/>
      <w:ind w:firstLine="0" w:firstLineChars="0"/>
    </w:pPr>
    <w:rPr>
      <w:rFonts w:ascii="Times New Roman" w:hAnsi="Times New Roman" w:eastAsia="黑体"/>
      <w:sz w:val="21"/>
      <w:szCs w:val="21"/>
    </w:rPr>
  </w:style>
  <w:style w:type="paragraph" w:styleId="18">
    <w:name w:val="Body Text First Indent 2"/>
    <w:basedOn w:val="11"/>
    <w:qFormat/>
    <w:uiPriority w:val="0"/>
    <w:pPr>
      <w:ind w:firstLine="42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annotation reference"/>
    <w:qFormat/>
    <w:uiPriority w:val="0"/>
    <w:rPr>
      <w:rFonts w:ascii="Times New Roman" w:hAnsi="Times New Roman" w:eastAsia="宋体"/>
      <w:sz w:val="21"/>
      <w:szCs w:val="21"/>
    </w:rPr>
  </w:style>
  <w:style w:type="character" w:customStyle="1" w:styleId="23">
    <w:name w:val="标题 3 Char"/>
    <w:link w:val="4"/>
    <w:qFormat/>
    <w:uiPriority w:val="0"/>
    <w:rPr>
      <w:rFonts w:ascii="Times New Roman" w:hAnsi="Times New Roman" w:eastAsia="黑体" w:cs="Times New Roman"/>
      <w:sz w:val="28"/>
      <w:szCs w:val="28"/>
    </w:rPr>
  </w:style>
  <w:style w:type="character" w:customStyle="1" w:styleId="24">
    <w:name w:val="标题 4 Char"/>
    <w:link w:val="5"/>
    <w:qFormat/>
    <w:uiPriority w:val="0"/>
    <w:rPr>
      <w:rFonts w:ascii="Times New Roman" w:hAnsi="Times New Roman" w:eastAsia="仿宋" w:cs="Times New Roman"/>
      <w:kern w:val="0"/>
    </w:rPr>
  </w:style>
  <w:style w:type="character" w:customStyle="1" w:styleId="25">
    <w:name w:val="标题 5 Char"/>
    <w:link w:val="6"/>
    <w:qFormat/>
    <w:uiPriority w:val="0"/>
    <w:rPr>
      <w:rFonts w:ascii="Times New Roman" w:hAnsi="Times New Roman" w:eastAsia="宋体" w:cs="Times New Roman"/>
      <w:sz w:val="24"/>
    </w:rPr>
  </w:style>
  <w:style w:type="character" w:customStyle="1" w:styleId="26">
    <w:name w:val="批注文字 Char"/>
    <w:link w:val="8"/>
    <w:qFormat/>
    <w:uiPriority w:val="0"/>
    <w:rPr>
      <w:rFonts w:ascii="Times New Roman" w:hAnsi="Times New Roman" w:eastAsia="宋体"/>
      <w:kern w:val="2"/>
      <w:sz w:val="24"/>
      <w:szCs w:val="24"/>
    </w:rPr>
  </w:style>
  <w:style w:type="character" w:customStyle="1" w:styleId="27">
    <w:name w:val="批注框文本 Char"/>
    <w:link w:val="13"/>
    <w:qFormat/>
    <w:uiPriority w:val="0"/>
    <w:rPr>
      <w:rFonts w:ascii="Times New Roman" w:hAnsi="Times New Roman" w:eastAsia="宋体"/>
      <w:kern w:val="2"/>
      <w:sz w:val="18"/>
      <w:szCs w:val="18"/>
    </w:rPr>
  </w:style>
  <w:style w:type="paragraph" w:customStyle="1" w:styleId="28">
    <w:name w:val="附件名"/>
    <w:basedOn w:val="1"/>
    <w:next w:val="1"/>
    <w:qFormat/>
    <w:uiPriority w:val="0"/>
    <w:pPr>
      <w:ind w:firstLine="0" w:firstLineChars="0"/>
    </w:pPr>
    <w:rPr>
      <w:rFonts w:hint="eastAsia" w:ascii="Times New Roman" w:hAnsi="Times New Roman" w:eastAsia="黑体" w:cs="Times New Roman"/>
      <w:color w:val="000000"/>
    </w:rPr>
  </w:style>
  <w:style w:type="paragraph" w:customStyle="1" w:styleId="29">
    <w:name w:val="表格内文字"/>
    <w:basedOn w:val="1"/>
    <w:qFormat/>
    <w:uiPriority w:val="0"/>
    <w:pPr>
      <w:spacing w:line="240" w:lineRule="auto"/>
      <w:ind w:firstLine="0" w:firstLineChars="0"/>
      <w:jc w:val="center"/>
    </w:pPr>
    <w:rPr>
      <w:rFonts w:hint="eastAsia"/>
      <w:color w:val="000000"/>
      <w:sz w:val="21"/>
      <w:szCs w:val="21"/>
    </w:rPr>
  </w:style>
  <w:style w:type="paragraph" w:customStyle="1" w:styleId="30">
    <w:name w:val="表格内表头（黑体）"/>
    <w:basedOn w:val="1"/>
    <w:qFormat/>
    <w:uiPriority w:val="0"/>
    <w:pPr>
      <w:autoSpaceDE w:val="0"/>
      <w:autoSpaceDN w:val="0"/>
      <w:spacing w:line="240" w:lineRule="auto"/>
      <w:ind w:firstLine="0" w:firstLineChars="0"/>
      <w:jc w:val="center"/>
    </w:pPr>
    <w:rPr>
      <w:rFonts w:eastAsia="黑体" w:cs="Times New Roman"/>
      <w:color w:val="auto"/>
      <w:sz w:val="21"/>
      <w:szCs w:val="21"/>
    </w:rPr>
  </w:style>
  <w:style w:type="paragraph" w:customStyle="1" w:styleId="31">
    <w:name w:val="表头、图头"/>
    <w:basedOn w:val="1"/>
    <w:qFormat/>
    <w:uiPriority w:val="0"/>
    <w:pPr>
      <w:ind w:firstLine="0" w:firstLineChars="0"/>
      <w:jc w:val="center"/>
    </w:pPr>
    <w:rPr>
      <w:rFonts w:ascii="Times New Roman" w:hAnsi="Times New Roman" w:eastAsia="黑体"/>
    </w:rPr>
  </w:style>
  <w:style w:type="table" w:customStyle="1" w:styleId="32">
    <w:name w:val="Table Normal"/>
    <w:unhideWhenUsed/>
    <w:qFormat/>
    <w:uiPriority w:val="0"/>
    <w:rPr>
      <w:lang w:val="en-US" w:eastAsia="zh-CN" w:bidi="ar-SA"/>
    </w:rPr>
    <w:tblPr>
      <w:tblCellMar>
        <w:top w:w="0" w:type="dxa"/>
        <w:left w:w="0" w:type="dxa"/>
        <w:bottom w:w="0" w:type="dxa"/>
        <w:right w:w="0" w:type="dxa"/>
      </w:tblCellMar>
    </w:tblPr>
  </w:style>
  <w:style w:type="character" w:customStyle="1" w:styleId="33">
    <w:name w:val="font21"/>
    <w:basedOn w:val="21"/>
    <w:qFormat/>
    <w:uiPriority w:val="0"/>
    <w:rPr>
      <w:rFonts w:hint="default" w:ascii="Times New Roman" w:hAnsi="Times New Roman" w:cs="Times New Roman"/>
      <w:color w:val="000000"/>
      <w:sz w:val="21"/>
      <w:szCs w:val="21"/>
      <w:u w:val="none"/>
    </w:rPr>
  </w:style>
  <w:style w:type="character" w:customStyle="1" w:styleId="34">
    <w:name w:val="font41"/>
    <w:basedOn w:val="21"/>
    <w:qFormat/>
    <w:uiPriority w:val="0"/>
    <w:rPr>
      <w:rFonts w:hint="default" w:ascii="Times New Roman" w:hAnsi="Times New Roman" w:cs="Times New Roman"/>
      <w:color w:val="000000"/>
      <w:sz w:val="21"/>
      <w:szCs w:val="21"/>
      <w:u w:val="none"/>
      <w:vertAlign w:val="superscript"/>
    </w:rPr>
  </w:style>
  <w:style w:type="character" w:customStyle="1" w:styleId="35">
    <w:name w:val="font11"/>
    <w:basedOn w:val="21"/>
    <w:qFormat/>
    <w:uiPriority w:val="0"/>
    <w:rPr>
      <w:rFonts w:hint="eastAsia" w:ascii="黑体" w:hAnsi="宋体" w:eastAsia="黑体" w:cs="黑体"/>
      <w:color w:val="000000"/>
      <w:sz w:val="21"/>
      <w:szCs w:val="21"/>
      <w:u w:val="none"/>
    </w:rPr>
  </w:style>
  <w:style w:type="character" w:customStyle="1" w:styleId="36">
    <w:name w:val="font31"/>
    <w:basedOn w:val="21"/>
    <w:qFormat/>
    <w:uiPriority w:val="0"/>
    <w:rPr>
      <w:rFonts w:hint="eastAsia" w:ascii="宋体" w:hAnsi="宋体" w:eastAsia="宋体" w:cs="宋体"/>
      <w:color w:val="000000"/>
      <w:sz w:val="21"/>
      <w:szCs w:val="21"/>
      <w:u w:val="none"/>
    </w:rPr>
  </w:style>
  <w:style w:type="paragraph" w:customStyle="1" w:styleId="37">
    <w:name w:val="Table Text"/>
    <w:basedOn w:val="1"/>
    <w:semiHidden/>
    <w:qFormat/>
    <w:uiPriority w:val="0"/>
    <w:rPr>
      <w:rFonts w:ascii="FangSong_GB2312" w:hAnsi="FangSong_GB2312" w:eastAsia="FangSong_GB2312" w:cs="FangSong_GB2312"/>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8" Type="http://schemas.openxmlformats.org/officeDocument/2006/relationships/fontTable" Target="fontTable.xml"/><Relationship Id="rId57" Type="http://schemas.microsoft.com/office/2006/relationships/keyMapCustomizations" Target="customizations.xml"/><Relationship Id="rId56" Type="http://schemas.openxmlformats.org/officeDocument/2006/relationships/customXml" Target="../customXml/item2.xml"/><Relationship Id="rId55" Type="http://schemas.openxmlformats.org/officeDocument/2006/relationships/customXml" Target="../customXml/item1.xml"/><Relationship Id="rId54" Type="http://schemas.openxmlformats.org/officeDocument/2006/relationships/image" Target="media/image40.jpeg"/><Relationship Id="rId53" Type="http://schemas.openxmlformats.org/officeDocument/2006/relationships/image" Target="media/image39.jpeg"/><Relationship Id="rId52" Type="http://schemas.openxmlformats.org/officeDocument/2006/relationships/image" Target="media/image38.jpeg"/><Relationship Id="rId51" Type="http://schemas.openxmlformats.org/officeDocument/2006/relationships/image" Target="media/image37.jpeg"/><Relationship Id="rId50" Type="http://schemas.openxmlformats.org/officeDocument/2006/relationships/image" Target="media/image36.jpeg"/><Relationship Id="rId5" Type="http://schemas.openxmlformats.org/officeDocument/2006/relationships/header" Target="header1.xml"/><Relationship Id="rId49" Type="http://schemas.openxmlformats.org/officeDocument/2006/relationships/image" Target="media/image35.jpeg"/><Relationship Id="rId48" Type="http://schemas.openxmlformats.org/officeDocument/2006/relationships/image" Target="media/image34.jpeg"/><Relationship Id="rId47" Type="http://schemas.openxmlformats.org/officeDocument/2006/relationships/image" Target="media/image33.jpeg"/><Relationship Id="rId46" Type="http://schemas.openxmlformats.org/officeDocument/2006/relationships/image" Target="media/image32.jpeg"/><Relationship Id="rId45" Type="http://schemas.openxmlformats.org/officeDocument/2006/relationships/image" Target="media/image31.jpeg"/><Relationship Id="rId44" Type="http://schemas.openxmlformats.org/officeDocument/2006/relationships/image" Target="media/image30.jpeg"/><Relationship Id="rId43" Type="http://schemas.openxmlformats.org/officeDocument/2006/relationships/image" Target="media/image29.jpeg"/><Relationship Id="rId42" Type="http://schemas.openxmlformats.org/officeDocument/2006/relationships/image" Target="media/image28.jpeg"/><Relationship Id="rId41" Type="http://schemas.openxmlformats.org/officeDocument/2006/relationships/image" Target="media/image27.jpeg"/><Relationship Id="rId40" Type="http://schemas.openxmlformats.org/officeDocument/2006/relationships/image" Target="media/image26.jpeg"/><Relationship Id="rId4" Type="http://schemas.openxmlformats.org/officeDocument/2006/relationships/endnotes" Target="endnotes.xml"/><Relationship Id="rId39" Type="http://schemas.openxmlformats.org/officeDocument/2006/relationships/image" Target="media/image25.jpeg"/><Relationship Id="rId38" Type="http://schemas.openxmlformats.org/officeDocument/2006/relationships/image" Target="media/image24.jpeg"/><Relationship Id="rId37" Type="http://schemas.openxmlformats.org/officeDocument/2006/relationships/image" Target="media/image23.jpeg"/><Relationship Id="rId36" Type="http://schemas.openxmlformats.org/officeDocument/2006/relationships/image" Target="media/image22.jpeg"/><Relationship Id="rId35" Type="http://schemas.openxmlformats.org/officeDocument/2006/relationships/image" Target="media/image21.jpeg"/><Relationship Id="rId34" Type="http://schemas.openxmlformats.org/officeDocument/2006/relationships/image" Target="media/image20.jpe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footnotes" Target="footnotes.xml"/><Relationship Id="rId29" Type="http://schemas.openxmlformats.org/officeDocument/2006/relationships/image" Target="media/image15.jpeg"/><Relationship Id="rId28" Type="http://schemas.openxmlformats.org/officeDocument/2006/relationships/image" Target="media/image14.jpeg"/><Relationship Id="rId27" Type="http://schemas.openxmlformats.org/officeDocument/2006/relationships/image" Target="media/image13.jpe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jpeg"/><Relationship Id="rId23" Type="http://schemas.openxmlformats.org/officeDocument/2006/relationships/image" Target="media/image9.png"/><Relationship Id="rId22" Type="http://schemas.openxmlformats.org/officeDocument/2006/relationships/image" Target="media/image8.jpeg"/><Relationship Id="rId21" Type="http://schemas.openxmlformats.org/officeDocument/2006/relationships/image" Target="media/image7.jpeg"/><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jpeg"/><Relationship Id="rId17" Type="http://schemas.openxmlformats.org/officeDocument/2006/relationships/image" Target="media/image3.jpeg"/><Relationship Id="rId16" Type="http://schemas.openxmlformats.org/officeDocument/2006/relationships/image" Target="media/image2.jpeg"/><Relationship Id="rId15" Type="http://schemas.openxmlformats.org/officeDocument/2006/relationships/image" Target="media/image1.emf"/><Relationship Id="rId14" Type="http://schemas.openxmlformats.org/officeDocument/2006/relationships/oleObject" Target="embeddings/oleObject1.bin"/><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8b6c85cb-89e6-404c-98b9-faa0928eba21</errorID>
      <errorWord>以其</errorWord>
      <group>L1_Word</group>
      <groupName>字词问题</groupName>
      <ability>L2_Typo</ability>
      <abilityName>字词错误</abilityName>
      <candidateList>
        <item>以期</item>
      </candidateList>
      <explain>存在发音相同字词的误用。</explain>
      <paraID>72B2580B</paraID>
      <start>114</start>
      <end>116</end>
      <status>unmodified</status>
      <modifiedWord/>
      <trackRevisions>false</trackRevisions>
    </reviewItem>
    <reviewItem>
      <errorID>2732ed59-2b5b-43c1-b35d-1569d01606d1</errorID>
      <errorWord>"</errorWord>
      <group>L1_Format</group>
      <groupName>格式问题</groupName>
      <ability>L2_HalfPunc</ability>
      <abilityName>全半角检查</abilityName>
      <candidateList>
        <item>”</item>
      </candidateList>
      <explain>文本全半角错误。</explain>
      <paraID>2682D652</paraID>
      <start>66</start>
      <end>67</end>
      <status>unmodified</status>
      <modifiedWord/>
      <trackRevisions>false</trackRevisions>
    </reviewItem>
    <reviewItem>
      <errorID>ed89f80a-8fa9-4256-afcd-2c4c41683b73</errorID>
      <errorWord>"</errorWord>
      <group>L1_Format</group>
      <groupName>格式问题</groupName>
      <ability>L2_HalfPunc</ability>
      <abilityName>全半角检查</abilityName>
      <candidateList>
        <item>”</item>
      </candidateList>
      <explain>文本全半角错误。</explain>
      <paraID>2682D652</paraID>
      <start>88</start>
      <end>89</end>
      <status>unmodified</status>
      <modifiedWord/>
      <trackRevisions>false</trackRevisions>
    </reviewItem>
    <reviewItem>
      <errorID>30ffae53-e628-4267-8527-f1357dd14647</errorID>
      <errorWord>监测仪器</errorWord>
      <group>L1_Word</group>
      <groupName>字词问题</groupName>
      <ability>L2_Typo</ability>
      <abilityName>字词错误</abilityName>
      <candidateList>
        <item>检测仪器</item>
      </candidateList>
      <explain/>
      <paraID>1D27C3B2</paraID>
      <start>4</start>
      <end>8</end>
      <status>unmodified</status>
      <modifiedWord/>
      <trackRevisions>false</trackRevisions>
    </reviewItem>
    <reviewItem>
      <errorID>2726d066-1d7b-4b3c-beae-c753a8fb2152</errorID>
      <errorWord>监测仪器</errorWord>
      <group>L1_Word</group>
      <groupName>字词问题</groupName>
      <ability>L2_Typo</ability>
      <abilityName>字词错误</abilityName>
      <candidateList>
        <item>检测仪器</item>
      </candidateList>
      <explain/>
      <paraID>598C7F5C</paraID>
      <start>6</start>
      <end>10</end>
      <status>unmodified</status>
      <modifiedWord/>
      <trackRevisions>false</trackRevisions>
    </reviewItem>
    <reviewItem>
      <errorID>4aae8e15-de7d-4e5a-86c2-2ce9002e3bea</errorID>
      <errorWord>区</errorWord>
      <group>L1_Word</group>
      <groupName>字词问题</groupName>
      <ability>L2_Typo</ability>
      <abilityName>字词错误</abilityName>
      <candidateList>
        <item>区域</item>
      </candidateList>
      <explain/>
      <paraID>38222A7D</paraID>
      <start>12</start>
      <end>13</end>
      <status>unmodified</status>
      <modifiedWord/>
      <trackRevisions>false</trackRevisions>
    </reviewItem>
    <reviewItem>
      <errorID>988e5646-83fc-4196-b72a-7bf8a3d27f32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1CF2A7E2</paraID>
      <start>80</start>
      <end>81</end>
      <status>modified</status>
      <modifiedWord>—</modifiedWord>
      <trackRevisions>false</trackRevisions>
    </reviewItem>
    <reviewItem>
      <errorID>fccab9e5-9fc1-4807-b118-2fb3290ebde3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2CCCD94</paraID>
      <start>123</start>
      <end>124</end>
      <status>modified</status>
      <modifiedWord>—</modifiedWord>
      <trackRevisions>false</trackRevisions>
    </reviewItem>
    <reviewItem>
      <errorID>e26a64f4-de0e-4940-a151-c1032d8d27e4</errorID>
      <errorWord>：</errorWord>
      <group>L1_Format</group>
      <groupName>格式问题</groupName>
      <ability>L2_HalfPunc</ability>
      <abilityName>全半角检查</abilityName>
      <candidateList>
        <item>:</item>
      </candidateList>
      <explain>文本全半角错误。</explain>
      <paraID>43C53AAF</paraID>
      <start>34</start>
      <end>35</end>
      <status>modified</status>
      <modifiedWord>:</modifiedWord>
      <trackRevisions>false</trackRevisions>
    </reviewItem>
    <reviewItem>
      <errorID>b1c1a0be-838e-4390-93af-428742f4f934</errorID>
      <errorWord>：</errorWord>
      <group>L1_Format</group>
      <groupName>格式问题</groupName>
      <ability>L2_HalfPunc</ability>
      <abilityName>全半角检查</abilityName>
      <candidateList>
        <item>:</item>
      </candidateList>
      <explain>文本全半角错误。</explain>
      <paraID>43C53AAF</paraID>
      <start>40</start>
      <end>41</end>
      <status>modified</status>
      <modifiedWord>:</modifiedWord>
      <trackRevisions>false</trackRevisions>
    </reviewItem>
    <reviewItem>
      <errorID>de03b67f-0c7d-4bcd-b530-dffe1ceb54ea</errorID>
      <errorWord>：</errorWord>
      <group>L1_Format</group>
      <groupName>格式问题</groupName>
      <ability>L2_HalfPunc</ability>
      <abilityName>全半角检查</abilityName>
      <candidateList>
        <item>:</item>
      </candidateList>
      <explain>文本全半角错误。</explain>
      <paraID>43C53AAF</paraID>
      <start>58</start>
      <end>59</end>
      <status>modified</status>
      <modifiedWord>:</modifiedWord>
      <trackRevisions>false</trackRevisions>
    </reviewItem>
    <reviewItem>
      <errorID>802caa15-56b4-4c53-b745-50a14d9f0e50</errorID>
      <errorWord>：</errorWord>
      <group>L1_Format</group>
      <groupName>格式问题</groupName>
      <ability>L2_HalfPunc</ability>
      <abilityName>全半角检查</abilityName>
      <candidateList>
        <item>:</item>
      </candidateList>
      <explain>文本全半角错误。</explain>
      <paraID>43C53AAF</paraID>
      <start>63</start>
      <end>64</end>
      <status>modified</status>
      <modifiedWord>:</modifiedWord>
      <trackRevisions>false</trackRevisions>
    </reviewItem>
    <reviewItem>
      <errorID>fa2c9b92-43c9-46c9-b1c7-aa47f413a0d6</errorID>
      <errorWord>）</errorWord>
      <group>L1_Punc</group>
      <groupName>标点问题</groupName>
      <ability>L2_Punc</ability>
      <abilityName>标点符号检查</abilityName>
      <candidateList/>
      <explain>同一形式括号套用。</explain>
      <paraID>61E97C5F</paraID>
      <start>67</start>
      <end>68</end>
      <status>unmodified</status>
      <modifiedWord/>
      <trackRevisions>false</trackRevisions>
    </reviewItem>
    <reviewItem>
      <errorID>754c65e8-2fe9-49ec-bbe0-f77a6c54cf44</errorID>
      <errorWord>）</errorWord>
      <group>L1_Punc</group>
      <groupName>标点问题</groupName>
      <ability>L2_Punc</ability>
      <abilityName>标点符号检查</abilityName>
      <candidateList/>
      <explain>同一形式括号套用。</explain>
      <paraID>61E97C5F</paraID>
      <start>122</start>
      <end>123</end>
      <status>unmodified</status>
      <modifiedWord/>
      <trackRevisions>false</trackRevisions>
    </reviewItem>
    <reviewItem>
      <errorID>33820f4c-baae-4d7b-a324-88e282b164b5</errorID>
      <errorWord>）</errorWord>
      <group>L1_Punc</group>
      <groupName>标点问题</groupName>
      <ability>L2_Punc</ability>
      <abilityName>标点符号检查</abilityName>
      <candidateList/>
      <explain>同一形式括号套用。</explain>
      <paraID>61E97C5F</paraID>
      <start>211</start>
      <end>212</end>
      <status>unmodified</status>
      <modifiedWord/>
      <trackRevisions>false</trackRevisions>
    </reviewItem>
    <reviewItem>
      <errorID>ca3d51b8-a2ca-46f7-999f-1d396c82f371</errorID>
      <errorWord>）</errorWord>
      <group>L1_Punc</group>
      <groupName>标点问题</groupName>
      <ability>L2_Punc</ability>
      <abilityName>标点符号检查</abilityName>
      <candidateList/>
      <explain>同一形式括号套用。</explain>
      <paraID>61E97C5F</paraID>
      <start>272</start>
      <end>273</end>
      <status>unmodified</status>
      <modifiedWord/>
      <trackRevisions>false</trackRevisions>
    </reviewItem>
    <reviewItem>
      <errorID>2ba1eea3-b867-4a11-858d-f12672adb54e</errorID>
      <errorWord>）</errorWord>
      <group>L1_Punc</group>
      <groupName>标点问题</groupName>
      <ability>L2_Punc</ability>
      <abilityName>标点符号检查</abilityName>
      <candidateList/>
      <explain>同一形式括号套用。</explain>
      <paraID>61E97C5F</paraID>
      <start>333</start>
      <end>334</end>
      <status>unmodified</status>
      <modifiedWord/>
      <trackRevisions>false</trackRevisions>
    </reviewItem>
    <reviewItem>
      <errorID>ec87d9da-aaef-4fea-badc-23aa767f7a73</errorID>
      <errorWord>算数平均</errorWord>
      <group>L1_Word</group>
      <groupName>字词问题</groupName>
      <ability>L2_Typo</ability>
      <abilityName>字词错误</abilityName>
      <candidateList>
        <item>算术平均</item>
      </candidateList>
      <explain>存在发音相同字词的误用。</explain>
      <paraID>4A24A19F</paraID>
      <start>32</start>
      <end>36</end>
      <status>modified</status>
      <modifiedWord>算术平均</modifiedWord>
      <trackRevisions>false</trackRevisions>
    </reviewItem>
    <reviewItem>
      <errorID>b4b91aba-9bc9-4084-8bb3-d868b7523742</errorID>
      <errorWord>（</errorWord>
      <group>L1_Punc</group>
      <groupName>标点问题</groupName>
      <ability>L2_Punc</ability>
      <abilityName>标点符号检查</abilityName>
      <candidateList/>
      <explain>同一形式括号套用。</explain>
      <paraID>715B2460</paraID>
      <start>28</start>
      <end>29</end>
      <status>unmodified</status>
      <modifiedWord/>
      <trackRevisions>false</trackRevisions>
    </reviewItem>
    <reviewItem>
      <errorID>a5af0537-7fa8-4bfa-b712-2937326e02a6</errorID>
      <errorWord>）</errorWord>
      <group>L1_Punc</group>
      <groupName>标点问题</groupName>
      <ability>L2_Punc</ability>
      <abilityName>标点符号检查</abilityName>
      <candidateList/>
      <explain>同一形式括号套用。</explain>
      <paraID>715B2460</paraID>
      <start>30</start>
      <end>31</end>
      <status>unmodified</status>
      <modifiedWord/>
      <trackRevisions>false</trackRevisions>
    </reviewItem>
    <reviewItem>
      <errorID>5110a2d4-ded6-4153-b873-a7da33d4cc70</errorID>
      <errorWord>～</errorWord>
      <group>L1_Format</group>
      <groupName>格式问题</groupName>
      <ability>L2_HalfPunc</ability>
      <abilityName>全半角检查</abilityName>
      <candidateList>
        <item>~</item>
      </candidateList>
      <explain>文本全半角错误。</explain>
      <paraID> E3949F8</paraID>
      <start>4</start>
      <end>5</end>
      <status>unmodified</status>
      <modifiedWord/>
      <trackRevisions>false</trackRevisions>
    </reviewItem>
    <reviewItem>
      <errorID>b8d4033a-ff36-4957-acb2-97bdcc2d1eef</errorID>
      <errorWord>～</errorWord>
      <group>L1_Format</group>
      <groupName>格式问题</groupName>
      <ability>L2_HalfPunc</ability>
      <abilityName>全半角检查</abilityName>
      <candidateList>
        <item>~</item>
      </candidateList>
      <explain>文本全半角错误。</explain>
      <paraID>3F647AB0</paraID>
      <start>4</start>
      <end>5</end>
      <status>unmodified</status>
      <modifiedWord/>
      <trackRevisions>false</trackRevisions>
    </reviewItem>
    <reviewItem>
      <errorID>833cd3be-c19b-4ab0-b520-af037fede84d</errorID>
      <errorWord>～</errorWord>
      <group>L1_Format</group>
      <groupName>格式问题</groupName>
      <ability>L2_HalfPunc</ability>
      <abilityName>全半角检查</abilityName>
      <candidateList>
        <item>~</item>
      </candidateList>
      <explain>文本全半角错误。</explain>
      <paraID> 2ECC8FB</paraID>
      <start>4</start>
      <end>5</end>
      <status>unmodified</status>
      <modifiedWord/>
      <trackRevisions>false</trackRevisions>
    </reviewItem>
    <reviewItem>
      <errorID>363ad4ed-cc63-40f8-ae29-80d6d82aceab</errorID>
      <errorWord>～</errorWord>
      <group>L1_Format</group>
      <groupName>格式问题</groupName>
      <ability>L2_HalfPunc</ability>
      <abilityName>全半角检查</abilityName>
      <candidateList>
        <item>~</item>
      </candidateList>
      <explain>文本全半角错误。</explain>
      <paraID>60B42AD5</paraID>
      <start>4</start>
      <end>5</end>
      <status>unmodified</status>
      <modifiedWord/>
      <trackRevisions>false</trackRevisions>
    </reviewItem>
    <reviewItem>
      <errorID>84b67f2c-ca07-4c95-b20a-51b314000a4b</errorID>
      <errorWord>～</errorWord>
      <group>L1_Format</group>
      <groupName>格式问题</groupName>
      <ability>L2_HalfPunc</ability>
      <abilityName>全半角检查</abilityName>
      <candidateList>
        <item>~</item>
      </candidateList>
      <explain>文本全半角错误。</explain>
      <paraID>1A4B8D9D</paraID>
      <start>4</start>
      <end>5</end>
      <status>unmodified</status>
      <modifiedWord/>
      <trackRevisions>false</trackRevisions>
    </reviewItem>
    <reviewItem>
      <errorID>99265faf-8b5b-4d24-b1c1-46a522c641ef</errorID>
      <errorWord>～</errorWord>
      <group>L1_Format</group>
      <groupName>格式问题</groupName>
      <ability>L2_HalfPunc</ability>
      <abilityName>全半角检查</abilityName>
      <candidateList>
        <item>~</item>
      </candidateList>
      <explain>文本全半角错误。</explain>
      <paraID>119FA19A</paraID>
      <start>4</start>
      <end>5</end>
      <status>unmodified</status>
      <modifiedWord/>
      <trackRevisions>false</trackRevisions>
    </reviewItem>
    <reviewItem>
      <errorID>974b8184-6b6e-4cdc-8cf6-a272d5d57ee4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505822D0</paraID>
      <start>97</start>
      <end>98</end>
      <status>unmodified</status>
      <modifiedWord/>
      <trackRevisions>false</trackRevisions>
    </reviewItem>
    <reviewItem>
      <errorID>63c4e758-2fef-426c-8168-b25726b5955f</errorID>
      <errorWord>：</errorWord>
      <group>L1_Format</group>
      <groupName>格式问题</groupName>
      <ability>L2_HalfPunc</ability>
      <abilityName>全半角检查</abilityName>
      <candidateList>
        <item>:</item>
      </candidateList>
      <explain>文本全半角错误。</explain>
      <paraID>3BAF7CA4</paraID>
      <start>34</start>
      <end>35</end>
      <status>modified</status>
      <modifiedWord>:</modifiedWord>
      <trackRevisions>false</trackRevisions>
    </reviewItem>
    <reviewItem>
      <errorID>ba5d1d97-8cf8-40d4-8b69-d39f22922fa3</errorID>
      <errorWord>：</errorWord>
      <group>L1_Format</group>
      <groupName>格式问题</groupName>
      <ability>L2_HalfPunc</ability>
      <abilityName>全半角检查</abilityName>
      <candidateList>
        <item>:</item>
      </candidateList>
      <explain>文本全半角错误。</explain>
      <paraID>3BAF7CA4</paraID>
      <start>40</start>
      <end>41</end>
      <status>modified</status>
      <modifiedWord>:</modifiedWord>
      <trackRevisions>false</trackRevisions>
    </reviewItem>
    <reviewItem>
      <errorID>05f9f216-0e4f-48bb-a4e8-4c08f47d6821</errorID>
      <errorWord>：</errorWord>
      <group>L1_Format</group>
      <groupName>格式问题</groupName>
      <ability>L2_HalfPunc</ability>
      <abilityName>全半角检查</abilityName>
      <candidateList>
        <item>:</item>
      </candidateList>
      <explain>文本全半角错误。</explain>
      <paraID>3BAF7CA4</paraID>
      <start>58</start>
      <end>59</end>
      <status>modified</status>
      <modifiedWord>:</modifiedWord>
      <trackRevisions>false</trackRevisions>
    </reviewItem>
    <reviewItem>
      <errorID>5dc2de40-ec8f-4c12-a8d6-8f66dc0ca697</errorID>
      <errorWord>：</errorWord>
      <group>L1_Format</group>
      <groupName>格式问题</groupName>
      <ability>L2_HalfPunc</ability>
      <abilityName>全半角检查</abilityName>
      <candidateList>
        <item>:</item>
      </candidateList>
      <explain>文本全半角错误。</explain>
      <paraID>3BAF7CA4</paraID>
      <start>63</start>
      <end>64</end>
      <status>modified</status>
      <modifiedWord>:</modifiedWord>
      <trackRevisions>false</trackRevisions>
    </reviewItem>
    <reviewItem>
      <errorID>73ca0f82-ac4c-455a-8a32-778ca3e538d4</errorID>
      <errorWord>～</errorWord>
      <group>L1_Format</group>
      <groupName>格式问题</groupName>
      <ability>L2_HalfPunc</ability>
      <abilityName>全半角检查</abilityName>
      <candidateList>
        <item>~</item>
      </candidateList>
      <explain>文本全半角错误。</explain>
      <paraID>26FED8B6</paraID>
      <start>4</start>
      <end>5</end>
      <status>unmodified</status>
      <modifiedWord/>
      <trackRevisions>false</trackRevisions>
    </reviewItem>
    <reviewItem>
      <errorID>a9af8000-d9a3-4e89-b5cc-281f4e9d2287</errorID>
      <errorWord>～</errorWord>
      <group>L1_Format</group>
      <groupName>格式问题</groupName>
      <ability>L2_HalfPunc</ability>
      <abilityName>全半角检查</abilityName>
      <candidateList>
        <item>~</item>
      </candidateList>
      <explain>文本全半角错误。</explain>
      <paraID>6EC88FEB</paraID>
      <start>4</start>
      <end>5</end>
      <status>unmodified</status>
      <modifiedWord/>
      <trackRevisions>false</trackRevisions>
    </reviewItem>
    <reviewItem>
      <errorID>7b1ae2ad-4c89-44ff-a115-5c004f33dd3e</errorID>
      <errorWord>～</errorWord>
      <group>L1_Format</group>
      <groupName>格式问题</groupName>
      <ability>L2_HalfPunc</ability>
      <abilityName>全半角检查</abilityName>
      <candidateList>
        <item>~</item>
      </candidateList>
      <explain>文本全半角错误。</explain>
      <paraID>14F8ACF4</paraID>
      <start>4</start>
      <end>5</end>
      <status>unmodified</status>
      <modifiedWord/>
      <trackRevisions>false</trackRevisions>
    </reviewItem>
    <reviewItem>
      <errorID>05fee7e0-df8b-4423-8d60-1e50cccce7ce</errorID>
      <errorWord>～</errorWord>
      <group>L1_Format</group>
      <groupName>格式问题</groupName>
      <ability>L2_HalfPunc</ability>
      <abilityName>全半角检查</abilityName>
      <candidateList>
        <item>~</item>
      </candidateList>
      <explain>文本全半角错误。</explain>
      <paraID>5CAC7881</paraID>
      <start>4</start>
      <end>5</end>
      <status>unmodified</status>
      <modifiedWord/>
      <trackRevisions>false</trackRevisions>
    </reviewItem>
    <reviewItem>
      <errorID>87a06fb6-f909-4c3b-9a74-ec07d44a04ef</errorID>
      <errorWord>～</errorWord>
      <group>L1_Format</group>
      <groupName>格式问题</groupName>
      <ability>L2_HalfPunc</ability>
      <abilityName>全半角检查</abilityName>
      <candidateList>
        <item>~</item>
      </candidateList>
      <explain>文本全半角错误。</explain>
      <paraID>64D77624</paraID>
      <start>4</start>
      <end>5</end>
      <status>unmodified</status>
      <modifiedWord/>
      <trackRevisions>false</trackRevisions>
    </reviewItem>
    <reviewItem>
      <errorID>b270a647-c801-44b8-a014-a4e004dd7dd2</errorID>
      <errorWord>～</errorWord>
      <group>L1_Format</group>
      <groupName>格式问题</groupName>
      <ability>L2_HalfPunc</ability>
      <abilityName>全半角检查</abilityName>
      <candidateList>
        <item>~</item>
      </candidateList>
      <explain>文本全半角错误。</explain>
      <paraID>1C379F84</paraID>
      <start>4</start>
      <end>5</end>
      <status>unmodified</status>
      <modifiedWord/>
      <trackRevisions>false</trackRevisions>
    </reviewItem>
    <reviewItem>
      <errorID>40098432-6a8e-43f8-bc74-219e57f32705</errorID>
      <errorWord>监察部</errorWord>
      <group>L1_Knowledge</group>
      <groupName>知识性问题</groupName>
      <ability>L2_Organization</ability>
      <abilityName>机构检查</abilityName>
      <candidateList>
        <item>国家监察委员会</item>
      </candidateList>
      <explain>2018年3月，中共中央印发了《深化党和国家机构改革方案》，将监察部的职责整合到新组建的国家监察委员会。不再保留监察部。</explain>
      <paraID>660FAF79</paraID>
      <start>69</start>
      <end>72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4d4632-e5c8-4361-afa3-ed03cfb7f28a}">
  <ds:schemaRefs/>
</ds:datastoreItem>
</file>

<file path=docProps/app.xml><?xml version="1.0" encoding="utf-8"?>
<Properties xmlns="http://schemas.openxmlformats.org/officeDocument/2006/extended-properties" xmlns:vt="http://schemas.openxmlformats.org/officeDocument/2006/docPropsVTypes">
  <Template>Normal</Template>
  <Company>DLHB</Company>
  <Pages>91</Pages>
  <Words>9727</Words>
  <Characters>10884</Characters>
  <Lines>279</Lines>
  <Paragraphs>78</Paragraphs>
  <TotalTime>5</TotalTime>
  <ScaleCrop>false</ScaleCrop>
  <LinksUpToDate>false</LinksUpToDate>
  <CharactersWithSpaces>11117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2021-08-20T02:44:00Z</dcterms:created>
  <dc:creator>Administrator</dc:creator>
  <cp:lastModifiedBy>wy</cp:lastModifiedBy>
  <dcterms:modified xsi:type="dcterms:W3CDTF">2025-12-25T02:13:42Z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5D77AD9DD23140AF93CAF2DA064A4BF5_13</vt:lpwstr>
  </property>
  <property fmtid="{D5CDD505-2E9C-101B-9397-08002B2CF9AE}" pid="4" name="KSOTemplateDocerSaveRecord">
    <vt:lpwstr>eyJoZGlkIjoiNzZmY2IwM2M2ZDYwMWUwM2ZjNTFiNTE5ZjEyNzY3M2IiLCJ1c2VySWQiOiIzNTI3OTQwODUifQ==</vt:lpwstr>
  </property>
</Properties>
</file>