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25B63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Times New Roman" w:hAnsi="Times New Roman" w:eastAsia="仿宋_GB2312" w:cs="Times New Roman"/>
          <w:b/>
          <w:bCs/>
          <w:kern w:val="0"/>
          <w:sz w:val="36"/>
          <w:szCs w:val="36"/>
          <w:lang w:val="en-US" w:eastAsia="zh-CN" w:bidi="ar"/>
        </w:rPr>
      </w:pPr>
      <w:r>
        <w:rPr>
          <w:rFonts w:hint="eastAsia" w:ascii="Times New Roman" w:hAnsi="Times New Roman" w:eastAsia="仿宋_GB2312" w:cs="Times New Roman"/>
          <w:b/>
          <w:bCs/>
          <w:kern w:val="0"/>
          <w:sz w:val="36"/>
          <w:szCs w:val="36"/>
          <w:lang w:val="en-US" w:eastAsia="zh-CN" w:bidi="ar"/>
        </w:rPr>
        <w:t>绥滨县</w:t>
      </w:r>
      <w:r>
        <w:rPr>
          <w:rFonts w:hint="default" w:ascii="Times New Roman" w:hAnsi="Times New Roman" w:eastAsia="仿宋_GB2312" w:cs="Times New Roman"/>
          <w:b/>
          <w:bCs/>
          <w:kern w:val="0"/>
          <w:sz w:val="36"/>
          <w:szCs w:val="36"/>
          <w:lang w:val="en-US" w:eastAsia="zh-CN" w:bidi="ar"/>
        </w:rPr>
        <w:t>人民政府关于印发《</w:t>
      </w:r>
      <w:r>
        <w:rPr>
          <w:rFonts w:hint="eastAsia" w:ascii="Times New Roman" w:hAnsi="Times New Roman" w:eastAsia="仿宋_GB2312" w:cs="Times New Roman"/>
          <w:b/>
          <w:bCs/>
          <w:kern w:val="0"/>
          <w:sz w:val="36"/>
          <w:szCs w:val="36"/>
          <w:lang w:val="en-US" w:eastAsia="zh-CN" w:bidi="ar"/>
        </w:rPr>
        <w:t>绥滨县国土空间总体</w:t>
      </w:r>
      <w:r>
        <w:rPr>
          <w:rFonts w:hint="default" w:ascii="Times New Roman" w:hAnsi="Times New Roman" w:eastAsia="仿宋_GB2312" w:cs="Times New Roman"/>
          <w:b/>
          <w:bCs/>
          <w:kern w:val="0"/>
          <w:sz w:val="36"/>
          <w:szCs w:val="36"/>
          <w:lang w:val="en-US" w:eastAsia="zh-CN" w:bidi="ar"/>
        </w:rPr>
        <w:t>规划（2021—2035年）》的通知</w:t>
      </w:r>
    </w:p>
    <w:p w14:paraId="5268063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Times New Roman" w:hAnsi="Times New Roman" w:eastAsia="仿宋_GB2312" w:cs="Times New Roman"/>
          <w:kern w:val="0"/>
          <w:sz w:val="32"/>
          <w:szCs w:val="32"/>
          <w:lang w:val="en-US" w:eastAsia="zh-CN" w:bidi="ar"/>
        </w:rPr>
      </w:pPr>
      <w:r>
        <w:rPr>
          <w:rFonts w:ascii="宋体" w:hAnsi="宋体" w:eastAsia="宋体" w:cs="宋体"/>
          <w:kern w:val="0"/>
          <w:sz w:val="28"/>
          <w:szCs w:val="28"/>
          <w:lang w:val="en-US" w:eastAsia="zh-CN" w:bidi="ar"/>
        </w:rPr>
        <w:br w:type="textWrapping"/>
      </w:r>
      <w:r>
        <w:rPr>
          <w:rFonts w:ascii="Times New Roman" w:hAnsi="Times New Roman" w:eastAsia="仿宋_GB2312" w:cs="Times New Roman"/>
          <w:kern w:val="0"/>
          <w:sz w:val="32"/>
          <w:szCs w:val="32"/>
          <w:lang w:val="en-US" w:eastAsia="zh-CN" w:bidi="ar"/>
        </w:rPr>
        <w:t>各</w:t>
      </w:r>
      <w:r>
        <w:rPr>
          <w:rFonts w:hint="eastAsia" w:ascii="Times New Roman" w:hAnsi="Times New Roman" w:eastAsia="仿宋_GB2312" w:cs="Times New Roman"/>
          <w:kern w:val="0"/>
          <w:sz w:val="32"/>
          <w:szCs w:val="32"/>
          <w:lang w:val="en-US" w:eastAsia="zh-CN" w:bidi="ar"/>
        </w:rPr>
        <w:t>乡镇</w:t>
      </w:r>
      <w:r>
        <w:rPr>
          <w:rFonts w:ascii="Times New Roman" w:hAnsi="Times New Roman" w:eastAsia="仿宋_GB2312" w:cs="Times New Roman"/>
          <w:kern w:val="0"/>
          <w:sz w:val="32"/>
          <w:szCs w:val="32"/>
          <w:lang w:val="en-US" w:eastAsia="zh-CN" w:bidi="ar"/>
        </w:rPr>
        <w:t>人民政府，</w:t>
      </w:r>
      <w:r>
        <w:rPr>
          <w:rFonts w:hint="eastAsia" w:ascii="Times New Roman" w:hAnsi="Times New Roman" w:eastAsia="仿宋_GB2312" w:cs="Times New Roman"/>
          <w:kern w:val="0"/>
          <w:sz w:val="32"/>
          <w:szCs w:val="32"/>
          <w:lang w:val="en-US" w:eastAsia="zh-CN" w:bidi="ar"/>
        </w:rPr>
        <w:t>县</w:t>
      </w:r>
      <w:r>
        <w:rPr>
          <w:rFonts w:ascii="Times New Roman" w:hAnsi="Times New Roman" w:eastAsia="仿宋_GB2312" w:cs="Times New Roman"/>
          <w:kern w:val="0"/>
          <w:sz w:val="32"/>
          <w:szCs w:val="32"/>
          <w:lang w:val="en-US" w:eastAsia="zh-CN" w:bidi="ar"/>
        </w:rPr>
        <w:t>政府各直属单位：</w:t>
      </w:r>
      <w:r>
        <w:rPr>
          <w:rFonts w:ascii="Times New Roman" w:hAnsi="Times New Roman" w:eastAsia="仿宋_GB2312" w:cs="Times New Roman"/>
          <w:kern w:val="0"/>
          <w:sz w:val="32"/>
          <w:szCs w:val="32"/>
          <w:lang w:val="en-US" w:eastAsia="zh-CN" w:bidi="ar"/>
        </w:rPr>
        <w:br w:type="textWrapping"/>
      </w:r>
      <w:r>
        <w:rPr>
          <w:rFonts w:ascii="Times New Roman" w:hAnsi="Times New Roman" w:eastAsia="仿宋_GB2312" w:cs="Times New Roman"/>
          <w:kern w:val="0"/>
          <w:sz w:val="32"/>
          <w:szCs w:val="32"/>
          <w:lang w:val="en-US" w:eastAsia="zh-CN" w:bidi="ar"/>
        </w:rPr>
        <w:t>　　《</w:t>
      </w:r>
      <w:r>
        <w:rPr>
          <w:rFonts w:hint="eastAsia" w:ascii="Times New Roman" w:hAnsi="Times New Roman" w:eastAsia="仿宋_GB2312" w:cs="Times New Roman"/>
          <w:kern w:val="0"/>
          <w:sz w:val="32"/>
          <w:szCs w:val="32"/>
          <w:lang w:val="en-US" w:eastAsia="zh-CN" w:bidi="ar"/>
        </w:rPr>
        <w:t>绥滨县</w:t>
      </w:r>
      <w:r>
        <w:rPr>
          <w:rFonts w:ascii="Times New Roman" w:hAnsi="Times New Roman" w:eastAsia="仿宋_GB2312" w:cs="Times New Roman"/>
          <w:kern w:val="0"/>
          <w:sz w:val="32"/>
          <w:szCs w:val="32"/>
          <w:lang w:val="en-US" w:eastAsia="zh-CN" w:bidi="ar"/>
        </w:rPr>
        <w:t>国土空间</w:t>
      </w:r>
      <w:r>
        <w:rPr>
          <w:rFonts w:hint="eastAsia" w:ascii="Times New Roman" w:hAnsi="Times New Roman" w:eastAsia="仿宋_GB2312" w:cs="Times New Roman"/>
          <w:kern w:val="0"/>
          <w:sz w:val="32"/>
          <w:szCs w:val="32"/>
          <w:lang w:val="en-US" w:eastAsia="zh-CN" w:bidi="ar"/>
        </w:rPr>
        <w:t>总体</w:t>
      </w:r>
      <w:r>
        <w:rPr>
          <w:rFonts w:ascii="Times New Roman" w:hAnsi="Times New Roman" w:eastAsia="仿宋_GB2312" w:cs="Times New Roman"/>
          <w:kern w:val="0"/>
          <w:sz w:val="32"/>
          <w:szCs w:val="32"/>
          <w:lang w:val="en-US" w:eastAsia="zh-CN" w:bidi="ar"/>
        </w:rPr>
        <w:t>规划（2021</w:t>
      </w:r>
      <w:r>
        <w:rPr>
          <w:rFonts w:hint="eastAsia" w:ascii="Times New Roman" w:hAnsi="Times New Roman" w:eastAsia="仿宋_GB2312" w:cs="Times New Roman"/>
          <w:kern w:val="0"/>
          <w:sz w:val="32"/>
          <w:szCs w:val="32"/>
          <w:lang w:val="en-US" w:eastAsia="zh-CN" w:bidi="ar"/>
        </w:rPr>
        <w:t>—</w:t>
      </w:r>
      <w:r>
        <w:rPr>
          <w:rFonts w:ascii="Times New Roman" w:hAnsi="Times New Roman" w:eastAsia="仿宋_GB2312" w:cs="Times New Roman"/>
          <w:kern w:val="0"/>
          <w:sz w:val="32"/>
          <w:szCs w:val="32"/>
          <w:lang w:val="en-US" w:eastAsia="zh-CN" w:bidi="ar"/>
        </w:rPr>
        <w:t>2035年）》已经</w:t>
      </w:r>
      <w:r>
        <w:rPr>
          <w:rFonts w:hint="eastAsia" w:ascii="Times New Roman" w:hAnsi="Times New Roman" w:eastAsia="仿宋_GB2312" w:cs="Times New Roman"/>
          <w:kern w:val="0"/>
          <w:sz w:val="32"/>
          <w:szCs w:val="32"/>
          <w:lang w:val="en-US" w:eastAsia="zh-CN" w:bidi="ar"/>
        </w:rPr>
        <w:t>黑龙江省人民政府</w:t>
      </w:r>
      <w:r>
        <w:rPr>
          <w:rFonts w:ascii="Times New Roman" w:hAnsi="Times New Roman" w:eastAsia="仿宋_GB2312" w:cs="Times New Roman"/>
          <w:kern w:val="0"/>
          <w:sz w:val="32"/>
          <w:szCs w:val="32"/>
          <w:lang w:val="en-US" w:eastAsia="zh-CN" w:bidi="ar"/>
        </w:rPr>
        <w:t>批复同意，现</w:t>
      </w:r>
      <w:r>
        <w:rPr>
          <w:rFonts w:hint="eastAsia" w:ascii="Times New Roman" w:hAnsi="Times New Roman" w:eastAsia="仿宋_GB2312" w:cs="Times New Roman"/>
          <w:kern w:val="0"/>
          <w:sz w:val="32"/>
          <w:szCs w:val="32"/>
          <w:lang w:val="en-US" w:eastAsia="zh-CN" w:bidi="ar"/>
        </w:rPr>
        <w:t>依法进行成果公示。</w:t>
      </w:r>
    </w:p>
    <w:p w14:paraId="2EF7807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Times New Roman" w:hAnsi="Times New Roman" w:eastAsia="仿宋_GB2312" w:cs="Times New Roman"/>
          <w:kern w:val="0"/>
          <w:sz w:val="32"/>
          <w:szCs w:val="32"/>
          <w:lang w:val="en-US" w:eastAsia="zh-CN" w:bidi="ar"/>
        </w:rPr>
      </w:pPr>
    </w:p>
    <w:p w14:paraId="2FE142C2">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Times New Roman" w:hAnsi="Times New Roman" w:eastAsia="仿宋_GB2312" w:cs="Times New Roman"/>
          <w:kern w:val="0"/>
          <w:sz w:val="32"/>
          <w:szCs w:val="32"/>
          <w:lang w:val="en-US" w:eastAsia="zh-CN" w:bidi="ar"/>
        </w:rPr>
      </w:pPr>
    </w:p>
    <w:p w14:paraId="711BCA3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Times New Roman" w:hAnsi="Times New Roman" w:eastAsia="仿宋_GB2312" w:cs="Times New Roman"/>
          <w:kern w:val="0"/>
          <w:sz w:val="32"/>
          <w:szCs w:val="32"/>
          <w:lang w:val="en-US" w:eastAsia="zh-CN" w:bidi="ar"/>
        </w:rPr>
      </w:pPr>
    </w:p>
    <w:p w14:paraId="35318F50">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Times New Roman" w:hAnsi="Times New Roman" w:eastAsia="仿宋_GB2312" w:cs="Times New Roman"/>
          <w:kern w:val="0"/>
          <w:sz w:val="32"/>
          <w:szCs w:val="32"/>
          <w:lang w:val="en-US" w:eastAsia="zh-CN" w:bidi="ar"/>
        </w:rPr>
      </w:pPr>
    </w:p>
    <w:p w14:paraId="7CC3C81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right"/>
        <w:textAlignment w:val="auto"/>
        <w:rPr>
          <w:rFonts w:ascii="Times New Roman" w:hAnsi="Times New Roman" w:eastAsia="仿宋_GB2312" w:cs="Times New Roman"/>
          <w:kern w:val="0"/>
          <w:sz w:val="32"/>
          <w:szCs w:val="32"/>
          <w:lang w:val="en-US" w:eastAsia="zh-CN" w:bidi="ar"/>
        </w:rPr>
      </w:pPr>
      <w:r>
        <w:rPr>
          <w:rFonts w:hint="eastAsia" w:ascii="Times New Roman" w:hAnsi="Times New Roman" w:eastAsia="仿宋_GB2312" w:cs="Times New Roman"/>
          <w:kern w:val="0"/>
          <w:sz w:val="32"/>
          <w:szCs w:val="32"/>
          <w:lang w:val="en-US" w:eastAsia="zh-CN" w:bidi="ar"/>
        </w:rPr>
        <w:t>绥滨县</w:t>
      </w:r>
      <w:r>
        <w:rPr>
          <w:rFonts w:ascii="Times New Roman" w:hAnsi="Times New Roman" w:eastAsia="仿宋_GB2312" w:cs="Times New Roman"/>
          <w:kern w:val="0"/>
          <w:sz w:val="32"/>
          <w:szCs w:val="32"/>
          <w:lang w:val="en-US" w:eastAsia="zh-CN" w:bidi="ar"/>
        </w:rPr>
        <w:t>人民政府</w:t>
      </w:r>
    </w:p>
    <w:p w14:paraId="3ADEE26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right"/>
        <w:textAlignment w:val="auto"/>
        <w:rPr>
          <w:rFonts w:ascii="Times New Roman" w:hAnsi="Times New Roman" w:eastAsia="仿宋_GB2312" w:cs="Times New Roman"/>
          <w:kern w:val="0"/>
          <w:sz w:val="32"/>
          <w:szCs w:val="32"/>
          <w:lang w:val="en-US" w:eastAsia="zh-CN" w:bidi="ar"/>
        </w:rPr>
      </w:pPr>
      <w:r>
        <w:rPr>
          <w:rFonts w:ascii="Times New Roman" w:hAnsi="Times New Roman" w:eastAsia="仿宋_GB2312" w:cs="Times New Roman"/>
          <w:kern w:val="0"/>
          <w:sz w:val="32"/>
          <w:szCs w:val="32"/>
          <w:lang w:val="en-US" w:eastAsia="zh-CN" w:bidi="ar"/>
        </w:rPr>
        <w:t>2024年</w:t>
      </w:r>
      <w:r>
        <w:rPr>
          <w:rFonts w:hint="eastAsia" w:ascii="Times New Roman" w:hAnsi="Times New Roman" w:eastAsia="仿宋_GB2312" w:cs="Times New Roman"/>
          <w:kern w:val="0"/>
          <w:sz w:val="32"/>
          <w:szCs w:val="32"/>
          <w:lang w:val="en-US" w:eastAsia="zh-CN" w:bidi="ar"/>
        </w:rPr>
        <w:t>11</w:t>
      </w:r>
      <w:r>
        <w:rPr>
          <w:rFonts w:ascii="Times New Roman" w:hAnsi="Times New Roman" w:eastAsia="仿宋_GB2312" w:cs="Times New Roman"/>
          <w:kern w:val="0"/>
          <w:sz w:val="32"/>
          <w:szCs w:val="32"/>
          <w:lang w:val="en-US" w:eastAsia="zh-CN" w:bidi="ar"/>
        </w:rPr>
        <w:t>月1</w:t>
      </w:r>
      <w:r>
        <w:rPr>
          <w:rFonts w:hint="eastAsia" w:ascii="Times New Roman" w:hAnsi="Times New Roman" w:eastAsia="仿宋_GB2312" w:cs="Times New Roman"/>
          <w:kern w:val="0"/>
          <w:sz w:val="32"/>
          <w:szCs w:val="32"/>
          <w:lang w:val="en-US" w:eastAsia="zh-CN" w:bidi="ar"/>
        </w:rPr>
        <w:t>8</w:t>
      </w:r>
      <w:r>
        <w:rPr>
          <w:rFonts w:ascii="Times New Roman" w:hAnsi="Times New Roman" w:eastAsia="仿宋_GB2312" w:cs="Times New Roman"/>
          <w:kern w:val="0"/>
          <w:sz w:val="32"/>
          <w:szCs w:val="32"/>
          <w:lang w:val="en-US" w:eastAsia="zh-CN" w:bidi="ar"/>
        </w:rPr>
        <w:t>日</w:t>
      </w:r>
    </w:p>
    <w:p w14:paraId="55E6B4F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right"/>
        <w:textAlignment w:val="auto"/>
        <w:rPr>
          <w:rFonts w:ascii="Times New Roman" w:hAnsi="Times New Roman" w:eastAsia="仿宋_GB2312" w:cs="Times New Roman"/>
          <w:kern w:val="0"/>
          <w:sz w:val="32"/>
          <w:szCs w:val="32"/>
          <w:lang w:val="en-US" w:eastAsia="zh-CN" w:bidi="ar"/>
        </w:rPr>
      </w:pPr>
    </w:p>
    <w:p w14:paraId="77F2F6E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　　（此文有删减）</w:t>
      </w:r>
    </w:p>
    <w:p w14:paraId="586EE96F">
      <w:pPr>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br w:type="page"/>
      </w:r>
    </w:p>
    <w:p w14:paraId="2F50ABD6">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eastAsia" w:ascii="Times New Roman" w:hAnsi="Times New Roman" w:eastAsia="仿宋_GB2312" w:cs="仿宋_GB2312"/>
          <w:color w:val="auto"/>
          <w:sz w:val="32"/>
          <w:szCs w:val="32"/>
          <w:highlight w:val="none"/>
        </w:rPr>
      </w:pPr>
    </w:p>
    <w:p w14:paraId="417F6D8B">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eastAsia" w:ascii="Times New Roman" w:hAnsi="Times New Roman" w:eastAsia="仿宋_GB2312" w:cs="仿宋_GB2312"/>
          <w:color w:val="auto"/>
          <w:sz w:val="32"/>
          <w:szCs w:val="32"/>
          <w:highlight w:val="none"/>
        </w:rPr>
      </w:pPr>
    </w:p>
    <w:p w14:paraId="6FD7807C">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eastAsia" w:ascii="Times New Roman" w:hAnsi="Times New Roman" w:eastAsia="仿宋_GB2312" w:cs="仿宋_GB2312"/>
          <w:color w:val="auto"/>
          <w:sz w:val="32"/>
          <w:szCs w:val="32"/>
          <w:highlight w:val="none"/>
        </w:rPr>
      </w:pPr>
    </w:p>
    <w:p w14:paraId="73824113">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eastAsia" w:ascii="Times New Roman" w:hAnsi="Times New Roman" w:eastAsia="仿宋_GB2312" w:cs="仿宋_GB2312"/>
          <w:color w:val="auto"/>
          <w:sz w:val="32"/>
          <w:szCs w:val="32"/>
          <w:highlight w:val="none"/>
        </w:rPr>
      </w:pPr>
    </w:p>
    <w:p w14:paraId="12ADACFD">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rPr>
          <w:rFonts w:hint="eastAsia" w:ascii="Times New Roman" w:hAnsi="Times New Roman" w:eastAsia="仿宋_GB2312" w:cs="仿宋_GB2312"/>
          <w:color w:val="auto"/>
          <w:sz w:val="32"/>
          <w:szCs w:val="32"/>
          <w:highlight w:val="none"/>
        </w:rPr>
      </w:pPr>
    </w:p>
    <w:p w14:paraId="32DF6C8C">
      <w:pPr>
        <w:spacing w:line="60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lang w:val="en-US" w:eastAsia="zh-CN"/>
        </w:rPr>
        <w:t>绥滨</w:t>
      </w:r>
      <w:r>
        <w:rPr>
          <w:rFonts w:hint="default" w:ascii="Times New Roman" w:hAnsi="Times New Roman" w:eastAsia="方正小标宋简体" w:cs="Times New Roman"/>
          <w:color w:val="auto"/>
          <w:sz w:val="44"/>
          <w:szCs w:val="44"/>
          <w:highlight w:val="none"/>
        </w:rPr>
        <w:t>县国土空间总体规划</w:t>
      </w:r>
    </w:p>
    <w:p w14:paraId="49CF159A">
      <w:pPr>
        <w:spacing w:line="60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（2021</w:t>
      </w:r>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2035年）</w:t>
      </w:r>
    </w:p>
    <w:p w14:paraId="6DD1DDF5">
      <w:pPr>
        <w:spacing w:line="600" w:lineRule="exact"/>
        <w:jc w:val="center"/>
        <w:rPr>
          <w:rFonts w:hint="default" w:ascii="Times New Roman" w:hAnsi="Times New Roman" w:eastAsia="方正小标宋简体" w:cs="Times New Roman"/>
          <w:color w:val="auto"/>
          <w:sz w:val="44"/>
          <w:szCs w:val="44"/>
          <w:highlight w:val="none"/>
        </w:rPr>
      </w:pPr>
    </w:p>
    <w:p w14:paraId="2935D597">
      <w:pPr>
        <w:spacing w:line="600" w:lineRule="exact"/>
        <w:jc w:val="center"/>
        <w:rPr>
          <w:rFonts w:hint="default" w:ascii="Times New Roman" w:hAnsi="Times New Roman" w:eastAsia="方正小标宋简体" w:cs="Times New Roman"/>
          <w:color w:val="auto"/>
          <w:sz w:val="44"/>
          <w:szCs w:val="44"/>
          <w:highlight w:val="none"/>
        </w:rPr>
      </w:pPr>
    </w:p>
    <w:p w14:paraId="378F20DD">
      <w:pPr>
        <w:spacing w:line="600" w:lineRule="exact"/>
        <w:jc w:val="center"/>
        <w:rPr>
          <w:rFonts w:hint="default" w:ascii="Times New Roman" w:hAnsi="Times New Roman" w:eastAsia="方正小标宋简体" w:cs="Times New Roman"/>
          <w:color w:val="auto"/>
          <w:sz w:val="44"/>
          <w:szCs w:val="44"/>
          <w:highlight w:val="none"/>
        </w:rPr>
      </w:pPr>
    </w:p>
    <w:p w14:paraId="25DF77D7">
      <w:pPr>
        <w:spacing w:line="600" w:lineRule="exact"/>
        <w:jc w:val="center"/>
        <w:rPr>
          <w:rFonts w:hint="default" w:ascii="Times New Roman" w:hAnsi="Times New Roman" w:eastAsia="方正小标宋简体" w:cs="Times New Roman"/>
          <w:color w:val="auto"/>
          <w:sz w:val="44"/>
          <w:szCs w:val="44"/>
          <w:highlight w:val="none"/>
        </w:rPr>
      </w:pPr>
    </w:p>
    <w:p w14:paraId="328B3796">
      <w:pPr>
        <w:spacing w:line="600" w:lineRule="exact"/>
        <w:jc w:val="center"/>
        <w:rPr>
          <w:rFonts w:hint="default" w:ascii="Times New Roman" w:hAnsi="Times New Roman" w:eastAsia="方正小标宋简体" w:cs="Times New Roman"/>
          <w:color w:val="auto"/>
          <w:sz w:val="44"/>
          <w:szCs w:val="44"/>
          <w:highlight w:val="none"/>
        </w:rPr>
      </w:pPr>
    </w:p>
    <w:p w14:paraId="66343936">
      <w:pPr>
        <w:spacing w:line="600" w:lineRule="exact"/>
        <w:jc w:val="center"/>
        <w:rPr>
          <w:rFonts w:hint="default" w:ascii="Times New Roman" w:hAnsi="Times New Roman" w:eastAsia="方正小标宋简体" w:cs="Times New Roman"/>
          <w:color w:val="auto"/>
          <w:sz w:val="44"/>
          <w:szCs w:val="44"/>
          <w:highlight w:val="none"/>
        </w:rPr>
      </w:pPr>
    </w:p>
    <w:p w14:paraId="026A2DB3">
      <w:pPr>
        <w:spacing w:line="600" w:lineRule="exact"/>
        <w:jc w:val="center"/>
        <w:rPr>
          <w:rFonts w:hint="default" w:ascii="Times New Roman" w:hAnsi="Times New Roman" w:eastAsia="方正小标宋简体" w:cs="Times New Roman"/>
          <w:color w:val="auto"/>
          <w:sz w:val="44"/>
          <w:szCs w:val="44"/>
          <w:highlight w:val="none"/>
        </w:rPr>
      </w:pPr>
    </w:p>
    <w:p w14:paraId="06AFCC16">
      <w:pPr>
        <w:spacing w:line="600" w:lineRule="exact"/>
        <w:jc w:val="center"/>
        <w:rPr>
          <w:rFonts w:hint="default" w:ascii="Times New Roman" w:hAnsi="Times New Roman" w:eastAsia="方正小标宋简体" w:cs="Times New Roman"/>
          <w:color w:val="auto"/>
          <w:sz w:val="44"/>
          <w:szCs w:val="44"/>
          <w:highlight w:val="none"/>
        </w:rPr>
      </w:pPr>
    </w:p>
    <w:p w14:paraId="7336AE82">
      <w:pPr>
        <w:spacing w:line="600" w:lineRule="exact"/>
        <w:jc w:val="center"/>
        <w:rPr>
          <w:rFonts w:hint="default" w:ascii="Times New Roman" w:hAnsi="Times New Roman" w:eastAsia="方正小标宋简体" w:cs="Times New Roman"/>
          <w:color w:val="auto"/>
          <w:sz w:val="44"/>
          <w:szCs w:val="44"/>
          <w:highlight w:val="none"/>
        </w:rPr>
      </w:pPr>
    </w:p>
    <w:p w14:paraId="59E6BE03">
      <w:pPr>
        <w:spacing w:line="600" w:lineRule="exact"/>
        <w:jc w:val="center"/>
        <w:rPr>
          <w:rFonts w:hint="default" w:ascii="Times New Roman" w:hAnsi="Times New Roman" w:eastAsia="方正小标宋简体" w:cs="Times New Roman"/>
          <w:color w:val="auto"/>
          <w:sz w:val="44"/>
          <w:szCs w:val="44"/>
          <w:highlight w:val="none"/>
        </w:rPr>
      </w:pPr>
    </w:p>
    <w:p w14:paraId="1FBD2115">
      <w:pPr>
        <w:spacing w:line="600" w:lineRule="exact"/>
        <w:jc w:val="center"/>
        <w:rPr>
          <w:rFonts w:hint="default" w:ascii="Times New Roman" w:hAnsi="Times New Roman" w:eastAsia="方正小标宋简体" w:cs="Times New Roman"/>
          <w:color w:val="auto"/>
          <w:sz w:val="44"/>
          <w:szCs w:val="44"/>
          <w:highlight w:val="none"/>
        </w:rPr>
      </w:pPr>
    </w:p>
    <w:p w14:paraId="749EB142">
      <w:pPr>
        <w:spacing w:line="600" w:lineRule="exact"/>
        <w:jc w:val="center"/>
        <w:rPr>
          <w:rFonts w:hint="default" w:ascii="Times New Roman" w:hAnsi="Times New Roman" w:eastAsia="方正小标宋简体" w:cs="Times New Roman"/>
          <w:color w:val="auto"/>
          <w:sz w:val="44"/>
          <w:szCs w:val="44"/>
          <w:highlight w:val="none"/>
        </w:rPr>
      </w:pPr>
    </w:p>
    <w:p w14:paraId="389E3EAF">
      <w:pPr>
        <w:spacing w:line="600" w:lineRule="exact"/>
        <w:jc w:val="center"/>
        <w:rPr>
          <w:rFonts w:hint="default" w:ascii="Times New Roman" w:hAnsi="Times New Roman" w:eastAsia="方正小标宋简体" w:cs="Times New Roman"/>
          <w:color w:val="auto"/>
          <w:sz w:val="32"/>
          <w:szCs w:val="32"/>
          <w:highlight w:val="none"/>
        </w:rPr>
      </w:pPr>
      <w:r>
        <w:rPr>
          <w:rFonts w:hint="default" w:ascii="Times New Roman" w:hAnsi="Times New Roman" w:eastAsia="方正小标宋简体" w:cs="Times New Roman"/>
          <w:color w:val="auto"/>
          <w:sz w:val="32"/>
          <w:szCs w:val="32"/>
          <w:highlight w:val="none"/>
          <w:lang w:val="en-US" w:eastAsia="zh-CN"/>
        </w:rPr>
        <w:t>绥滨</w:t>
      </w:r>
      <w:r>
        <w:rPr>
          <w:rFonts w:hint="default" w:ascii="Times New Roman" w:hAnsi="Times New Roman" w:eastAsia="方正小标宋简体" w:cs="Times New Roman"/>
          <w:color w:val="auto"/>
          <w:sz w:val="32"/>
          <w:szCs w:val="32"/>
          <w:highlight w:val="none"/>
        </w:rPr>
        <w:t>县人民政府</w:t>
      </w:r>
    </w:p>
    <w:p w14:paraId="39C2D52D">
      <w:pPr>
        <w:spacing w:line="600" w:lineRule="exact"/>
        <w:jc w:val="center"/>
        <w:rPr>
          <w:rFonts w:hint="default" w:ascii="Times New Roman" w:hAnsi="Times New Roman" w:eastAsia="方正小标宋简体" w:cs="Times New Roman"/>
          <w:color w:val="auto"/>
          <w:sz w:val="32"/>
          <w:szCs w:val="32"/>
          <w:highlight w:val="none"/>
        </w:rPr>
      </w:pPr>
      <w:r>
        <w:rPr>
          <w:rFonts w:hint="eastAsia" w:ascii="Times New Roman" w:hAnsi="Times New Roman" w:eastAsia="方正小标宋简体" w:cs="Times New Roman"/>
          <w:color w:val="auto"/>
          <w:sz w:val="32"/>
          <w:szCs w:val="32"/>
          <w:highlight w:val="none"/>
          <w:lang w:val="en-US" w:eastAsia="zh-CN"/>
        </w:rPr>
        <w:t>2024</w:t>
      </w:r>
      <w:r>
        <w:rPr>
          <w:rFonts w:hint="default" w:ascii="Times New Roman" w:hAnsi="Times New Roman" w:eastAsia="方正小标宋简体" w:cs="Times New Roman"/>
          <w:color w:val="auto"/>
          <w:sz w:val="32"/>
          <w:szCs w:val="32"/>
          <w:highlight w:val="none"/>
        </w:rPr>
        <w:t>年</w:t>
      </w:r>
      <w:r>
        <w:rPr>
          <w:rFonts w:hint="eastAsia" w:ascii="Times New Roman" w:hAnsi="Times New Roman" w:eastAsia="方正小标宋简体" w:cs="Times New Roman"/>
          <w:color w:val="auto"/>
          <w:sz w:val="32"/>
          <w:szCs w:val="32"/>
          <w:highlight w:val="none"/>
          <w:lang w:val="en-US" w:eastAsia="zh-CN"/>
        </w:rPr>
        <w:t>5</w:t>
      </w:r>
      <w:r>
        <w:rPr>
          <w:rFonts w:hint="default" w:ascii="Times New Roman" w:hAnsi="Times New Roman" w:eastAsia="方正小标宋简体" w:cs="Times New Roman"/>
          <w:color w:val="auto"/>
          <w:sz w:val="32"/>
          <w:szCs w:val="32"/>
          <w:highlight w:val="none"/>
        </w:rPr>
        <w:t>月</w:t>
      </w:r>
    </w:p>
    <w:p w14:paraId="035790B3">
      <w:pPr>
        <w:spacing w:line="600" w:lineRule="exact"/>
        <w:jc w:val="center"/>
        <w:rPr>
          <w:rFonts w:hint="default" w:ascii="Times New Roman" w:hAnsi="Times New Roman" w:eastAsia="方正小标宋简体" w:cs="Times New Roman"/>
          <w:color w:val="auto"/>
          <w:sz w:val="32"/>
          <w:szCs w:val="32"/>
          <w:highlight w:val="none"/>
          <w:lang w:val="en-US" w:eastAsia="zh-CN"/>
        </w:rPr>
        <w:sectPr>
          <w:type w:val="continuous"/>
          <w:pgSz w:w="11906" w:h="16838"/>
          <w:pgMar w:top="1440" w:right="1797" w:bottom="1440" w:left="1797" w:header="851" w:footer="850" w:gutter="0"/>
          <w:pgNumType w:fmt="decimal"/>
          <w:cols w:space="0" w:num="1"/>
          <w:rtlGutter w:val="0"/>
          <w:docGrid w:type="lines" w:linePitch="312" w:charSpace="0"/>
        </w:sectPr>
      </w:pPr>
    </w:p>
    <w:p w14:paraId="2B6F9569">
      <w:pPr>
        <w:keepNext w:val="0"/>
        <w:keepLines w:val="0"/>
        <w:pageBreakBefore w:val="0"/>
        <w:widowControl w:val="0"/>
        <w:kinsoku/>
        <w:wordWrap/>
        <w:overflowPunct/>
        <w:topLinePunct w:val="0"/>
        <w:autoSpaceDE/>
        <w:autoSpaceDN/>
        <w:bidi w:val="0"/>
        <w:adjustRightInd/>
        <w:snapToGrid/>
        <w:spacing w:before="157" w:beforeLines="50" w:after="157" w:afterLines="50" w:line="600" w:lineRule="exact"/>
        <w:jc w:val="center"/>
        <w:textAlignment w:val="auto"/>
        <w:outlineLvl w:val="0"/>
        <w:rPr>
          <w:rFonts w:hint="default" w:ascii="Times New Roman" w:hAnsi="Times New Roman" w:eastAsia="方正小标宋简体" w:cs="Times New Roman"/>
          <w:color w:val="auto"/>
          <w:sz w:val="36"/>
          <w:szCs w:val="36"/>
          <w:highlight w:val="none"/>
          <w:lang w:val="en-US" w:eastAsia="zh-CN"/>
        </w:rPr>
      </w:pPr>
      <w:bookmarkStart w:id="0" w:name="_Toc18020"/>
      <w:bookmarkStart w:id="1" w:name="_Toc7621"/>
      <w:bookmarkStart w:id="2" w:name="_Toc212"/>
      <w:r>
        <w:rPr>
          <w:rFonts w:hint="default" w:ascii="Times New Roman" w:hAnsi="Times New Roman" w:eastAsia="方正小标宋简体" w:cs="Times New Roman"/>
          <w:color w:val="auto"/>
          <w:sz w:val="36"/>
          <w:szCs w:val="36"/>
          <w:highlight w:val="none"/>
          <w:lang w:val="en-US" w:eastAsia="zh-CN"/>
        </w:rPr>
        <w:t>前</w:t>
      </w:r>
      <w:r>
        <w:rPr>
          <w:rFonts w:hint="eastAsia" w:ascii="Times New Roman" w:hAnsi="Times New Roman" w:eastAsia="方正小标宋简体" w:cs="Times New Roman"/>
          <w:color w:val="auto"/>
          <w:sz w:val="36"/>
          <w:szCs w:val="36"/>
          <w:highlight w:val="none"/>
          <w:lang w:val="en-US" w:eastAsia="zh-CN"/>
        </w:rPr>
        <w:t xml:space="preserve">  </w:t>
      </w:r>
      <w:r>
        <w:rPr>
          <w:rFonts w:hint="default" w:ascii="Times New Roman" w:hAnsi="Times New Roman" w:eastAsia="方正小标宋简体" w:cs="Times New Roman"/>
          <w:color w:val="auto"/>
          <w:sz w:val="36"/>
          <w:szCs w:val="36"/>
          <w:highlight w:val="none"/>
          <w:lang w:val="en-US" w:eastAsia="zh-CN"/>
        </w:rPr>
        <w:t>言</w:t>
      </w:r>
      <w:bookmarkEnd w:id="0"/>
      <w:bookmarkEnd w:id="1"/>
      <w:bookmarkEnd w:id="2"/>
    </w:p>
    <w:p w14:paraId="2BE75F3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为贯彻习近平新时代中国特色</w:t>
      </w:r>
      <w:r>
        <w:rPr>
          <w:rFonts w:hint="eastAsia" w:ascii="Times New Roman" w:hAnsi="Times New Roman" w:eastAsia="仿宋_GB2312" w:cs="Times New Roman"/>
          <w:b w:val="0"/>
          <w:bCs w:val="0"/>
          <w:color w:val="auto"/>
          <w:kern w:val="2"/>
          <w:sz w:val="32"/>
          <w:szCs w:val="32"/>
          <w:highlight w:val="none"/>
          <w:lang w:val="en-US" w:eastAsia="zh-CN" w:bidi="ar-SA"/>
        </w:rPr>
        <w:t>社会主义思想和党的二十大精神</w:t>
      </w:r>
      <w:r>
        <w:rPr>
          <w:rFonts w:hint="default" w:ascii="Times New Roman" w:hAnsi="Times New Roman" w:eastAsia="仿宋_GB2312" w:cs="Times New Roman"/>
          <w:b w:val="0"/>
          <w:bCs w:val="0"/>
          <w:color w:val="auto"/>
          <w:kern w:val="2"/>
          <w:sz w:val="32"/>
          <w:szCs w:val="32"/>
          <w:highlight w:val="none"/>
          <w:lang w:val="en-US" w:eastAsia="zh-CN" w:bidi="ar-SA"/>
        </w:rPr>
        <w:t>，落实黑龙江省委、省政府和鹤岗市委、市政府的重大战略部署，按照《中共中央 国务院关于建立国土空间规划体系并监督实施的若干意见》（中发〔2019〕18号）、《自然资源部关于全面开展国土空间规划工作的通知》（自然资发〔2019〕87号）、《中共黑龙江省委 黑龙江省人民政府关于建立全省国土空间规划体系并监督实施的意见》（黑发〔2020〕5号）等文件要求，结合绥滨县实际，编制《绥滨县国土空间总体规划（2021</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2035年）》（以下简称《规划》）。</w:t>
      </w:r>
    </w:p>
    <w:p w14:paraId="05C3E9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color w:val="auto"/>
          <w:highlight w:val="none"/>
          <w:lang w:val="en-US" w:eastAsia="zh-CN"/>
        </w:rPr>
        <w:sectPr>
          <w:headerReference r:id="rId3" w:type="default"/>
          <w:footerReference r:id="rId4" w:type="default"/>
          <w:pgSz w:w="11906" w:h="16838"/>
          <w:pgMar w:top="1440" w:right="1797" w:bottom="1440" w:left="1797" w:header="851" w:footer="850" w:gutter="0"/>
          <w:pgNumType w:fmt="upperRoman" w:start="1"/>
          <w:cols w:space="0" w:num="1"/>
          <w:rtlGutter w:val="0"/>
          <w:docGrid w:type="lines" w:linePitch="312" w:charSpace="0"/>
        </w:sectPr>
      </w:pPr>
      <w:r>
        <w:rPr>
          <w:rFonts w:hint="default" w:ascii="Times New Roman" w:hAnsi="Times New Roman" w:eastAsia="仿宋_GB2312" w:cs="Times New Roman"/>
          <w:b w:val="0"/>
          <w:bCs w:val="0"/>
          <w:color w:val="auto"/>
          <w:kern w:val="2"/>
          <w:sz w:val="32"/>
          <w:szCs w:val="32"/>
          <w:highlight w:val="none"/>
          <w:lang w:val="en-US" w:eastAsia="zh-CN" w:bidi="ar-SA"/>
        </w:rPr>
        <w:t>《规划》坚持以人民为中心、高质量发展，坚持底线思维、全域统筹，以资源环境承载力和国土空间开发适宜性评价、规划实施评估和灾害风险评估为基础，把握县域发展特征和自然生态本底条件，合理确定规划目标，对全域国土空间布局进行长远谋划和统筹安排。《规划》是绥滨县相关专项规划和详细规划的依据，也是制定县域空间发展政策、指导各类开发建设、开展国土空间资源保护利用修复和实施国土空间规划管理的蓝图。</w:t>
      </w:r>
    </w:p>
    <w:sdt>
      <w:sdtPr>
        <w:rPr>
          <w:rFonts w:hint="default" w:ascii="Times New Roman" w:hAnsi="Times New Roman" w:eastAsia="黑体" w:cs="Times New Roman"/>
          <w:b w:val="0"/>
          <w:bCs w:val="0"/>
          <w:color w:val="auto"/>
          <w:kern w:val="2"/>
          <w:sz w:val="32"/>
          <w:szCs w:val="32"/>
          <w:highlight w:val="none"/>
          <w:lang w:val="en-US" w:eastAsia="zh-CN" w:bidi="ar-SA"/>
        </w:rPr>
        <w:id w:val="147453630"/>
        <w15:color w:val="DBDBDB"/>
        <w:docPartObj>
          <w:docPartGallery w:val="Table of Contents"/>
          <w:docPartUnique/>
        </w:docPartObj>
      </w:sdtPr>
      <w:sdtEndPr>
        <w:rPr>
          <w:rFonts w:hint="default" w:ascii="Times New Roman" w:hAnsi="Times New Roman" w:eastAsia="黑体" w:cs="Times New Roman"/>
          <w:b/>
          <w:bCs/>
          <w:color w:val="auto"/>
          <w:kern w:val="2"/>
          <w:sz w:val="32"/>
          <w:szCs w:val="32"/>
          <w:highlight w:val="none"/>
          <w:lang w:val="en-US" w:eastAsia="zh-CN" w:bidi="ar-SA"/>
        </w:rPr>
      </w:sdtEndPr>
      <w:sdtContent>
        <w:p w14:paraId="073D9B57">
          <w:pPr>
            <w:keepNext w:val="0"/>
            <w:keepLines w:val="0"/>
            <w:pageBreakBefore w:val="0"/>
            <w:widowControl w:val="0"/>
            <w:kinsoku/>
            <w:wordWrap/>
            <w:overflowPunct/>
            <w:topLinePunct w:val="0"/>
            <w:autoSpaceDE/>
            <w:autoSpaceDN/>
            <w:bidi w:val="0"/>
            <w:adjustRightInd/>
            <w:snapToGrid/>
            <w:spacing w:before="157" w:beforeLines="50" w:after="157" w:afterLines="50" w:line="600" w:lineRule="exact"/>
            <w:ind w:left="0" w:leftChars="0" w:right="0" w:rightChars="0" w:firstLine="0" w:firstLineChars="0"/>
            <w:jc w:val="center"/>
            <w:textAlignment w:val="auto"/>
            <w:rPr>
              <w:rFonts w:hint="default" w:ascii="Times New Roman" w:hAnsi="Times New Roman" w:eastAsia="等线" w:cs="Times New Roman"/>
              <w:b/>
              <w:color w:val="auto"/>
              <w:kern w:val="2"/>
              <w:sz w:val="21"/>
              <w:szCs w:val="22"/>
              <w:highlight w:val="none"/>
              <w:lang w:val="en-US" w:eastAsia="zh-CN" w:bidi="ar-SA"/>
            </w:rPr>
          </w:pPr>
          <w:r>
            <w:rPr>
              <w:rFonts w:hint="default" w:ascii="Times New Roman" w:hAnsi="Times New Roman" w:eastAsia="黑体" w:cs="黑体"/>
              <w:b w:val="0"/>
              <w:bCs w:val="0"/>
              <w:color w:val="auto"/>
              <w:sz w:val="32"/>
              <w:szCs w:val="32"/>
              <w:highlight w:val="none"/>
            </w:rPr>
            <w:t>目</w:t>
          </w:r>
          <w:r>
            <w:rPr>
              <w:rFonts w:hint="default" w:ascii="Times New Roman" w:hAnsi="Times New Roman" w:eastAsia="黑体" w:cs="黑体"/>
              <w:b w:val="0"/>
              <w:bCs w:val="0"/>
              <w:color w:val="auto"/>
              <w:sz w:val="32"/>
              <w:szCs w:val="32"/>
              <w:highlight w:val="none"/>
              <w:lang w:val="en-US" w:eastAsia="zh-CN"/>
            </w:rPr>
            <w:t xml:space="preserve"> </w:t>
          </w:r>
          <w:r>
            <w:rPr>
              <w:rFonts w:hint="eastAsia" w:ascii="Times New Roman" w:hAnsi="Times New Roman" w:eastAsia="黑体" w:cs="黑体"/>
              <w:b w:val="0"/>
              <w:bCs w:val="0"/>
              <w:color w:val="auto"/>
              <w:sz w:val="32"/>
              <w:szCs w:val="32"/>
              <w:highlight w:val="none"/>
              <w:lang w:val="en-US" w:eastAsia="zh-CN"/>
            </w:rPr>
            <w:t xml:space="preserve">  </w:t>
          </w:r>
          <w:r>
            <w:rPr>
              <w:rFonts w:hint="default" w:ascii="Times New Roman" w:hAnsi="Times New Roman" w:eastAsia="黑体" w:cs="黑体"/>
              <w:b w:val="0"/>
              <w:bCs w:val="0"/>
              <w:color w:val="auto"/>
              <w:sz w:val="32"/>
              <w:szCs w:val="32"/>
              <w:highlight w:val="none"/>
            </w:rPr>
            <w:t>录</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TOC \o "1-2" \h \u </w:instrText>
          </w:r>
          <w:r>
            <w:rPr>
              <w:rFonts w:hint="default" w:ascii="Times New Roman" w:hAnsi="Times New Roman" w:cs="Times New Roman"/>
              <w:color w:val="auto"/>
              <w:highlight w:val="none"/>
            </w:rPr>
            <w:fldChar w:fldCharType="separate"/>
          </w:r>
        </w:p>
        <w:p w14:paraId="2E09701F">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jc w:val="both"/>
            <w:textAlignment w:val="auto"/>
            <w:rPr>
              <w:rFonts w:hint="eastAsia" w:ascii="Times New Roman" w:hAnsi="Times New Roman" w:eastAsia="黑体" w:cs="Times New Roman"/>
              <w:sz w:val="28"/>
              <w:szCs w:val="22"/>
              <w:lang w:val="en-US" w:eastAsia="zh-CN" w:bidi="ar-SA"/>
            </w:rPr>
          </w:pP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HYPERLINK \l _Toc212 </w:instrText>
          </w:r>
          <w:r>
            <w:rPr>
              <w:rFonts w:hint="default" w:ascii="Times New Roman" w:hAnsi="Times New Roman" w:eastAsia="黑体" w:cs="Times New Roman"/>
              <w:sz w:val="28"/>
              <w:szCs w:val="22"/>
              <w:lang w:val="en-US" w:eastAsia="zh-CN" w:bidi="ar-SA"/>
            </w:rPr>
            <w:fldChar w:fldCharType="separate"/>
          </w:r>
          <w:r>
            <w:rPr>
              <w:rFonts w:hint="default" w:ascii="Times New Roman" w:hAnsi="Times New Roman" w:eastAsia="黑体" w:cs="Times New Roman"/>
              <w:sz w:val="28"/>
              <w:szCs w:val="22"/>
              <w:lang w:val="en-US" w:eastAsia="zh-CN" w:bidi="ar-SA"/>
            </w:rPr>
            <w:t>前</w:t>
          </w:r>
          <w:r>
            <w:rPr>
              <w:rFonts w:hint="eastAsia" w:ascii="Times New Roman" w:hAnsi="Times New Roman" w:eastAsia="黑体" w:cs="Times New Roman"/>
              <w:sz w:val="28"/>
              <w:szCs w:val="22"/>
              <w:lang w:val="en-US" w:eastAsia="zh-CN" w:bidi="ar-SA"/>
            </w:rPr>
            <w:t xml:space="preserve">  </w:t>
          </w:r>
          <w:r>
            <w:rPr>
              <w:rFonts w:hint="default" w:ascii="Times New Roman" w:hAnsi="Times New Roman" w:eastAsia="黑体" w:cs="Times New Roman"/>
              <w:sz w:val="28"/>
              <w:szCs w:val="22"/>
              <w:lang w:val="en-US" w:eastAsia="zh-CN" w:bidi="ar-SA"/>
            </w:rPr>
            <w:t>言</w:t>
          </w:r>
          <w:r>
            <w:rPr>
              <w:rFonts w:hint="eastAsia" w:ascii="Times New Roman" w:hAnsi="Times New Roman" w:eastAsia="黑体" w:cs="Times New Roman"/>
              <w:sz w:val="28"/>
              <w:szCs w:val="22"/>
              <w:lang w:val="en-US" w:eastAsia="zh-CN" w:bidi="ar-SA"/>
            </w:rPr>
            <w:tab/>
          </w:r>
          <w:r>
            <w:rPr>
              <w:rFonts w:hint="eastAsia" w:ascii="Times New Roman" w:hAnsi="Times New Roman" w:eastAsia="黑体" w:cs="Times New Roman"/>
              <w:sz w:val="28"/>
              <w:szCs w:val="22"/>
              <w:lang w:val="en-US" w:eastAsia="zh-CN" w:bidi="ar-SA"/>
            </w:rPr>
            <w:fldChar w:fldCharType="begin"/>
          </w:r>
          <w:r>
            <w:rPr>
              <w:rFonts w:hint="eastAsia" w:ascii="Times New Roman" w:hAnsi="Times New Roman" w:eastAsia="黑体" w:cs="Times New Roman"/>
              <w:sz w:val="28"/>
              <w:szCs w:val="22"/>
              <w:lang w:val="en-US" w:eastAsia="zh-CN" w:bidi="ar-SA"/>
            </w:rPr>
            <w:instrText xml:space="preserve"> PAGEREF _Toc212 \h </w:instrText>
          </w:r>
          <w:r>
            <w:rPr>
              <w:rFonts w:hint="eastAsia" w:ascii="Times New Roman" w:hAnsi="Times New Roman" w:eastAsia="黑体" w:cs="Times New Roman"/>
              <w:sz w:val="28"/>
              <w:szCs w:val="22"/>
              <w:lang w:val="en-US" w:eastAsia="zh-CN" w:bidi="ar-SA"/>
            </w:rPr>
            <w:fldChar w:fldCharType="separate"/>
          </w:r>
          <w:r>
            <w:rPr>
              <w:rFonts w:hint="eastAsia" w:ascii="Times New Roman" w:hAnsi="Times New Roman" w:eastAsia="黑体" w:cs="Times New Roman"/>
              <w:sz w:val="28"/>
              <w:szCs w:val="22"/>
              <w:lang w:val="en-US" w:eastAsia="zh-CN" w:bidi="ar-SA"/>
            </w:rPr>
            <w:t>I</w:t>
          </w:r>
          <w:r>
            <w:rPr>
              <w:rFonts w:hint="eastAsia" w:ascii="Times New Roman" w:hAnsi="Times New Roman" w:eastAsia="黑体" w:cs="Times New Roman"/>
              <w:sz w:val="28"/>
              <w:szCs w:val="22"/>
              <w:lang w:val="en-US" w:eastAsia="zh-CN" w:bidi="ar-SA"/>
            </w:rPr>
            <w:fldChar w:fldCharType="end"/>
          </w:r>
          <w:r>
            <w:rPr>
              <w:rFonts w:hint="default" w:ascii="Times New Roman" w:hAnsi="Times New Roman" w:eastAsia="黑体" w:cs="Times New Roman"/>
              <w:sz w:val="28"/>
              <w:szCs w:val="22"/>
              <w:lang w:val="en-US" w:eastAsia="zh-CN" w:bidi="ar-SA"/>
            </w:rPr>
            <w:fldChar w:fldCharType="end"/>
          </w:r>
        </w:p>
        <w:p w14:paraId="03D55185">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jc w:val="both"/>
            <w:textAlignment w:val="auto"/>
          </w:pP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HYPERLINK \l _Toc21691 </w:instrText>
          </w:r>
          <w:r>
            <w:rPr>
              <w:rFonts w:hint="default" w:ascii="Times New Roman" w:hAnsi="Times New Roman" w:eastAsia="黑体" w:cs="Times New Roman"/>
              <w:sz w:val="28"/>
              <w:szCs w:val="22"/>
              <w:lang w:val="en-US" w:eastAsia="zh-CN" w:bidi="ar-SA"/>
            </w:rPr>
            <w:fldChar w:fldCharType="separate"/>
          </w:r>
          <w:r>
            <w:rPr>
              <w:rFonts w:hint="eastAsia" w:ascii="Times New Roman" w:hAnsi="Times New Roman" w:eastAsia="黑体" w:cs="Times New Roman"/>
              <w:sz w:val="28"/>
              <w:szCs w:val="22"/>
              <w:lang w:val="en-US" w:eastAsia="zh-CN" w:bidi="ar-SA"/>
            </w:rPr>
            <w:t xml:space="preserve">第一章 </w:t>
          </w:r>
          <w:r>
            <w:rPr>
              <w:rFonts w:hint="default" w:ascii="Times New Roman" w:hAnsi="Times New Roman" w:eastAsia="黑体" w:cs="Times New Roman"/>
              <w:sz w:val="28"/>
              <w:szCs w:val="22"/>
              <w:lang w:val="en-US" w:eastAsia="zh-CN" w:bidi="ar-SA"/>
            </w:rPr>
            <w:t>规划</w:t>
          </w:r>
          <w:r>
            <w:rPr>
              <w:rFonts w:hint="eastAsia" w:ascii="Times New Roman" w:hAnsi="Times New Roman" w:eastAsia="黑体" w:cs="Times New Roman"/>
              <w:sz w:val="28"/>
              <w:szCs w:val="22"/>
              <w:lang w:val="en-US" w:eastAsia="zh-CN" w:bidi="ar-SA"/>
            </w:rPr>
            <w:t>基础与形势</w:t>
          </w:r>
          <w:r>
            <w:rPr>
              <w:rFonts w:hint="eastAsia" w:ascii="Times New Roman" w:hAnsi="Times New Roman" w:eastAsia="黑体" w:cs="Times New Roman"/>
              <w:sz w:val="28"/>
              <w:szCs w:val="22"/>
              <w:lang w:val="en-US" w:eastAsia="zh-CN" w:bidi="ar-SA"/>
            </w:rPr>
            <w:tab/>
          </w:r>
          <w:r>
            <w:rPr>
              <w:rFonts w:hint="eastAsia" w:ascii="Times New Roman" w:hAnsi="Times New Roman" w:eastAsia="黑体" w:cs="Times New Roman"/>
              <w:sz w:val="28"/>
              <w:szCs w:val="22"/>
              <w:lang w:val="en-US" w:eastAsia="zh-CN" w:bidi="ar-SA"/>
            </w:rPr>
            <w:fldChar w:fldCharType="begin"/>
          </w:r>
          <w:r>
            <w:rPr>
              <w:rFonts w:hint="eastAsia" w:ascii="Times New Roman" w:hAnsi="Times New Roman" w:eastAsia="黑体" w:cs="Times New Roman"/>
              <w:sz w:val="28"/>
              <w:szCs w:val="22"/>
              <w:lang w:val="en-US" w:eastAsia="zh-CN" w:bidi="ar-SA"/>
            </w:rPr>
            <w:instrText xml:space="preserve"> PAGEREF _Toc21691 \h </w:instrText>
          </w:r>
          <w:r>
            <w:rPr>
              <w:rFonts w:hint="eastAsia" w:ascii="Times New Roman" w:hAnsi="Times New Roman" w:eastAsia="黑体" w:cs="Times New Roman"/>
              <w:sz w:val="28"/>
              <w:szCs w:val="22"/>
              <w:lang w:val="en-US" w:eastAsia="zh-CN" w:bidi="ar-SA"/>
            </w:rPr>
            <w:fldChar w:fldCharType="separate"/>
          </w:r>
          <w:r>
            <w:rPr>
              <w:rFonts w:hint="eastAsia" w:ascii="Times New Roman" w:hAnsi="Times New Roman" w:eastAsia="黑体" w:cs="Times New Roman"/>
              <w:sz w:val="28"/>
              <w:szCs w:val="22"/>
              <w:lang w:val="en-US" w:eastAsia="zh-CN" w:bidi="ar-SA"/>
            </w:rPr>
            <w:t>1</w:t>
          </w:r>
          <w:r>
            <w:rPr>
              <w:rFonts w:hint="eastAsia" w:ascii="Times New Roman" w:hAnsi="Times New Roman" w:eastAsia="黑体" w:cs="Times New Roman"/>
              <w:sz w:val="28"/>
              <w:szCs w:val="22"/>
              <w:lang w:val="en-US" w:eastAsia="zh-CN" w:bidi="ar-SA"/>
            </w:rPr>
            <w:fldChar w:fldCharType="end"/>
          </w:r>
          <w:r>
            <w:rPr>
              <w:rFonts w:hint="default" w:ascii="Times New Roman" w:hAnsi="Times New Roman" w:eastAsia="黑体" w:cs="Times New Roman"/>
              <w:sz w:val="28"/>
              <w:szCs w:val="22"/>
              <w:lang w:val="en-US" w:eastAsia="zh-CN" w:bidi="ar-SA"/>
            </w:rPr>
            <w:fldChar w:fldCharType="end"/>
          </w:r>
        </w:p>
        <w:p w14:paraId="3C5A0DB6">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_Toc24751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第一节 </w:t>
          </w:r>
          <w:r>
            <w:rPr>
              <w:rFonts w:hint="default" w:ascii="Times New Roman" w:hAnsi="Times New Roman" w:eastAsia="仿宋_GB2312" w:cs="Times New Roman"/>
              <w:b w:val="0"/>
              <w:bCs w:val="0"/>
              <w:color w:val="auto"/>
              <w:kern w:val="2"/>
              <w:sz w:val="28"/>
              <w:szCs w:val="28"/>
              <w:highlight w:val="none"/>
              <w:lang w:val="en-US" w:eastAsia="zh-CN" w:bidi="ar-SA"/>
            </w:rPr>
            <w:t>自然地理格局与资源禀赋</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_Toc24751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1</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4D92CD78">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_Toc31244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第二节 </w:t>
          </w:r>
          <w:r>
            <w:rPr>
              <w:rFonts w:hint="default" w:ascii="Times New Roman" w:hAnsi="Times New Roman" w:eastAsia="仿宋_GB2312" w:cs="Times New Roman"/>
              <w:b w:val="0"/>
              <w:bCs w:val="0"/>
              <w:color w:val="auto"/>
              <w:kern w:val="2"/>
              <w:sz w:val="28"/>
              <w:szCs w:val="28"/>
              <w:highlight w:val="none"/>
              <w:lang w:val="en-US" w:eastAsia="zh-CN" w:bidi="ar-SA"/>
            </w:rPr>
            <w:t>国土空间开发保护成效与问题</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_Toc31244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2</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7C08EEDE">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_Toc14775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第三节 </w:t>
          </w:r>
          <w:r>
            <w:rPr>
              <w:rFonts w:hint="default" w:ascii="Times New Roman" w:hAnsi="Times New Roman" w:eastAsia="仿宋_GB2312" w:cs="Times New Roman"/>
              <w:b w:val="0"/>
              <w:bCs w:val="0"/>
              <w:color w:val="auto"/>
              <w:kern w:val="2"/>
              <w:sz w:val="28"/>
              <w:szCs w:val="28"/>
              <w:highlight w:val="none"/>
              <w:lang w:val="en-US" w:eastAsia="zh-CN" w:bidi="ar-SA"/>
            </w:rPr>
            <w:t>国土空间开发保护面临机遇与挑战</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_Toc14775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5</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5A272DA3">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jc w:val="both"/>
            <w:textAlignment w:val="auto"/>
            <w:rPr>
              <w:rFonts w:hint="default" w:ascii="Times New Roman" w:hAnsi="Times New Roman" w:eastAsia="黑体" w:cs="Times New Roman"/>
              <w:sz w:val="28"/>
              <w:szCs w:val="22"/>
              <w:lang w:val="en-US" w:eastAsia="zh-CN" w:bidi="ar-SA"/>
            </w:rPr>
          </w:pP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HYPERLINK \l _Toc19744 </w:instrText>
          </w:r>
          <w:r>
            <w:rPr>
              <w:rFonts w:hint="default" w:ascii="Times New Roman" w:hAnsi="Times New Roman" w:eastAsia="黑体" w:cs="Times New Roman"/>
              <w:sz w:val="28"/>
              <w:szCs w:val="22"/>
              <w:lang w:val="en-US" w:eastAsia="zh-CN" w:bidi="ar-SA"/>
            </w:rPr>
            <w:fldChar w:fldCharType="separate"/>
          </w:r>
          <w:r>
            <w:rPr>
              <w:rFonts w:hint="eastAsia" w:ascii="Times New Roman" w:hAnsi="Times New Roman" w:eastAsia="黑体" w:cs="Times New Roman"/>
              <w:sz w:val="28"/>
              <w:szCs w:val="22"/>
              <w:lang w:val="en-US" w:eastAsia="zh-CN" w:bidi="ar-SA"/>
            </w:rPr>
            <w:t xml:space="preserve">第二章 </w:t>
          </w:r>
          <w:r>
            <w:rPr>
              <w:rFonts w:hint="default" w:ascii="Times New Roman" w:hAnsi="Times New Roman" w:eastAsia="黑体" w:cs="Times New Roman"/>
              <w:sz w:val="28"/>
              <w:szCs w:val="22"/>
              <w:lang w:val="en-US" w:eastAsia="zh-CN" w:bidi="ar-SA"/>
            </w:rPr>
            <w:t>国土空间目标与战略</w:t>
          </w:r>
          <w:r>
            <w:rPr>
              <w:rFonts w:hint="default" w:ascii="Times New Roman" w:hAnsi="Times New Roman" w:eastAsia="黑体" w:cs="Times New Roman"/>
              <w:sz w:val="28"/>
              <w:szCs w:val="22"/>
              <w:lang w:val="en-US" w:eastAsia="zh-CN" w:bidi="ar-SA"/>
            </w:rPr>
            <w:tab/>
          </w: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PAGEREF _Toc19744 \h </w:instrText>
          </w:r>
          <w:r>
            <w:rPr>
              <w:rFonts w:hint="default" w:ascii="Times New Roman" w:hAnsi="Times New Roman" w:eastAsia="黑体" w:cs="Times New Roman"/>
              <w:sz w:val="28"/>
              <w:szCs w:val="22"/>
              <w:lang w:val="en-US" w:eastAsia="zh-CN" w:bidi="ar-SA"/>
            </w:rPr>
            <w:fldChar w:fldCharType="separate"/>
          </w:r>
          <w:r>
            <w:rPr>
              <w:rFonts w:hint="default" w:ascii="Times New Roman" w:hAnsi="Times New Roman" w:eastAsia="黑体" w:cs="Times New Roman"/>
              <w:sz w:val="28"/>
              <w:szCs w:val="22"/>
              <w:lang w:val="en-US" w:eastAsia="zh-CN" w:bidi="ar-SA"/>
            </w:rPr>
            <w:t>9</w:t>
          </w:r>
          <w:r>
            <w:rPr>
              <w:rFonts w:hint="default" w:ascii="Times New Roman" w:hAnsi="Times New Roman" w:eastAsia="黑体" w:cs="Times New Roman"/>
              <w:sz w:val="28"/>
              <w:szCs w:val="22"/>
              <w:lang w:val="en-US" w:eastAsia="zh-CN" w:bidi="ar-SA"/>
            </w:rPr>
            <w:fldChar w:fldCharType="end"/>
          </w:r>
          <w:r>
            <w:rPr>
              <w:rFonts w:hint="default" w:ascii="Times New Roman" w:hAnsi="Times New Roman" w:eastAsia="黑体" w:cs="Times New Roman"/>
              <w:sz w:val="28"/>
              <w:szCs w:val="22"/>
              <w:lang w:val="en-US" w:eastAsia="zh-CN" w:bidi="ar-SA"/>
            </w:rPr>
            <w:fldChar w:fldCharType="end"/>
          </w:r>
        </w:p>
        <w:p w14:paraId="7C826146">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_Toc31380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第一节 </w:t>
          </w:r>
          <w:r>
            <w:rPr>
              <w:rFonts w:hint="default" w:ascii="Times New Roman" w:hAnsi="Times New Roman" w:eastAsia="仿宋_GB2312" w:cs="Times New Roman"/>
              <w:b w:val="0"/>
              <w:bCs w:val="0"/>
              <w:color w:val="auto"/>
              <w:kern w:val="2"/>
              <w:sz w:val="28"/>
              <w:szCs w:val="28"/>
              <w:highlight w:val="none"/>
              <w:lang w:val="en-US" w:eastAsia="zh-CN" w:bidi="ar-SA"/>
            </w:rPr>
            <w:t>发展定位</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_Toc31380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9</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51EE2209">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_Toc24156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第二节 </w:t>
          </w:r>
          <w:r>
            <w:rPr>
              <w:rFonts w:hint="default" w:ascii="Times New Roman" w:hAnsi="Times New Roman" w:eastAsia="仿宋_GB2312" w:cs="Times New Roman"/>
              <w:b w:val="0"/>
              <w:bCs w:val="0"/>
              <w:color w:val="auto"/>
              <w:kern w:val="2"/>
              <w:sz w:val="28"/>
              <w:szCs w:val="28"/>
              <w:highlight w:val="none"/>
              <w:lang w:val="en-US" w:eastAsia="zh-CN" w:bidi="ar-SA"/>
            </w:rPr>
            <w:t>规划目标</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_Toc24156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9</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4EC5AF4B">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_Toc17675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第三节 </w:t>
          </w:r>
          <w:r>
            <w:rPr>
              <w:rFonts w:hint="default" w:ascii="Times New Roman" w:hAnsi="Times New Roman" w:eastAsia="仿宋_GB2312" w:cs="Times New Roman"/>
              <w:b w:val="0"/>
              <w:bCs w:val="0"/>
              <w:color w:val="auto"/>
              <w:kern w:val="2"/>
              <w:sz w:val="28"/>
              <w:szCs w:val="28"/>
              <w:highlight w:val="none"/>
              <w:lang w:val="en-US" w:eastAsia="zh-CN" w:bidi="ar-SA"/>
            </w:rPr>
            <w:t>空间战略</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_Toc17675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11</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36C8DB10">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jc w:val="both"/>
            <w:textAlignment w:val="auto"/>
            <w:rPr>
              <w:rFonts w:hint="default" w:ascii="Times New Roman" w:hAnsi="Times New Roman" w:eastAsia="黑体" w:cs="Times New Roman"/>
              <w:sz w:val="28"/>
              <w:szCs w:val="22"/>
              <w:lang w:val="en-US" w:eastAsia="zh-CN" w:bidi="ar-SA"/>
            </w:rPr>
          </w:pP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HYPERLINK \l _Toc6040 </w:instrText>
          </w:r>
          <w:r>
            <w:rPr>
              <w:rFonts w:hint="default" w:ascii="Times New Roman" w:hAnsi="Times New Roman" w:eastAsia="黑体" w:cs="Times New Roman"/>
              <w:sz w:val="28"/>
              <w:szCs w:val="22"/>
              <w:lang w:val="en-US" w:eastAsia="zh-CN" w:bidi="ar-SA"/>
            </w:rPr>
            <w:fldChar w:fldCharType="separate"/>
          </w:r>
          <w:r>
            <w:rPr>
              <w:rFonts w:hint="eastAsia" w:ascii="Times New Roman" w:hAnsi="Times New Roman" w:eastAsia="黑体" w:cs="Times New Roman"/>
              <w:sz w:val="28"/>
              <w:szCs w:val="22"/>
              <w:lang w:val="en-US" w:eastAsia="zh-CN" w:bidi="ar-SA"/>
            </w:rPr>
            <w:t xml:space="preserve">第三章 </w:t>
          </w:r>
          <w:r>
            <w:rPr>
              <w:rFonts w:hint="default" w:ascii="Times New Roman" w:hAnsi="Times New Roman" w:eastAsia="黑体" w:cs="Times New Roman"/>
              <w:sz w:val="28"/>
              <w:szCs w:val="22"/>
              <w:lang w:val="en-US" w:eastAsia="zh-CN" w:bidi="ar-SA"/>
            </w:rPr>
            <w:t>以</w:t>
          </w:r>
          <w:r>
            <w:rPr>
              <w:rFonts w:hint="eastAsia" w:ascii="Times New Roman" w:hAnsi="Times New Roman" w:eastAsia="黑体" w:cs="Times New Roman"/>
              <w:sz w:val="28"/>
              <w:szCs w:val="22"/>
              <w:lang w:val="en-US" w:eastAsia="zh-CN" w:bidi="ar-SA"/>
            </w:rPr>
            <w:t>“</w:t>
          </w:r>
          <w:r>
            <w:rPr>
              <w:rFonts w:hint="default" w:ascii="Times New Roman" w:hAnsi="Times New Roman" w:eastAsia="黑体" w:cs="Times New Roman"/>
              <w:sz w:val="28"/>
              <w:szCs w:val="22"/>
              <w:lang w:val="en-US" w:eastAsia="zh-CN" w:bidi="ar-SA"/>
            </w:rPr>
            <w:t>三区三线</w:t>
          </w:r>
          <w:r>
            <w:rPr>
              <w:rFonts w:hint="eastAsia" w:ascii="Times New Roman" w:hAnsi="Times New Roman" w:eastAsia="黑体" w:cs="Times New Roman"/>
              <w:sz w:val="28"/>
              <w:szCs w:val="22"/>
              <w:lang w:val="en-US" w:eastAsia="zh-CN" w:bidi="ar-SA"/>
            </w:rPr>
            <w:t>”</w:t>
          </w:r>
          <w:r>
            <w:rPr>
              <w:rFonts w:hint="default" w:ascii="Times New Roman" w:hAnsi="Times New Roman" w:eastAsia="黑体" w:cs="Times New Roman"/>
              <w:sz w:val="28"/>
              <w:szCs w:val="22"/>
              <w:lang w:val="en-US" w:eastAsia="zh-CN" w:bidi="ar-SA"/>
            </w:rPr>
            <w:t>为基础，优化开发保护格局</w:t>
          </w:r>
          <w:r>
            <w:rPr>
              <w:rFonts w:hint="default" w:ascii="Times New Roman" w:hAnsi="Times New Roman" w:eastAsia="黑体" w:cs="Times New Roman"/>
              <w:sz w:val="28"/>
              <w:szCs w:val="22"/>
              <w:lang w:val="en-US" w:eastAsia="zh-CN" w:bidi="ar-SA"/>
            </w:rPr>
            <w:tab/>
          </w: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PAGEREF _Toc6040 \h </w:instrText>
          </w:r>
          <w:r>
            <w:rPr>
              <w:rFonts w:hint="default" w:ascii="Times New Roman" w:hAnsi="Times New Roman" w:eastAsia="黑体" w:cs="Times New Roman"/>
              <w:sz w:val="28"/>
              <w:szCs w:val="22"/>
              <w:lang w:val="en-US" w:eastAsia="zh-CN" w:bidi="ar-SA"/>
            </w:rPr>
            <w:fldChar w:fldCharType="separate"/>
          </w:r>
          <w:r>
            <w:rPr>
              <w:rFonts w:hint="default" w:ascii="Times New Roman" w:hAnsi="Times New Roman" w:eastAsia="黑体" w:cs="Times New Roman"/>
              <w:sz w:val="28"/>
              <w:szCs w:val="22"/>
              <w:lang w:val="en-US" w:eastAsia="zh-CN" w:bidi="ar-SA"/>
            </w:rPr>
            <w:t>14</w:t>
          </w:r>
          <w:r>
            <w:rPr>
              <w:rFonts w:hint="default" w:ascii="Times New Roman" w:hAnsi="Times New Roman" w:eastAsia="黑体" w:cs="Times New Roman"/>
              <w:sz w:val="28"/>
              <w:szCs w:val="22"/>
              <w:lang w:val="en-US" w:eastAsia="zh-CN" w:bidi="ar-SA"/>
            </w:rPr>
            <w:fldChar w:fldCharType="end"/>
          </w:r>
          <w:r>
            <w:rPr>
              <w:rFonts w:hint="default" w:ascii="Times New Roman" w:hAnsi="Times New Roman" w:eastAsia="黑体" w:cs="Times New Roman"/>
              <w:sz w:val="28"/>
              <w:szCs w:val="22"/>
              <w:lang w:val="en-US" w:eastAsia="zh-CN" w:bidi="ar-SA"/>
            </w:rPr>
            <w:fldChar w:fldCharType="end"/>
          </w:r>
        </w:p>
        <w:p w14:paraId="688C657E">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_Toc5653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第一节 </w:t>
          </w:r>
          <w:r>
            <w:rPr>
              <w:rFonts w:hint="default" w:ascii="Times New Roman" w:hAnsi="Times New Roman" w:eastAsia="仿宋_GB2312" w:cs="Times New Roman"/>
              <w:b w:val="0"/>
              <w:bCs w:val="0"/>
              <w:color w:val="auto"/>
              <w:kern w:val="2"/>
              <w:sz w:val="28"/>
              <w:szCs w:val="28"/>
              <w:highlight w:val="none"/>
              <w:lang w:val="en-US" w:eastAsia="zh-CN" w:bidi="ar-SA"/>
            </w:rPr>
            <w:t>统筹划定落实三条控制线</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_Toc5653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14</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41A52A76">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_Toc23142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第二节 </w:t>
          </w:r>
          <w:r>
            <w:rPr>
              <w:rFonts w:hint="default" w:ascii="Times New Roman" w:hAnsi="Times New Roman" w:eastAsia="仿宋_GB2312" w:cs="Times New Roman"/>
              <w:b w:val="0"/>
              <w:bCs w:val="0"/>
              <w:color w:val="auto"/>
              <w:kern w:val="2"/>
              <w:sz w:val="28"/>
              <w:szCs w:val="28"/>
              <w:highlight w:val="none"/>
              <w:lang w:val="en-US" w:eastAsia="zh-CN" w:bidi="ar-SA"/>
            </w:rPr>
            <w:t>落实主体功能区战略</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_Toc23142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15</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6D8D663D">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_Toc10123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第三节 </w:t>
          </w:r>
          <w:r>
            <w:rPr>
              <w:rFonts w:hint="default" w:ascii="Times New Roman" w:hAnsi="Times New Roman" w:eastAsia="仿宋_GB2312" w:cs="Times New Roman"/>
              <w:b w:val="0"/>
              <w:bCs w:val="0"/>
              <w:color w:val="auto"/>
              <w:kern w:val="2"/>
              <w:sz w:val="28"/>
              <w:szCs w:val="28"/>
              <w:highlight w:val="none"/>
              <w:lang w:val="en-US" w:eastAsia="zh-CN" w:bidi="ar-SA"/>
            </w:rPr>
            <w:t>优化国土空间总体格局</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_Toc10123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17</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55A1A832">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_Toc9601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第四节 </w:t>
          </w:r>
          <w:r>
            <w:rPr>
              <w:rFonts w:hint="default" w:ascii="Times New Roman" w:hAnsi="Times New Roman" w:eastAsia="仿宋_GB2312" w:cs="Times New Roman"/>
              <w:b w:val="0"/>
              <w:bCs w:val="0"/>
              <w:color w:val="auto"/>
              <w:kern w:val="2"/>
              <w:sz w:val="28"/>
              <w:szCs w:val="28"/>
              <w:highlight w:val="none"/>
              <w:lang w:val="en-US" w:eastAsia="zh-CN" w:bidi="ar-SA"/>
            </w:rPr>
            <w:t>优化规划分区和用地结构</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_Toc9601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18</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219010E8">
          <w:pPr>
            <w:pStyle w:val="15"/>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HYPERLINK \l _Toc8289 </w:instrText>
          </w:r>
          <w:r>
            <w:rPr>
              <w:rFonts w:hint="default" w:ascii="Times New Roman" w:hAnsi="Times New Roman" w:eastAsia="黑体" w:cs="Times New Roman"/>
              <w:sz w:val="28"/>
              <w:szCs w:val="22"/>
              <w:lang w:val="en-US" w:eastAsia="zh-CN" w:bidi="ar-SA"/>
            </w:rPr>
            <w:fldChar w:fldCharType="separate"/>
          </w:r>
          <w:r>
            <w:rPr>
              <w:rFonts w:hint="eastAsia" w:ascii="Times New Roman" w:hAnsi="Times New Roman" w:eastAsia="黑体" w:cs="Times New Roman"/>
              <w:sz w:val="28"/>
              <w:szCs w:val="22"/>
              <w:lang w:val="en-US" w:eastAsia="zh-CN" w:bidi="ar-SA"/>
            </w:rPr>
            <w:t xml:space="preserve">第四章 </w:t>
          </w:r>
          <w:r>
            <w:rPr>
              <w:rFonts w:hint="default" w:ascii="Times New Roman" w:hAnsi="Times New Roman" w:eastAsia="黑体" w:cs="Times New Roman"/>
              <w:sz w:val="28"/>
              <w:szCs w:val="22"/>
              <w:lang w:val="en-US" w:eastAsia="zh-CN" w:bidi="ar-SA"/>
            </w:rPr>
            <w:t>保障富饶魅力农业空间</w:t>
          </w:r>
          <w:r>
            <w:rPr>
              <w:rFonts w:hint="default" w:ascii="Times New Roman" w:hAnsi="Times New Roman" w:eastAsia="黑体" w:cs="Times New Roman"/>
              <w:sz w:val="28"/>
              <w:szCs w:val="22"/>
              <w:lang w:val="en-US" w:eastAsia="zh-CN" w:bidi="ar-SA"/>
            </w:rPr>
            <w:tab/>
          </w: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PAGEREF _Toc8289 \h </w:instrText>
          </w:r>
          <w:r>
            <w:rPr>
              <w:rFonts w:hint="default" w:ascii="Times New Roman" w:hAnsi="Times New Roman" w:eastAsia="黑体" w:cs="Times New Roman"/>
              <w:sz w:val="28"/>
              <w:szCs w:val="22"/>
              <w:lang w:val="en-US" w:eastAsia="zh-CN" w:bidi="ar-SA"/>
            </w:rPr>
            <w:fldChar w:fldCharType="separate"/>
          </w:r>
          <w:r>
            <w:rPr>
              <w:rFonts w:hint="default" w:ascii="Times New Roman" w:hAnsi="Times New Roman" w:eastAsia="黑体" w:cs="Times New Roman"/>
              <w:sz w:val="28"/>
              <w:szCs w:val="22"/>
              <w:lang w:val="en-US" w:eastAsia="zh-CN" w:bidi="ar-SA"/>
            </w:rPr>
            <w:t>21</w:t>
          </w:r>
          <w:r>
            <w:rPr>
              <w:rFonts w:hint="default" w:ascii="Times New Roman" w:hAnsi="Times New Roman" w:eastAsia="黑体" w:cs="Times New Roman"/>
              <w:sz w:val="28"/>
              <w:szCs w:val="22"/>
              <w:lang w:val="en-US" w:eastAsia="zh-CN" w:bidi="ar-SA"/>
            </w:rPr>
            <w:fldChar w:fldCharType="end"/>
          </w:r>
          <w:r>
            <w:rPr>
              <w:rFonts w:hint="default" w:ascii="Times New Roman" w:hAnsi="Times New Roman" w:eastAsia="黑体" w:cs="Times New Roman"/>
              <w:sz w:val="28"/>
              <w:szCs w:val="22"/>
              <w:lang w:val="en-US" w:eastAsia="zh-CN" w:bidi="ar-SA"/>
            </w:rPr>
            <w:fldChar w:fldCharType="end"/>
          </w:r>
        </w:p>
        <w:p w14:paraId="16985F8B">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_Toc8874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第一节 </w:t>
          </w:r>
          <w:r>
            <w:rPr>
              <w:rFonts w:hint="default" w:ascii="Times New Roman" w:hAnsi="Times New Roman" w:eastAsia="仿宋_GB2312" w:cs="Times New Roman"/>
              <w:b w:val="0"/>
              <w:bCs w:val="0"/>
              <w:color w:val="auto"/>
              <w:kern w:val="2"/>
              <w:sz w:val="28"/>
              <w:szCs w:val="28"/>
              <w:highlight w:val="none"/>
              <w:lang w:val="en-US" w:eastAsia="zh-CN" w:bidi="ar-SA"/>
            </w:rPr>
            <w:t>构建农业发展格局</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_Toc8874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21</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439E71B9">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_Toc3972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第二节 </w:t>
          </w:r>
          <w:r>
            <w:rPr>
              <w:rFonts w:hint="default" w:ascii="Times New Roman" w:hAnsi="Times New Roman" w:eastAsia="仿宋_GB2312" w:cs="Times New Roman"/>
              <w:b w:val="0"/>
              <w:bCs w:val="0"/>
              <w:color w:val="auto"/>
              <w:kern w:val="2"/>
              <w:sz w:val="28"/>
              <w:szCs w:val="28"/>
              <w:highlight w:val="none"/>
              <w:lang w:val="en-US" w:eastAsia="zh-CN" w:bidi="ar-SA"/>
            </w:rPr>
            <w:t>实施黑土耕地</w:t>
          </w:r>
          <w:r>
            <w:rPr>
              <w:rFonts w:hint="eastAsia" w:ascii="Times New Roman" w:hAnsi="Times New Roman" w:eastAsia="仿宋_GB2312" w:cs="Times New Roman"/>
              <w:b w:val="0"/>
              <w:bCs w:val="0"/>
              <w:color w:val="auto"/>
              <w:kern w:val="2"/>
              <w:sz w:val="28"/>
              <w:szCs w:val="28"/>
              <w:highlight w:val="none"/>
              <w:lang w:val="en-US" w:eastAsia="zh-CN" w:bidi="ar-SA"/>
            </w:rPr>
            <w:t>“</w:t>
          </w:r>
          <w:r>
            <w:rPr>
              <w:rFonts w:hint="default" w:ascii="Times New Roman" w:hAnsi="Times New Roman" w:eastAsia="仿宋_GB2312" w:cs="Times New Roman"/>
              <w:b w:val="0"/>
              <w:bCs w:val="0"/>
              <w:color w:val="auto"/>
              <w:kern w:val="2"/>
              <w:sz w:val="28"/>
              <w:szCs w:val="28"/>
              <w:highlight w:val="none"/>
              <w:lang w:val="en-US" w:eastAsia="zh-CN" w:bidi="ar-SA"/>
            </w:rPr>
            <w:t>三位一体</w:t>
          </w:r>
          <w:r>
            <w:rPr>
              <w:rFonts w:hint="eastAsia" w:ascii="Times New Roman" w:hAnsi="Times New Roman" w:eastAsia="仿宋_GB2312" w:cs="Times New Roman"/>
              <w:b w:val="0"/>
              <w:bCs w:val="0"/>
              <w:color w:val="auto"/>
              <w:kern w:val="2"/>
              <w:sz w:val="28"/>
              <w:szCs w:val="28"/>
              <w:highlight w:val="none"/>
              <w:lang w:val="en-US" w:eastAsia="zh-CN" w:bidi="ar-SA"/>
            </w:rPr>
            <w:t>”</w:t>
          </w:r>
          <w:r>
            <w:rPr>
              <w:rFonts w:hint="default" w:ascii="Times New Roman" w:hAnsi="Times New Roman" w:eastAsia="仿宋_GB2312" w:cs="Times New Roman"/>
              <w:b w:val="0"/>
              <w:bCs w:val="0"/>
              <w:color w:val="auto"/>
              <w:kern w:val="2"/>
              <w:sz w:val="28"/>
              <w:szCs w:val="28"/>
              <w:highlight w:val="none"/>
              <w:lang w:val="en-US" w:eastAsia="zh-CN" w:bidi="ar-SA"/>
            </w:rPr>
            <w:t>保护</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_Toc3972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22</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38369E37">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_Toc18562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第三节 </w:t>
          </w:r>
          <w:r>
            <w:rPr>
              <w:rFonts w:hint="default" w:ascii="Times New Roman" w:hAnsi="Times New Roman" w:eastAsia="仿宋_GB2312" w:cs="Times New Roman"/>
              <w:b w:val="0"/>
              <w:bCs w:val="0"/>
              <w:color w:val="auto"/>
              <w:kern w:val="2"/>
              <w:sz w:val="28"/>
              <w:szCs w:val="28"/>
              <w:highlight w:val="none"/>
              <w:lang w:val="en-US" w:eastAsia="zh-CN" w:bidi="ar-SA"/>
            </w:rPr>
            <w:t>拓展农产品生产空间</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_Toc18562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24</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475208F3">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_Toc20181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第四节 </w:t>
          </w:r>
          <w:r>
            <w:rPr>
              <w:rFonts w:hint="default" w:ascii="Times New Roman" w:hAnsi="Times New Roman" w:eastAsia="仿宋_GB2312" w:cs="Times New Roman"/>
              <w:b w:val="0"/>
              <w:bCs w:val="0"/>
              <w:color w:val="auto"/>
              <w:kern w:val="2"/>
              <w:sz w:val="28"/>
              <w:szCs w:val="28"/>
              <w:highlight w:val="none"/>
              <w:lang w:val="en-US" w:eastAsia="zh-CN" w:bidi="ar-SA"/>
            </w:rPr>
            <w:t>建设宜居</w:t>
          </w:r>
          <w:r>
            <w:rPr>
              <w:rFonts w:hint="eastAsia" w:ascii="Times New Roman" w:hAnsi="Times New Roman" w:eastAsia="仿宋_GB2312" w:cs="Times New Roman"/>
              <w:b w:val="0"/>
              <w:bCs w:val="0"/>
              <w:color w:val="auto"/>
              <w:kern w:val="2"/>
              <w:sz w:val="28"/>
              <w:szCs w:val="28"/>
              <w:highlight w:val="none"/>
              <w:lang w:val="en-US" w:eastAsia="zh-CN" w:bidi="ar-SA"/>
            </w:rPr>
            <w:t>宜业和美</w:t>
          </w:r>
          <w:r>
            <w:rPr>
              <w:rFonts w:hint="default" w:ascii="Times New Roman" w:hAnsi="Times New Roman" w:eastAsia="仿宋_GB2312" w:cs="Times New Roman"/>
              <w:b w:val="0"/>
              <w:bCs w:val="0"/>
              <w:color w:val="auto"/>
              <w:kern w:val="2"/>
              <w:sz w:val="28"/>
              <w:szCs w:val="28"/>
              <w:highlight w:val="none"/>
              <w:lang w:val="en-US" w:eastAsia="zh-CN" w:bidi="ar-SA"/>
            </w:rPr>
            <w:t>乡村</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_Toc20181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25</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2A74D76B">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_Toc22562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第五节 </w:t>
          </w:r>
          <w:r>
            <w:rPr>
              <w:rFonts w:hint="default" w:ascii="Times New Roman" w:hAnsi="Times New Roman" w:eastAsia="仿宋_GB2312" w:cs="Times New Roman"/>
              <w:b w:val="0"/>
              <w:bCs w:val="0"/>
              <w:color w:val="auto"/>
              <w:kern w:val="2"/>
              <w:sz w:val="28"/>
              <w:szCs w:val="28"/>
              <w:highlight w:val="none"/>
              <w:lang w:val="en-US" w:eastAsia="zh-CN" w:bidi="ar-SA"/>
            </w:rPr>
            <w:t>统筹农村土地综合整治</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_Toc22562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31</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4E6DBDBE">
          <w:pPr>
            <w:pStyle w:val="15"/>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HYPERLINK \l _Toc5852 </w:instrText>
          </w:r>
          <w:r>
            <w:rPr>
              <w:rFonts w:hint="default" w:ascii="Times New Roman" w:hAnsi="Times New Roman" w:eastAsia="黑体" w:cs="Times New Roman"/>
              <w:sz w:val="28"/>
              <w:szCs w:val="22"/>
              <w:lang w:val="en-US" w:eastAsia="zh-CN" w:bidi="ar-SA"/>
            </w:rPr>
            <w:fldChar w:fldCharType="separate"/>
          </w:r>
          <w:r>
            <w:rPr>
              <w:rFonts w:hint="eastAsia" w:ascii="Times New Roman" w:hAnsi="Times New Roman" w:eastAsia="黑体" w:cs="Times New Roman"/>
              <w:sz w:val="28"/>
              <w:szCs w:val="22"/>
              <w:lang w:val="en-US" w:eastAsia="zh-CN" w:bidi="ar-SA"/>
            </w:rPr>
            <w:t xml:space="preserve">第五章 </w:t>
          </w:r>
          <w:r>
            <w:rPr>
              <w:rFonts w:hint="default" w:ascii="Times New Roman" w:hAnsi="Times New Roman" w:eastAsia="黑体" w:cs="Times New Roman"/>
              <w:sz w:val="28"/>
              <w:szCs w:val="22"/>
              <w:lang w:val="en-US" w:eastAsia="zh-CN" w:bidi="ar-SA"/>
            </w:rPr>
            <w:t>保护蓝绿交融生态空间</w:t>
          </w:r>
          <w:r>
            <w:rPr>
              <w:rFonts w:hint="default" w:ascii="Times New Roman" w:hAnsi="Times New Roman" w:eastAsia="黑体" w:cs="Times New Roman"/>
              <w:sz w:val="28"/>
              <w:szCs w:val="22"/>
              <w:lang w:val="en-US" w:eastAsia="zh-CN" w:bidi="ar-SA"/>
            </w:rPr>
            <w:tab/>
          </w: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PAGEREF _Toc5852 \h </w:instrText>
          </w:r>
          <w:r>
            <w:rPr>
              <w:rFonts w:hint="default" w:ascii="Times New Roman" w:hAnsi="Times New Roman" w:eastAsia="黑体" w:cs="Times New Roman"/>
              <w:sz w:val="28"/>
              <w:szCs w:val="22"/>
              <w:lang w:val="en-US" w:eastAsia="zh-CN" w:bidi="ar-SA"/>
            </w:rPr>
            <w:fldChar w:fldCharType="separate"/>
          </w:r>
          <w:r>
            <w:rPr>
              <w:rFonts w:hint="default" w:ascii="Times New Roman" w:hAnsi="Times New Roman" w:eastAsia="黑体" w:cs="Times New Roman"/>
              <w:sz w:val="28"/>
              <w:szCs w:val="22"/>
              <w:lang w:val="en-US" w:eastAsia="zh-CN" w:bidi="ar-SA"/>
            </w:rPr>
            <w:t>32</w:t>
          </w:r>
          <w:r>
            <w:rPr>
              <w:rFonts w:hint="default" w:ascii="Times New Roman" w:hAnsi="Times New Roman" w:eastAsia="黑体" w:cs="Times New Roman"/>
              <w:sz w:val="28"/>
              <w:szCs w:val="22"/>
              <w:lang w:val="en-US" w:eastAsia="zh-CN" w:bidi="ar-SA"/>
            </w:rPr>
            <w:fldChar w:fldCharType="end"/>
          </w:r>
          <w:r>
            <w:rPr>
              <w:rFonts w:hint="default" w:ascii="Times New Roman" w:hAnsi="Times New Roman" w:eastAsia="黑体" w:cs="Times New Roman"/>
              <w:sz w:val="28"/>
              <w:szCs w:val="22"/>
              <w:lang w:val="en-US" w:eastAsia="zh-CN" w:bidi="ar-SA"/>
            </w:rPr>
            <w:fldChar w:fldCharType="end"/>
          </w:r>
        </w:p>
        <w:p w14:paraId="731BD3E5">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_Toc31869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第一节 </w:t>
          </w:r>
          <w:r>
            <w:rPr>
              <w:rFonts w:hint="default" w:ascii="Times New Roman" w:hAnsi="Times New Roman" w:eastAsia="仿宋_GB2312" w:cs="Times New Roman"/>
              <w:b w:val="0"/>
              <w:bCs w:val="0"/>
              <w:color w:val="auto"/>
              <w:kern w:val="2"/>
              <w:sz w:val="28"/>
              <w:szCs w:val="28"/>
              <w:highlight w:val="none"/>
              <w:lang w:val="en-US" w:eastAsia="zh-CN" w:bidi="ar-SA"/>
            </w:rPr>
            <w:t>构建生态保护格局</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_Toc31869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32</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3FC48AC7">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_Toc4385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第二节 </w:t>
          </w:r>
          <w:r>
            <w:rPr>
              <w:rFonts w:hint="default" w:ascii="Times New Roman" w:hAnsi="Times New Roman" w:eastAsia="仿宋_GB2312" w:cs="Times New Roman"/>
              <w:b w:val="0"/>
              <w:bCs w:val="0"/>
              <w:color w:val="auto"/>
              <w:kern w:val="2"/>
              <w:sz w:val="28"/>
              <w:szCs w:val="28"/>
              <w:highlight w:val="none"/>
              <w:lang w:val="en-US" w:eastAsia="zh-CN" w:bidi="ar-SA"/>
            </w:rPr>
            <w:t>提升生态系统质量</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_Toc4385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32</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507B8E03">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_Toc16851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第三节 </w:t>
          </w:r>
          <w:r>
            <w:rPr>
              <w:rFonts w:hint="default" w:ascii="Times New Roman" w:hAnsi="Times New Roman" w:eastAsia="仿宋_GB2312" w:cs="Times New Roman"/>
              <w:b w:val="0"/>
              <w:bCs w:val="0"/>
              <w:color w:val="auto"/>
              <w:kern w:val="2"/>
              <w:sz w:val="28"/>
              <w:szCs w:val="28"/>
              <w:highlight w:val="none"/>
              <w:lang w:val="en-US" w:eastAsia="zh-CN" w:bidi="ar-SA"/>
            </w:rPr>
            <w:t>分类推进生态资源保护与利用</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_Toc16851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33</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6A87A9BF">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_Toc26195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第四节 </w:t>
          </w:r>
          <w:r>
            <w:rPr>
              <w:rFonts w:hint="default" w:ascii="Times New Roman" w:hAnsi="Times New Roman" w:eastAsia="仿宋_GB2312" w:cs="Times New Roman"/>
              <w:b w:val="0"/>
              <w:bCs w:val="0"/>
              <w:color w:val="auto"/>
              <w:kern w:val="2"/>
              <w:sz w:val="28"/>
              <w:szCs w:val="28"/>
              <w:highlight w:val="none"/>
              <w:lang w:val="en-US" w:eastAsia="zh-CN" w:bidi="ar-SA"/>
            </w:rPr>
            <w:t>推进山水林田湖草沙系统修复</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_Toc26195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36</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3C2D9B5A">
          <w:pPr>
            <w:pStyle w:val="15"/>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HYPERLINK \l _Toc3518 </w:instrText>
          </w:r>
          <w:r>
            <w:rPr>
              <w:rFonts w:hint="default" w:ascii="Times New Roman" w:hAnsi="Times New Roman" w:eastAsia="黑体" w:cs="Times New Roman"/>
              <w:sz w:val="28"/>
              <w:szCs w:val="22"/>
              <w:lang w:val="en-US" w:eastAsia="zh-CN" w:bidi="ar-SA"/>
            </w:rPr>
            <w:fldChar w:fldCharType="separate"/>
          </w:r>
          <w:r>
            <w:rPr>
              <w:rFonts w:hint="eastAsia" w:ascii="Times New Roman" w:hAnsi="Times New Roman" w:eastAsia="黑体" w:cs="Times New Roman"/>
              <w:sz w:val="28"/>
              <w:szCs w:val="22"/>
              <w:lang w:val="en-US" w:eastAsia="zh-CN" w:bidi="ar-SA"/>
            </w:rPr>
            <w:t xml:space="preserve">第六章 </w:t>
          </w:r>
          <w:r>
            <w:rPr>
              <w:rFonts w:hint="default" w:ascii="Times New Roman" w:hAnsi="Times New Roman" w:eastAsia="黑体" w:cs="Times New Roman"/>
              <w:sz w:val="28"/>
              <w:szCs w:val="22"/>
              <w:lang w:val="en-US" w:eastAsia="zh-CN" w:bidi="ar-SA"/>
            </w:rPr>
            <w:t>建设宜居宜业城镇空间</w:t>
          </w:r>
          <w:r>
            <w:rPr>
              <w:rFonts w:hint="default" w:ascii="Times New Roman" w:hAnsi="Times New Roman" w:eastAsia="黑体" w:cs="Times New Roman"/>
              <w:sz w:val="28"/>
              <w:szCs w:val="22"/>
              <w:lang w:val="en-US" w:eastAsia="zh-CN" w:bidi="ar-SA"/>
            </w:rPr>
            <w:tab/>
          </w: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PAGEREF _Toc3518 \h </w:instrText>
          </w:r>
          <w:r>
            <w:rPr>
              <w:rFonts w:hint="default" w:ascii="Times New Roman" w:hAnsi="Times New Roman" w:eastAsia="黑体" w:cs="Times New Roman"/>
              <w:sz w:val="28"/>
              <w:szCs w:val="22"/>
              <w:lang w:val="en-US" w:eastAsia="zh-CN" w:bidi="ar-SA"/>
            </w:rPr>
            <w:fldChar w:fldCharType="separate"/>
          </w:r>
          <w:r>
            <w:rPr>
              <w:rFonts w:hint="default" w:ascii="Times New Roman" w:hAnsi="Times New Roman" w:eastAsia="黑体" w:cs="Times New Roman"/>
              <w:sz w:val="28"/>
              <w:szCs w:val="22"/>
              <w:lang w:val="en-US" w:eastAsia="zh-CN" w:bidi="ar-SA"/>
            </w:rPr>
            <w:t>39</w:t>
          </w:r>
          <w:r>
            <w:rPr>
              <w:rFonts w:hint="default" w:ascii="Times New Roman" w:hAnsi="Times New Roman" w:eastAsia="黑体" w:cs="Times New Roman"/>
              <w:sz w:val="28"/>
              <w:szCs w:val="22"/>
              <w:lang w:val="en-US" w:eastAsia="zh-CN" w:bidi="ar-SA"/>
            </w:rPr>
            <w:fldChar w:fldCharType="end"/>
          </w:r>
          <w:r>
            <w:rPr>
              <w:rFonts w:hint="default" w:ascii="Times New Roman" w:hAnsi="Times New Roman" w:eastAsia="黑体" w:cs="Times New Roman"/>
              <w:sz w:val="28"/>
              <w:szCs w:val="22"/>
              <w:lang w:val="en-US" w:eastAsia="zh-CN" w:bidi="ar-SA"/>
            </w:rPr>
            <w:fldChar w:fldCharType="end"/>
          </w:r>
        </w:p>
        <w:p w14:paraId="240974FF">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_Toc28326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第一节 优化</w:t>
          </w:r>
          <w:r>
            <w:rPr>
              <w:rFonts w:hint="default" w:ascii="Times New Roman" w:hAnsi="Times New Roman" w:eastAsia="仿宋_GB2312" w:cs="Times New Roman"/>
              <w:b w:val="0"/>
              <w:bCs w:val="0"/>
              <w:color w:val="auto"/>
              <w:kern w:val="2"/>
              <w:sz w:val="28"/>
              <w:szCs w:val="28"/>
              <w:highlight w:val="none"/>
              <w:lang w:val="en-US" w:eastAsia="zh-CN" w:bidi="ar-SA"/>
            </w:rPr>
            <w:t>城镇空间开发格局</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_Toc28326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39</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15739F66">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_Toc17569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第二节 </w:t>
          </w:r>
          <w:r>
            <w:rPr>
              <w:rFonts w:hint="default" w:ascii="Times New Roman" w:hAnsi="Times New Roman" w:eastAsia="仿宋_GB2312" w:cs="Times New Roman"/>
              <w:b w:val="0"/>
              <w:bCs w:val="0"/>
              <w:color w:val="auto"/>
              <w:kern w:val="2"/>
              <w:sz w:val="28"/>
              <w:szCs w:val="28"/>
              <w:highlight w:val="none"/>
              <w:lang w:val="en-US" w:eastAsia="zh-CN" w:bidi="ar-SA"/>
            </w:rPr>
            <w:t>统筹多级城镇协调发展</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_Toc17569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40</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2DC2DE80">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_Toc7689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第三节 </w:t>
          </w:r>
          <w:r>
            <w:rPr>
              <w:rFonts w:hint="default" w:ascii="Times New Roman" w:hAnsi="Times New Roman" w:eastAsia="仿宋_GB2312" w:cs="Times New Roman"/>
              <w:b w:val="0"/>
              <w:bCs w:val="0"/>
              <w:color w:val="auto"/>
              <w:kern w:val="2"/>
              <w:sz w:val="28"/>
              <w:szCs w:val="28"/>
              <w:highlight w:val="none"/>
              <w:lang w:val="en-US" w:eastAsia="zh-CN" w:bidi="ar-SA"/>
            </w:rPr>
            <w:t>优化产业空间布局</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_Toc7689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41</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45A7B9FC">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_Toc28537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第四节 </w:t>
          </w:r>
          <w:r>
            <w:rPr>
              <w:rFonts w:hint="default" w:ascii="Times New Roman" w:hAnsi="Times New Roman" w:eastAsia="仿宋_GB2312" w:cs="Times New Roman"/>
              <w:b w:val="0"/>
              <w:bCs w:val="0"/>
              <w:color w:val="auto"/>
              <w:kern w:val="2"/>
              <w:sz w:val="28"/>
              <w:szCs w:val="28"/>
              <w:highlight w:val="none"/>
              <w:lang w:val="en-US" w:eastAsia="zh-CN" w:bidi="ar-SA"/>
            </w:rPr>
            <w:t>完善公共服务</w:t>
          </w:r>
          <w:r>
            <w:rPr>
              <w:rFonts w:hint="eastAsia" w:ascii="Times New Roman" w:hAnsi="Times New Roman" w:eastAsia="仿宋_GB2312" w:cs="Times New Roman"/>
              <w:b w:val="0"/>
              <w:bCs w:val="0"/>
              <w:color w:val="auto"/>
              <w:kern w:val="2"/>
              <w:sz w:val="28"/>
              <w:szCs w:val="28"/>
              <w:highlight w:val="none"/>
              <w:lang w:val="en-US" w:eastAsia="zh-CN" w:bidi="ar-SA"/>
            </w:rPr>
            <w:t>设施</w:t>
          </w:r>
          <w:r>
            <w:rPr>
              <w:rFonts w:hint="default" w:ascii="Times New Roman" w:hAnsi="Times New Roman" w:eastAsia="仿宋_GB2312" w:cs="Times New Roman"/>
              <w:b w:val="0"/>
              <w:bCs w:val="0"/>
              <w:color w:val="auto"/>
              <w:kern w:val="2"/>
              <w:sz w:val="28"/>
              <w:szCs w:val="28"/>
              <w:highlight w:val="none"/>
              <w:lang w:val="en-US" w:eastAsia="zh-CN" w:bidi="ar-SA"/>
            </w:rPr>
            <w:t>体系</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_Toc28537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44</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54E4F6FF">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_Toc21283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第五节 </w:t>
          </w:r>
          <w:r>
            <w:rPr>
              <w:rFonts w:hint="default" w:ascii="Times New Roman" w:hAnsi="Times New Roman" w:eastAsia="仿宋_GB2312" w:cs="Times New Roman"/>
              <w:b w:val="0"/>
              <w:bCs w:val="0"/>
              <w:color w:val="auto"/>
              <w:kern w:val="2"/>
              <w:sz w:val="28"/>
              <w:szCs w:val="28"/>
              <w:highlight w:val="none"/>
              <w:lang w:val="en-US" w:eastAsia="zh-CN" w:bidi="ar-SA"/>
            </w:rPr>
            <w:t>推进</w:t>
          </w:r>
          <w:r>
            <w:rPr>
              <w:rFonts w:hint="eastAsia" w:ascii="Times New Roman" w:hAnsi="Times New Roman" w:eastAsia="仿宋_GB2312" w:cs="Times New Roman"/>
              <w:b w:val="0"/>
              <w:bCs w:val="0"/>
              <w:color w:val="auto"/>
              <w:kern w:val="2"/>
              <w:sz w:val="28"/>
              <w:szCs w:val="28"/>
              <w:highlight w:val="none"/>
              <w:lang w:val="en-US" w:eastAsia="zh-CN" w:bidi="ar-SA"/>
            </w:rPr>
            <w:t>城镇</w:t>
          </w:r>
          <w:r>
            <w:rPr>
              <w:rFonts w:hint="default" w:ascii="Times New Roman" w:hAnsi="Times New Roman" w:eastAsia="仿宋_GB2312" w:cs="Times New Roman"/>
              <w:b w:val="0"/>
              <w:bCs w:val="0"/>
              <w:color w:val="auto"/>
              <w:kern w:val="2"/>
              <w:sz w:val="28"/>
              <w:szCs w:val="28"/>
              <w:highlight w:val="none"/>
              <w:lang w:val="en-US" w:eastAsia="zh-CN" w:bidi="ar-SA"/>
            </w:rPr>
            <w:t>用地节约集约利用</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_Toc21283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46</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06281DAD">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jc w:val="both"/>
            <w:textAlignment w:val="auto"/>
            <w:rPr>
              <w:rFonts w:hint="default" w:ascii="Times New Roman" w:hAnsi="Times New Roman" w:eastAsia="黑体" w:cs="Times New Roman"/>
              <w:sz w:val="28"/>
              <w:szCs w:val="22"/>
              <w:lang w:val="en-US" w:eastAsia="zh-CN" w:bidi="ar-SA"/>
            </w:rPr>
          </w:pP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HYPERLINK \l _Toc3431 </w:instrText>
          </w:r>
          <w:r>
            <w:rPr>
              <w:rFonts w:hint="default" w:ascii="Times New Roman" w:hAnsi="Times New Roman" w:eastAsia="黑体" w:cs="Times New Roman"/>
              <w:sz w:val="28"/>
              <w:szCs w:val="22"/>
              <w:lang w:val="en-US" w:eastAsia="zh-CN" w:bidi="ar-SA"/>
            </w:rPr>
            <w:fldChar w:fldCharType="separate"/>
          </w:r>
          <w:r>
            <w:rPr>
              <w:rFonts w:hint="eastAsia" w:ascii="Times New Roman" w:hAnsi="Times New Roman" w:eastAsia="黑体" w:cs="Times New Roman"/>
              <w:sz w:val="28"/>
              <w:szCs w:val="22"/>
              <w:lang w:val="en-US" w:eastAsia="zh-CN" w:bidi="ar-SA"/>
            </w:rPr>
            <w:t>第七章 建设</w:t>
          </w:r>
          <w:r>
            <w:rPr>
              <w:rFonts w:hint="default" w:ascii="Times New Roman" w:hAnsi="Times New Roman" w:eastAsia="黑体" w:cs="Times New Roman"/>
              <w:sz w:val="28"/>
              <w:szCs w:val="22"/>
              <w:lang w:val="en-US" w:eastAsia="zh-CN" w:bidi="ar-SA"/>
            </w:rPr>
            <w:t>高品质中心城镇</w:t>
          </w:r>
          <w:r>
            <w:rPr>
              <w:rFonts w:hint="default" w:ascii="Times New Roman" w:hAnsi="Times New Roman" w:eastAsia="黑体" w:cs="Times New Roman"/>
              <w:sz w:val="28"/>
              <w:szCs w:val="22"/>
              <w:lang w:val="en-US" w:eastAsia="zh-CN" w:bidi="ar-SA"/>
            </w:rPr>
            <w:tab/>
          </w: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PAGEREF _Toc3431 \h </w:instrText>
          </w:r>
          <w:r>
            <w:rPr>
              <w:rFonts w:hint="default" w:ascii="Times New Roman" w:hAnsi="Times New Roman" w:eastAsia="黑体" w:cs="Times New Roman"/>
              <w:sz w:val="28"/>
              <w:szCs w:val="22"/>
              <w:lang w:val="en-US" w:eastAsia="zh-CN" w:bidi="ar-SA"/>
            </w:rPr>
            <w:fldChar w:fldCharType="separate"/>
          </w:r>
          <w:r>
            <w:rPr>
              <w:rFonts w:hint="default" w:ascii="Times New Roman" w:hAnsi="Times New Roman" w:eastAsia="黑体" w:cs="Times New Roman"/>
              <w:sz w:val="28"/>
              <w:szCs w:val="22"/>
              <w:lang w:val="en-US" w:eastAsia="zh-CN" w:bidi="ar-SA"/>
            </w:rPr>
            <w:t>48</w:t>
          </w:r>
          <w:r>
            <w:rPr>
              <w:rFonts w:hint="default" w:ascii="Times New Roman" w:hAnsi="Times New Roman" w:eastAsia="黑体" w:cs="Times New Roman"/>
              <w:sz w:val="28"/>
              <w:szCs w:val="22"/>
              <w:lang w:val="en-US" w:eastAsia="zh-CN" w:bidi="ar-SA"/>
            </w:rPr>
            <w:fldChar w:fldCharType="end"/>
          </w:r>
          <w:r>
            <w:rPr>
              <w:rFonts w:hint="default" w:ascii="Times New Roman" w:hAnsi="Times New Roman" w:eastAsia="黑体" w:cs="Times New Roman"/>
              <w:sz w:val="28"/>
              <w:szCs w:val="22"/>
              <w:lang w:val="en-US" w:eastAsia="zh-CN" w:bidi="ar-SA"/>
            </w:rPr>
            <w:fldChar w:fldCharType="end"/>
          </w:r>
        </w:p>
        <w:p w14:paraId="4A0174C2">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_Toc10049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第一节 中心城镇</w:t>
          </w:r>
          <w:r>
            <w:rPr>
              <w:rFonts w:hint="default" w:ascii="Times New Roman" w:hAnsi="Times New Roman" w:eastAsia="仿宋_GB2312" w:cs="Times New Roman"/>
              <w:b w:val="0"/>
              <w:bCs w:val="0"/>
              <w:color w:val="auto"/>
              <w:kern w:val="2"/>
              <w:sz w:val="28"/>
              <w:szCs w:val="28"/>
              <w:highlight w:val="none"/>
              <w:lang w:val="en-US" w:eastAsia="zh-CN" w:bidi="ar-SA"/>
            </w:rPr>
            <w:t>范围</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_Toc10049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48</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183FC1A7">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_Toc22131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第二节 </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_Toc22131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48</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0AED1A52">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_Toc3729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第三节 </w:t>
          </w:r>
          <w:r>
            <w:rPr>
              <w:rFonts w:hint="default" w:ascii="Times New Roman" w:hAnsi="Times New Roman" w:eastAsia="仿宋_GB2312" w:cs="Times New Roman"/>
              <w:b w:val="0"/>
              <w:bCs w:val="0"/>
              <w:color w:val="auto"/>
              <w:kern w:val="2"/>
              <w:sz w:val="28"/>
              <w:szCs w:val="28"/>
              <w:highlight w:val="none"/>
              <w:lang w:val="en-US" w:eastAsia="zh-CN" w:bidi="ar-SA"/>
            </w:rPr>
            <w:t>优化空间结构和功能布局</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_Toc3729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48</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6A94F295">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_Toc8519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第四节 完善</w:t>
          </w:r>
          <w:r>
            <w:rPr>
              <w:rFonts w:hint="default" w:ascii="Times New Roman" w:hAnsi="Times New Roman" w:eastAsia="仿宋_GB2312" w:cs="Times New Roman"/>
              <w:b w:val="0"/>
              <w:bCs w:val="0"/>
              <w:color w:val="auto"/>
              <w:kern w:val="2"/>
              <w:sz w:val="28"/>
              <w:szCs w:val="28"/>
              <w:highlight w:val="none"/>
              <w:lang w:val="en-US" w:eastAsia="zh-CN" w:bidi="ar-SA"/>
            </w:rPr>
            <w:t>住房保障</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_Toc8519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50</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3317B9B6">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_Toc21348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第五节 保障</w:t>
          </w:r>
          <w:r>
            <w:rPr>
              <w:rFonts w:hint="default" w:ascii="Times New Roman" w:hAnsi="Times New Roman" w:eastAsia="仿宋_GB2312" w:cs="Times New Roman"/>
              <w:b w:val="0"/>
              <w:bCs w:val="0"/>
              <w:color w:val="auto"/>
              <w:kern w:val="2"/>
              <w:sz w:val="28"/>
              <w:szCs w:val="28"/>
              <w:highlight w:val="none"/>
              <w:lang w:val="en-US" w:eastAsia="zh-CN" w:bidi="ar-SA"/>
            </w:rPr>
            <w:t>公共服务设施</w:t>
          </w:r>
          <w:r>
            <w:rPr>
              <w:rFonts w:hint="eastAsia" w:ascii="Times New Roman" w:hAnsi="Times New Roman" w:eastAsia="仿宋_GB2312" w:cs="Times New Roman"/>
              <w:b w:val="0"/>
              <w:bCs w:val="0"/>
              <w:color w:val="auto"/>
              <w:kern w:val="2"/>
              <w:sz w:val="28"/>
              <w:szCs w:val="28"/>
              <w:highlight w:val="none"/>
              <w:lang w:val="en-US" w:eastAsia="zh-CN" w:bidi="ar-SA"/>
            </w:rPr>
            <w:t>建设</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_Toc21348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50</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60B958AB">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_Toc27647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第六节 优化</w:t>
          </w:r>
          <w:r>
            <w:rPr>
              <w:rFonts w:hint="default" w:ascii="Times New Roman" w:hAnsi="Times New Roman" w:eastAsia="仿宋_GB2312" w:cs="Times New Roman"/>
              <w:b w:val="0"/>
              <w:bCs w:val="0"/>
              <w:color w:val="auto"/>
              <w:kern w:val="2"/>
              <w:sz w:val="28"/>
              <w:szCs w:val="28"/>
              <w:highlight w:val="none"/>
              <w:lang w:val="en-US" w:eastAsia="zh-CN" w:bidi="ar-SA"/>
            </w:rPr>
            <w:t>公共绿地与开敞空间</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_Toc27647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53</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4F916481">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_Toc3147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第七节 构建</w:t>
          </w:r>
          <w:r>
            <w:rPr>
              <w:rFonts w:hint="default" w:ascii="Times New Roman" w:hAnsi="Times New Roman" w:eastAsia="仿宋_GB2312" w:cs="Times New Roman"/>
              <w:b w:val="0"/>
              <w:bCs w:val="0"/>
              <w:color w:val="auto"/>
              <w:kern w:val="2"/>
              <w:sz w:val="28"/>
              <w:szCs w:val="28"/>
              <w:highlight w:val="none"/>
              <w:lang w:val="en-US" w:eastAsia="zh-CN" w:bidi="ar-SA"/>
            </w:rPr>
            <w:t>综合交通</w:t>
          </w:r>
          <w:r>
            <w:rPr>
              <w:rFonts w:hint="eastAsia" w:ascii="Times New Roman" w:hAnsi="Times New Roman" w:eastAsia="仿宋_GB2312" w:cs="Times New Roman"/>
              <w:b w:val="0"/>
              <w:bCs w:val="0"/>
              <w:color w:val="auto"/>
              <w:kern w:val="2"/>
              <w:sz w:val="28"/>
              <w:szCs w:val="28"/>
              <w:highlight w:val="none"/>
              <w:lang w:val="en-US" w:eastAsia="zh-CN" w:bidi="ar-SA"/>
            </w:rPr>
            <w:t>体系</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_Toc3147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53</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7860FB9E">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_Toc18495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第八节 完善</w:t>
          </w:r>
          <w:r>
            <w:rPr>
              <w:rFonts w:hint="default" w:ascii="Times New Roman" w:hAnsi="Times New Roman" w:eastAsia="仿宋_GB2312" w:cs="Times New Roman"/>
              <w:b w:val="0"/>
              <w:bCs w:val="0"/>
              <w:color w:val="auto"/>
              <w:kern w:val="2"/>
              <w:sz w:val="28"/>
              <w:szCs w:val="28"/>
              <w:highlight w:val="none"/>
              <w:lang w:val="en-US" w:eastAsia="zh-CN" w:bidi="ar-SA"/>
            </w:rPr>
            <w:t>市政</w:t>
          </w:r>
          <w:r>
            <w:rPr>
              <w:rFonts w:hint="eastAsia" w:ascii="Times New Roman" w:hAnsi="Times New Roman" w:eastAsia="仿宋_GB2312" w:cs="Times New Roman"/>
              <w:b w:val="0"/>
              <w:bCs w:val="0"/>
              <w:color w:val="auto"/>
              <w:kern w:val="2"/>
              <w:sz w:val="28"/>
              <w:szCs w:val="28"/>
              <w:highlight w:val="none"/>
              <w:lang w:val="en-US" w:eastAsia="zh-CN" w:bidi="ar-SA"/>
            </w:rPr>
            <w:t>公用</w:t>
          </w:r>
          <w:r>
            <w:rPr>
              <w:rFonts w:hint="default" w:ascii="Times New Roman" w:hAnsi="Times New Roman" w:eastAsia="仿宋_GB2312" w:cs="Times New Roman"/>
              <w:b w:val="0"/>
              <w:bCs w:val="0"/>
              <w:color w:val="auto"/>
              <w:kern w:val="2"/>
              <w:sz w:val="28"/>
              <w:szCs w:val="28"/>
              <w:highlight w:val="none"/>
              <w:lang w:val="en-US" w:eastAsia="zh-CN" w:bidi="ar-SA"/>
            </w:rPr>
            <w:t>设施</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_Toc18495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54</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0D681917">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_Toc27721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第九节 塑造景观风貌与</w:t>
          </w:r>
          <w:r>
            <w:rPr>
              <w:rFonts w:hint="default" w:ascii="Times New Roman" w:hAnsi="Times New Roman" w:eastAsia="仿宋_GB2312" w:cs="Times New Roman"/>
              <w:b w:val="0"/>
              <w:bCs w:val="0"/>
              <w:color w:val="auto"/>
              <w:kern w:val="2"/>
              <w:sz w:val="28"/>
              <w:szCs w:val="28"/>
              <w:highlight w:val="none"/>
              <w:lang w:val="en-US" w:eastAsia="zh-CN" w:bidi="ar-SA"/>
            </w:rPr>
            <w:t>城市设计</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_Toc27721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57</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7BF66CB0">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_Toc11564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第十节 </w:t>
          </w:r>
          <w:r>
            <w:rPr>
              <w:rFonts w:hint="default" w:ascii="Times New Roman" w:hAnsi="Times New Roman" w:eastAsia="仿宋_GB2312" w:cs="Times New Roman"/>
              <w:b w:val="0"/>
              <w:bCs w:val="0"/>
              <w:color w:val="auto"/>
              <w:kern w:val="2"/>
              <w:sz w:val="28"/>
              <w:szCs w:val="28"/>
              <w:highlight w:val="none"/>
              <w:lang w:val="en-US" w:eastAsia="zh-CN" w:bidi="ar-SA"/>
            </w:rPr>
            <w:t>公共安全与综合防灾</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_Toc11564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60</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2FC1599E">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_Toc1394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第十一节 实施</w:t>
          </w:r>
          <w:r>
            <w:rPr>
              <w:rFonts w:hint="default" w:ascii="Times New Roman" w:hAnsi="Times New Roman" w:eastAsia="仿宋_GB2312" w:cs="Times New Roman"/>
              <w:b w:val="0"/>
              <w:bCs w:val="0"/>
              <w:color w:val="auto"/>
              <w:kern w:val="2"/>
              <w:sz w:val="28"/>
              <w:szCs w:val="28"/>
              <w:highlight w:val="none"/>
              <w:lang w:val="en-US" w:eastAsia="zh-CN" w:bidi="ar-SA"/>
            </w:rPr>
            <w:t>城市更新</w:t>
          </w:r>
          <w:r>
            <w:rPr>
              <w:rFonts w:hint="eastAsia" w:ascii="Times New Roman" w:hAnsi="Times New Roman" w:eastAsia="仿宋_GB2312" w:cs="Times New Roman"/>
              <w:b w:val="0"/>
              <w:bCs w:val="0"/>
              <w:color w:val="auto"/>
              <w:kern w:val="2"/>
              <w:sz w:val="28"/>
              <w:szCs w:val="28"/>
              <w:highlight w:val="none"/>
              <w:lang w:val="en-US" w:eastAsia="zh-CN" w:bidi="ar-SA"/>
            </w:rPr>
            <w:t>改造</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_Toc1394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64</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2BB15CA9">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_Toc1533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第十二节 分层利用</w:t>
          </w:r>
          <w:r>
            <w:rPr>
              <w:rFonts w:hint="default" w:ascii="Times New Roman" w:hAnsi="Times New Roman" w:eastAsia="仿宋_GB2312" w:cs="Times New Roman"/>
              <w:b w:val="0"/>
              <w:bCs w:val="0"/>
              <w:color w:val="auto"/>
              <w:kern w:val="2"/>
              <w:sz w:val="28"/>
              <w:szCs w:val="28"/>
              <w:highlight w:val="none"/>
              <w:lang w:val="en-US" w:eastAsia="zh-CN" w:bidi="ar-SA"/>
            </w:rPr>
            <w:t>地下空间开发</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_Toc1533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66</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391802B4">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_Toc6579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第十三节 严格“</w:t>
          </w:r>
          <w:r>
            <w:rPr>
              <w:rFonts w:hint="default" w:ascii="Times New Roman" w:hAnsi="Times New Roman" w:eastAsia="仿宋_GB2312" w:cs="Times New Roman"/>
              <w:b w:val="0"/>
              <w:bCs w:val="0"/>
              <w:color w:val="auto"/>
              <w:kern w:val="2"/>
              <w:sz w:val="28"/>
              <w:szCs w:val="28"/>
              <w:highlight w:val="none"/>
              <w:lang w:val="en-US" w:eastAsia="zh-CN" w:bidi="ar-SA"/>
            </w:rPr>
            <w:t>四线</w:t>
          </w:r>
          <w:r>
            <w:rPr>
              <w:rFonts w:hint="eastAsia" w:ascii="Times New Roman" w:hAnsi="Times New Roman" w:eastAsia="仿宋_GB2312" w:cs="Times New Roman"/>
              <w:b w:val="0"/>
              <w:bCs w:val="0"/>
              <w:color w:val="auto"/>
              <w:kern w:val="2"/>
              <w:sz w:val="28"/>
              <w:szCs w:val="28"/>
              <w:highlight w:val="none"/>
              <w:lang w:val="en-US" w:eastAsia="zh-CN" w:bidi="ar-SA"/>
            </w:rPr>
            <w:t>”</w:t>
          </w:r>
          <w:r>
            <w:rPr>
              <w:rFonts w:hint="default" w:ascii="Times New Roman" w:hAnsi="Times New Roman" w:eastAsia="仿宋_GB2312" w:cs="Times New Roman"/>
              <w:b w:val="0"/>
              <w:bCs w:val="0"/>
              <w:color w:val="auto"/>
              <w:kern w:val="2"/>
              <w:sz w:val="28"/>
              <w:szCs w:val="28"/>
              <w:highlight w:val="none"/>
              <w:lang w:val="en-US" w:eastAsia="zh-CN" w:bidi="ar-SA"/>
            </w:rPr>
            <w:t>管控</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_Toc6579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67</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384DE97C">
          <w:pPr>
            <w:pStyle w:val="15"/>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HYPERLINK \l _Toc19005 </w:instrText>
          </w:r>
          <w:r>
            <w:rPr>
              <w:rFonts w:hint="default" w:ascii="Times New Roman" w:hAnsi="Times New Roman" w:eastAsia="黑体" w:cs="Times New Roman"/>
              <w:sz w:val="28"/>
              <w:szCs w:val="22"/>
              <w:lang w:val="en-US" w:eastAsia="zh-CN" w:bidi="ar-SA"/>
            </w:rPr>
            <w:fldChar w:fldCharType="separate"/>
          </w:r>
          <w:r>
            <w:rPr>
              <w:rFonts w:hint="eastAsia" w:ascii="Times New Roman" w:hAnsi="Times New Roman" w:eastAsia="黑体" w:cs="Times New Roman"/>
              <w:sz w:val="28"/>
              <w:szCs w:val="22"/>
              <w:lang w:val="en-US" w:eastAsia="zh-CN" w:bidi="ar-SA"/>
            </w:rPr>
            <w:t xml:space="preserve">第八章 </w:t>
          </w:r>
          <w:r>
            <w:rPr>
              <w:rFonts w:hint="default" w:ascii="Times New Roman" w:hAnsi="Times New Roman" w:eastAsia="黑体" w:cs="Times New Roman"/>
              <w:sz w:val="28"/>
              <w:szCs w:val="22"/>
              <w:lang w:val="en-US" w:eastAsia="zh-CN" w:bidi="ar-SA"/>
            </w:rPr>
            <w:t>彰显滨水古城魅力空间</w:t>
          </w:r>
          <w:r>
            <w:rPr>
              <w:rFonts w:hint="default" w:ascii="Times New Roman" w:hAnsi="Times New Roman" w:eastAsia="黑体" w:cs="Times New Roman"/>
              <w:sz w:val="28"/>
              <w:szCs w:val="22"/>
              <w:lang w:val="en-US" w:eastAsia="zh-CN" w:bidi="ar-SA"/>
            </w:rPr>
            <w:tab/>
          </w: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PAGEREF _Toc19005 \h </w:instrText>
          </w:r>
          <w:r>
            <w:rPr>
              <w:rFonts w:hint="default" w:ascii="Times New Roman" w:hAnsi="Times New Roman" w:eastAsia="黑体" w:cs="Times New Roman"/>
              <w:sz w:val="28"/>
              <w:szCs w:val="22"/>
              <w:lang w:val="en-US" w:eastAsia="zh-CN" w:bidi="ar-SA"/>
            </w:rPr>
            <w:fldChar w:fldCharType="separate"/>
          </w:r>
          <w:r>
            <w:rPr>
              <w:rFonts w:hint="default" w:ascii="Times New Roman" w:hAnsi="Times New Roman" w:eastAsia="黑体" w:cs="Times New Roman"/>
              <w:sz w:val="28"/>
              <w:szCs w:val="22"/>
              <w:lang w:val="en-US" w:eastAsia="zh-CN" w:bidi="ar-SA"/>
            </w:rPr>
            <w:t>71</w:t>
          </w:r>
          <w:r>
            <w:rPr>
              <w:rFonts w:hint="default" w:ascii="Times New Roman" w:hAnsi="Times New Roman" w:eastAsia="黑体" w:cs="Times New Roman"/>
              <w:sz w:val="28"/>
              <w:szCs w:val="22"/>
              <w:lang w:val="en-US" w:eastAsia="zh-CN" w:bidi="ar-SA"/>
            </w:rPr>
            <w:fldChar w:fldCharType="end"/>
          </w:r>
          <w:r>
            <w:rPr>
              <w:rFonts w:hint="default" w:ascii="Times New Roman" w:hAnsi="Times New Roman" w:eastAsia="黑体" w:cs="Times New Roman"/>
              <w:sz w:val="28"/>
              <w:szCs w:val="22"/>
              <w:lang w:val="en-US" w:eastAsia="zh-CN" w:bidi="ar-SA"/>
            </w:rPr>
            <w:fldChar w:fldCharType="end"/>
          </w:r>
        </w:p>
        <w:p w14:paraId="6080920C">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_Toc12944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第一节 </w:t>
          </w:r>
          <w:r>
            <w:rPr>
              <w:rFonts w:hint="default" w:ascii="Times New Roman" w:hAnsi="Times New Roman" w:eastAsia="仿宋_GB2312" w:cs="Times New Roman"/>
              <w:b w:val="0"/>
              <w:bCs w:val="0"/>
              <w:color w:val="auto"/>
              <w:kern w:val="2"/>
              <w:sz w:val="28"/>
              <w:szCs w:val="28"/>
              <w:highlight w:val="none"/>
              <w:lang w:val="en-US" w:eastAsia="zh-CN" w:bidi="ar-SA"/>
            </w:rPr>
            <w:t>系统保护历史文化遗产</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_Toc12944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71</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260EFC0C">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_Toc5365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第二节 </w:t>
          </w:r>
          <w:r>
            <w:rPr>
              <w:rFonts w:hint="default" w:ascii="Times New Roman" w:hAnsi="Times New Roman" w:eastAsia="仿宋_GB2312" w:cs="Times New Roman"/>
              <w:b w:val="0"/>
              <w:bCs w:val="0"/>
              <w:color w:val="auto"/>
              <w:kern w:val="2"/>
              <w:sz w:val="28"/>
              <w:szCs w:val="28"/>
              <w:highlight w:val="none"/>
              <w:lang w:val="en-US" w:eastAsia="zh-CN" w:bidi="ar-SA"/>
            </w:rPr>
            <w:t>塑造城乡</w:t>
          </w:r>
          <w:r>
            <w:rPr>
              <w:rFonts w:hint="eastAsia" w:ascii="Times New Roman" w:hAnsi="Times New Roman" w:eastAsia="仿宋_GB2312" w:cs="Times New Roman"/>
              <w:b w:val="0"/>
              <w:bCs w:val="0"/>
              <w:color w:val="auto"/>
              <w:kern w:val="2"/>
              <w:sz w:val="28"/>
              <w:szCs w:val="28"/>
              <w:highlight w:val="none"/>
              <w:lang w:val="en-US" w:eastAsia="zh-CN" w:bidi="ar-SA"/>
            </w:rPr>
            <w:t>特色</w:t>
          </w:r>
          <w:r>
            <w:rPr>
              <w:rFonts w:hint="default" w:ascii="Times New Roman" w:hAnsi="Times New Roman" w:eastAsia="仿宋_GB2312" w:cs="Times New Roman"/>
              <w:b w:val="0"/>
              <w:bCs w:val="0"/>
              <w:color w:val="auto"/>
              <w:kern w:val="2"/>
              <w:sz w:val="28"/>
              <w:szCs w:val="28"/>
              <w:highlight w:val="none"/>
              <w:lang w:val="en-US" w:eastAsia="zh-CN" w:bidi="ar-SA"/>
            </w:rPr>
            <w:t>风貌</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_Toc5365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72</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072D5763">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_Toc16411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第三节 </w:t>
          </w:r>
          <w:r>
            <w:rPr>
              <w:rFonts w:hint="default" w:ascii="Times New Roman" w:hAnsi="Times New Roman" w:eastAsia="仿宋_GB2312" w:cs="Times New Roman"/>
              <w:b w:val="0"/>
              <w:bCs w:val="0"/>
              <w:color w:val="auto"/>
              <w:kern w:val="2"/>
              <w:sz w:val="28"/>
              <w:szCs w:val="28"/>
              <w:highlight w:val="none"/>
              <w:lang w:val="en-US" w:eastAsia="zh-CN" w:bidi="ar-SA"/>
            </w:rPr>
            <w:t>活化利用</w:t>
          </w:r>
          <w:r>
            <w:rPr>
              <w:rFonts w:hint="eastAsia" w:ascii="Times New Roman" w:hAnsi="Times New Roman" w:eastAsia="仿宋_GB2312" w:cs="Times New Roman"/>
              <w:b w:val="0"/>
              <w:bCs w:val="0"/>
              <w:color w:val="auto"/>
              <w:kern w:val="2"/>
              <w:sz w:val="28"/>
              <w:szCs w:val="28"/>
              <w:highlight w:val="none"/>
              <w:lang w:val="en-US" w:eastAsia="zh-CN" w:bidi="ar-SA"/>
            </w:rPr>
            <w:t>历史文化遗产</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_Toc16411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76</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0E9DA6A4">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_Toc6745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第四节 </w:t>
          </w:r>
          <w:r>
            <w:rPr>
              <w:rFonts w:hint="default" w:ascii="Times New Roman" w:hAnsi="Times New Roman" w:eastAsia="仿宋_GB2312" w:cs="Times New Roman"/>
              <w:b w:val="0"/>
              <w:bCs w:val="0"/>
              <w:color w:val="auto"/>
              <w:kern w:val="2"/>
              <w:sz w:val="28"/>
              <w:szCs w:val="28"/>
              <w:highlight w:val="none"/>
              <w:lang w:val="en-US" w:eastAsia="zh-CN" w:bidi="ar-SA"/>
            </w:rPr>
            <w:t>全域旅游发展</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_Toc6745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78</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1C4BF409">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jc w:val="both"/>
            <w:textAlignment w:val="auto"/>
            <w:rPr>
              <w:rFonts w:hint="default" w:ascii="Times New Roman" w:hAnsi="Times New Roman" w:eastAsia="黑体" w:cs="Times New Roman"/>
              <w:sz w:val="28"/>
              <w:szCs w:val="22"/>
              <w:lang w:val="en-US" w:eastAsia="zh-CN" w:bidi="ar-SA"/>
            </w:rPr>
          </w:pP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HYPERLINK \l _Toc16507 </w:instrText>
          </w:r>
          <w:r>
            <w:rPr>
              <w:rFonts w:hint="default" w:ascii="Times New Roman" w:hAnsi="Times New Roman" w:eastAsia="黑体" w:cs="Times New Roman"/>
              <w:sz w:val="28"/>
              <w:szCs w:val="22"/>
              <w:lang w:val="en-US" w:eastAsia="zh-CN" w:bidi="ar-SA"/>
            </w:rPr>
            <w:fldChar w:fldCharType="separate"/>
          </w:r>
          <w:r>
            <w:rPr>
              <w:rFonts w:hint="eastAsia" w:ascii="Times New Roman" w:hAnsi="Times New Roman" w:eastAsia="黑体" w:cs="Times New Roman"/>
              <w:sz w:val="28"/>
              <w:szCs w:val="22"/>
              <w:lang w:val="en-US" w:eastAsia="zh-CN" w:bidi="ar-SA"/>
            </w:rPr>
            <w:t>第九章 保障</w:t>
          </w:r>
          <w:r>
            <w:rPr>
              <w:rFonts w:hint="default" w:ascii="Times New Roman" w:hAnsi="Times New Roman" w:eastAsia="黑体" w:cs="Times New Roman"/>
              <w:sz w:val="28"/>
              <w:szCs w:val="22"/>
              <w:lang w:val="en-US" w:eastAsia="zh-CN" w:bidi="ar-SA"/>
            </w:rPr>
            <w:t>城乡设施支撑保障体系</w:t>
          </w:r>
          <w:r>
            <w:rPr>
              <w:rFonts w:hint="eastAsia" w:ascii="Times New Roman" w:hAnsi="Times New Roman" w:eastAsia="黑体" w:cs="Times New Roman"/>
              <w:sz w:val="28"/>
              <w:szCs w:val="22"/>
              <w:lang w:val="en-US" w:eastAsia="zh-CN" w:bidi="ar-SA"/>
            </w:rPr>
            <w:t>建设空间</w:t>
          </w:r>
          <w:r>
            <w:rPr>
              <w:rFonts w:hint="default" w:ascii="Times New Roman" w:hAnsi="Times New Roman" w:eastAsia="黑体" w:cs="Times New Roman"/>
              <w:sz w:val="28"/>
              <w:szCs w:val="22"/>
              <w:lang w:val="en-US" w:eastAsia="zh-CN" w:bidi="ar-SA"/>
            </w:rPr>
            <w:tab/>
          </w: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PAGEREF _Toc16507 \h </w:instrText>
          </w:r>
          <w:r>
            <w:rPr>
              <w:rFonts w:hint="default" w:ascii="Times New Roman" w:hAnsi="Times New Roman" w:eastAsia="黑体" w:cs="Times New Roman"/>
              <w:sz w:val="28"/>
              <w:szCs w:val="22"/>
              <w:lang w:val="en-US" w:eastAsia="zh-CN" w:bidi="ar-SA"/>
            </w:rPr>
            <w:fldChar w:fldCharType="separate"/>
          </w:r>
          <w:r>
            <w:rPr>
              <w:rFonts w:hint="default" w:ascii="Times New Roman" w:hAnsi="Times New Roman" w:eastAsia="黑体" w:cs="Times New Roman"/>
              <w:sz w:val="28"/>
              <w:szCs w:val="22"/>
              <w:lang w:val="en-US" w:eastAsia="zh-CN" w:bidi="ar-SA"/>
            </w:rPr>
            <w:t>80</w:t>
          </w:r>
          <w:r>
            <w:rPr>
              <w:rFonts w:hint="default" w:ascii="Times New Roman" w:hAnsi="Times New Roman" w:eastAsia="黑体" w:cs="Times New Roman"/>
              <w:sz w:val="28"/>
              <w:szCs w:val="22"/>
              <w:lang w:val="en-US" w:eastAsia="zh-CN" w:bidi="ar-SA"/>
            </w:rPr>
            <w:fldChar w:fldCharType="end"/>
          </w:r>
          <w:r>
            <w:rPr>
              <w:rFonts w:hint="default" w:ascii="Times New Roman" w:hAnsi="Times New Roman" w:eastAsia="黑体" w:cs="Times New Roman"/>
              <w:sz w:val="28"/>
              <w:szCs w:val="22"/>
              <w:lang w:val="en-US" w:eastAsia="zh-CN" w:bidi="ar-SA"/>
            </w:rPr>
            <w:fldChar w:fldCharType="end"/>
          </w:r>
        </w:p>
        <w:p w14:paraId="0C741FAA">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_Toc6064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第一节 统筹配置交通设施建设空间</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_Toc6064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80</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03877A41">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_Toc15536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第二节 </w:t>
          </w:r>
          <w:r>
            <w:rPr>
              <w:rFonts w:hint="default" w:ascii="Times New Roman" w:hAnsi="Times New Roman" w:eastAsia="仿宋_GB2312" w:cs="Times New Roman"/>
              <w:b w:val="0"/>
              <w:bCs w:val="0"/>
              <w:color w:val="auto"/>
              <w:kern w:val="2"/>
              <w:sz w:val="28"/>
              <w:szCs w:val="28"/>
              <w:highlight w:val="none"/>
              <w:lang w:val="en-US" w:eastAsia="zh-CN" w:bidi="ar-SA"/>
            </w:rPr>
            <w:t>科学布局矿产能源勘查开发空间</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_Toc15536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81</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2FA29CF7">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_Toc30596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第三节 优先支持</w:t>
          </w:r>
          <w:r>
            <w:rPr>
              <w:rFonts w:hint="default" w:ascii="Times New Roman" w:hAnsi="Times New Roman" w:eastAsia="仿宋_GB2312" w:cs="Times New Roman"/>
              <w:b w:val="0"/>
              <w:bCs w:val="0"/>
              <w:color w:val="auto"/>
              <w:kern w:val="2"/>
              <w:sz w:val="28"/>
              <w:szCs w:val="28"/>
              <w:highlight w:val="none"/>
              <w:lang w:val="en-US" w:eastAsia="zh-CN" w:bidi="ar-SA"/>
            </w:rPr>
            <w:t>市政设施</w:t>
          </w:r>
          <w:r>
            <w:rPr>
              <w:rFonts w:hint="eastAsia" w:ascii="Times New Roman" w:hAnsi="Times New Roman" w:eastAsia="仿宋_GB2312" w:cs="Times New Roman"/>
              <w:b w:val="0"/>
              <w:bCs w:val="0"/>
              <w:color w:val="auto"/>
              <w:kern w:val="2"/>
              <w:sz w:val="28"/>
              <w:szCs w:val="28"/>
              <w:highlight w:val="none"/>
              <w:lang w:val="en-US" w:eastAsia="zh-CN" w:bidi="ar-SA"/>
            </w:rPr>
            <w:t>建设空间</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_Toc30596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83</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0D017323">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_Toc3197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第四节 </w:t>
          </w:r>
          <w:r>
            <w:rPr>
              <w:rFonts w:hint="default" w:ascii="Times New Roman" w:hAnsi="Times New Roman" w:eastAsia="仿宋_GB2312" w:cs="Times New Roman"/>
              <w:b w:val="0"/>
              <w:bCs w:val="0"/>
              <w:color w:val="auto"/>
              <w:kern w:val="2"/>
              <w:sz w:val="28"/>
              <w:szCs w:val="28"/>
              <w:highlight w:val="none"/>
              <w:lang w:val="en-US" w:eastAsia="zh-CN" w:bidi="ar-SA"/>
            </w:rPr>
            <w:t>加强综合防灾设施建设空间保障</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_Toc3197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87</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41CD0E7A">
          <w:pPr>
            <w:pStyle w:val="15"/>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HYPERLINK \l _Toc29799 </w:instrText>
          </w:r>
          <w:r>
            <w:rPr>
              <w:rFonts w:hint="default" w:ascii="Times New Roman" w:hAnsi="Times New Roman" w:eastAsia="黑体" w:cs="Times New Roman"/>
              <w:sz w:val="28"/>
              <w:szCs w:val="22"/>
              <w:lang w:val="en-US" w:eastAsia="zh-CN" w:bidi="ar-SA"/>
            </w:rPr>
            <w:fldChar w:fldCharType="separate"/>
          </w:r>
          <w:r>
            <w:rPr>
              <w:rFonts w:hint="eastAsia" w:ascii="Times New Roman" w:hAnsi="Times New Roman" w:eastAsia="黑体" w:cs="Times New Roman"/>
              <w:sz w:val="28"/>
              <w:szCs w:val="22"/>
              <w:lang w:val="en-US" w:eastAsia="zh-CN" w:bidi="ar-SA"/>
            </w:rPr>
            <w:t xml:space="preserve">第十章 </w:t>
          </w:r>
          <w:r>
            <w:rPr>
              <w:rFonts w:hint="default" w:ascii="Times New Roman" w:hAnsi="Times New Roman" w:eastAsia="黑体" w:cs="Times New Roman"/>
              <w:sz w:val="28"/>
              <w:szCs w:val="22"/>
              <w:lang w:val="en-US" w:eastAsia="zh-CN" w:bidi="ar-SA"/>
            </w:rPr>
            <w:t>构建多向联动的区域发展格局</w:t>
          </w:r>
          <w:r>
            <w:rPr>
              <w:rFonts w:hint="default" w:ascii="Times New Roman" w:hAnsi="Times New Roman" w:eastAsia="黑体" w:cs="Times New Roman"/>
              <w:sz w:val="28"/>
              <w:szCs w:val="22"/>
              <w:lang w:val="en-US" w:eastAsia="zh-CN" w:bidi="ar-SA"/>
            </w:rPr>
            <w:tab/>
          </w: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PAGEREF _Toc29799 \h </w:instrText>
          </w:r>
          <w:r>
            <w:rPr>
              <w:rFonts w:hint="default" w:ascii="Times New Roman" w:hAnsi="Times New Roman" w:eastAsia="黑体" w:cs="Times New Roman"/>
              <w:sz w:val="28"/>
              <w:szCs w:val="22"/>
              <w:lang w:val="en-US" w:eastAsia="zh-CN" w:bidi="ar-SA"/>
            </w:rPr>
            <w:fldChar w:fldCharType="separate"/>
          </w:r>
          <w:r>
            <w:rPr>
              <w:rFonts w:hint="default" w:ascii="Times New Roman" w:hAnsi="Times New Roman" w:eastAsia="黑体" w:cs="Times New Roman"/>
              <w:sz w:val="28"/>
              <w:szCs w:val="22"/>
              <w:lang w:val="en-US" w:eastAsia="zh-CN" w:bidi="ar-SA"/>
            </w:rPr>
            <w:t>92</w:t>
          </w:r>
          <w:r>
            <w:rPr>
              <w:rFonts w:hint="default" w:ascii="Times New Roman" w:hAnsi="Times New Roman" w:eastAsia="黑体" w:cs="Times New Roman"/>
              <w:sz w:val="28"/>
              <w:szCs w:val="22"/>
              <w:lang w:val="en-US" w:eastAsia="zh-CN" w:bidi="ar-SA"/>
            </w:rPr>
            <w:fldChar w:fldCharType="end"/>
          </w:r>
          <w:r>
            <w:rPr>
              <w:rFonts w:hint="default" w:ascii="Times New Roman" w:hAnsi="Times New Roman" w:eastAsia="黑体" w:cs="Times New Roman"/>
              <w:sz w:val="28"/>
              <w:szCs w:val="22"/>
              <w:lang w:val="en-US" w:eastAsia="zh-CN" w:bidi="ar-SA"/>
            </w:rPr>
            <w:fldChar w:fldCharType="end"/>
          </w:r>
        </w:p>
        <w:p w14:paraId="2091FD4B">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_Toc8861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第一节 </w:t>
          </w:r>
          <w:r>
            <w:rPr>
              <w:rFonts w:hint="default" w:ascii="Times New Roman" w:hAnsi="Times New Roman" w:eastAsia="仿宋_GB2312" w:cs="Times New Roman"/>
              <w:b w:val="0"/>
              <w:bCs w:val="0"/>
              <w:color w:val="auto"/>
              <w:kern w:val="2"/>
              <w:sz w:val="28"/>
              <w:szCs w:val="28"/>
              <w:highlight w:val="none"/>
              <w:lang w:val="en-US" w:eastAsia="zh-CN" w:bidi="ar-SA"/>
            </w:rPr>
            <w:t>沿边合作，加快融入</w:t>
          </w:r>
          <w:r>
            <w:rPr>
              <w:rFonts w:hint="eastAsia" w:ascii="Times New Roman" w:hAnsi="Times New Roman" w:eastAsia="仿宋_GB2312" w:cs="Times New Roman"/>
              <w:b w:val="0"/>
              <w:bCs w:val="0"/>
              <w:color w:val="auto"/>
              <w:kern w:val="2"/>
              <w:sz w:val="28"/>
              <w:szCs w:val="28"/>
              <w:highlight w:val="none"/>
              <w:lang w:val="en-US" w:eastAsia="zh-CN" w:bidi="ar-SA"/>
            </w:rPr>
            <w:t>“</w:t>
          </w:r>
          <w:r>
            <w:rPr>
              <w:rFonts w:hint="default" w:ascii="Times New Roman" w:hAnsi="Times New Roman" w:eastAsia="仿宋_GB2312" w:cs="Times New Roman"/>
              <w:b w:val="0"/>
              <w:bCs w:val="0"/>
              <w:color w:val="auto"/>
              <w:kern w:val="2"/>
              <w:sz w:val="28"/>
              <w:szCs w:val="28"/>
              <w:highlight w:val="none"/>
              <w:lang w:val="en-US" w:eastAsia="zh-CN" w:bidi="ar-SA"/>
            </w:rPr>
            <w:t>一带一路</w:t>
          </w:r>
          <w:r>
            <w:rPr>
              <w:rFonts w:hint="eastAsia" w:ascii="Times New Roman" w:hAnsi="Times New Roman" w:eastAsia="仿宋_GB2312" w:cs="Times New Roman"/>
              <w:b w:val="0"/>
              <w:bCs w:val="0"/>
              <w:color w:val="auto"/>
              <w:kern w:val="2"/>
              <w:sz w:val="28"/>
              <w:szCs w:val="28"/>
              <w:highlight w:val="none"/>
              <w:lang w:val="en-US" w:eastAsia="zh-CN" w:bidi="ar-SA"/>
            </w:rPr>
            <w:t>”</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_Toc8861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92</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0EF203FE">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_Toc5838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第二节 </w:t>
          </w:r>
          <w:r>
            <w:rPr>
              <w:rFonts w:hint="default" w:ascii="Times New Roman" w:hAnsi="Times New Roman" w:eastAsia="仿宋_GB2312" w:cs="Times New Roman"/>
              <w:b w:val="0"/>
              <w:bCs w:val="0"/>
              <w:color w:val="auto"/>
              <w:kern w:val="2"/>
              <w:sz w:val="28"/>
              <w:szCs w:val="28"/>
              <w:highlight w:val="none"/>
              <w:lang w:val="en-US" w:eastAsia="zh-CN" w:bidi="ar-SA"/>
            </w:rPr>
            <w:t>省内联动，积极参与全省各级各类活动</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_Toc5838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92</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1662511C">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_Toc27569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第三节 </w:t>
          </w:r>
          <w:r>
            <w:rPr>
              <w:rFonts w:hint="default" w:ascii="Times New Roman" w:hAnsi="Times New Roman" w:eastAsia="仿宋_GB2312" w:cs="Times New Roman"/>
              <w:b w:val="0"/>
              <w:bCs w:val="0"/>
              <w:color w:val="auto"/>
              <w:kern w:val="2"/>
              <w:sz w:val="28"/>
              <w:szCs w:val="28"/>
              <w:highlight w:val="none"/>
              <w:lang w:val="en-US" w:eastAsia="zh-CN" w:bidi="ar-SA"/>
            </w:rPr>
            <w:t>区域共建，高效推进区域一体化建设</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_Toc27569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94</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79526D35">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_Toc3792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第四节 </w:t>
          </w:r>
          <w:r>
            <w:rPr>
              <w:rFonts w:hint="default" w:ascii="Times New Roman" w:hAnsi="Times New Roman" w:eastAsia="仿宋_GB2312" w:cs="Times New Roman"/>
              <w:b w:val="0"/>
              <w:bCs w:val="0"/>
              <w:color w:val="auto"/>
              <w:kern w:val="2"/>
              <w:sz w:val="28"/>
              <w:szCs w:val="28"/>
              <w:highlight w:val="none"/>
              <w:lang w:val="en-US" w:eastAsia="zh-CN" w:bidi="ar-SA"/>
            </w:rPr>
            <w:t>城乡统筹，强化城镇体系建设与区域要素支撑</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_Toc3792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95</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5D8B3937">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_Toc23946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第五节 </w:t>
          </w:r>
          <w:r>
            <w:rPr>
              <w:rFonts w:hint="default" w:ascii="Times New Roman" w:hAnsi="Times New Roman" w:eastAsia="仿宋_GB2312" w:cs="Times New Roman"/>
              <w:b w:val="0"/>
              <w:bCs w:val="0"/>
              <w:color w:val="auto"/>
              <w:kern w:val="2"/>
              <w:sz w:val="28"/>
              <w:szCs w:val="28"/>
              <w:highlight w:val="none"/>
              <w:lang w:val="en-US" w:eastAsia="zh-CN" w:bidi="ar-SA"/>
            </w:rPr>
            <w:t>跨省互利，建立与发达地区长效合作机制</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_Toc23946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97</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0588FA3F">
          <w:pPr>
            <w:pStyle w:val="15"/>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pPr>
          <w:r>
            <w:rPr>
              <w:rFonts w:hint="default" w:ascii="Times New Roman" w:hAnsi="Times New Roman" w:cs="Times New Roman"/>
              <w:color w:val="auto"/>
              <w:highlight w:val="none"/>
            </w:rPr>
            <w:fldChar w:fldCharType="begin"/>
          </w:r>
          <w:r>
            <w:rPr>
              <w:rFonts w:hint="default" w:ascii="Times New Roman" w:hAnsi="Times New Roman" w:cs="Times New Roman"/>
              <w:highlight w:val="none"/>
            </w:rPr>
            <w:instrText xml:space="preserve"> HYPERLINK \l _Toc12490 </w:instrText>
          </w:r>
          <w:r>
            <w:rPr>
              <w:rFonts w:hint="default" w:ascii="Times New Roman" w:hAnsi="Times New Roman" w:cs="Times New Roman"/>
              <w:highlight w:val="none"/>
            </w:rPr>
            <w:fldChar w:fldCharType="separate"/>
          </w:r>
          <w:r>
            <w:rPr>
              <w:rFonts w:hint="eastAsia" w:ascii="Times New Roman" w:hAnsi="Times New Roman" w:eastAsia="黑体" w:cs="Times New Roman"/>
              <w:sz w:val="28"/>
              <w:szCs w:val="22"/>
              <w:lang w:val="en-US" w:eastAsia="zh-CN" w:bidi="ar-SA"/>
            </w:rPr>
            <w:t xml:space="preserve">第十一章 </w:t>
          </w:r>
          <w:r>
            <w:rPr>
              <w:rFonts w:hint="default" w:ascii="Times New Roman" w:hAnsi="Times New Roman" w:eastAsia="黑体" w:cs="Times New Roman"/>
              <w:sz w:val="28"/>
              <w:szCs w:val="22"/>
              <w:lang w:val="en-US" w:eastAsia="zh-CN" w:bidi="ar-SA"/>
            </w:rPr>
            <w:t>规划实施保障</w:t>
          </w:r>
          <w:r>
            <w:rPr>
              <w:rFonts w:hint="default" w:ascii="Times New Roman" w:hAnsi="Times New Roman" w:eastAsia="黑体" w:cs="Times New Roman"/>
              <w:sz w:val="28"/>
              <w:szCs w:val="22"/>
              <w:lang w:val="en-US" w:eastAsia="zh-CN" w:bidi="ar-SA"/>
            </w:rPr>
            <w:tab/>
          </w:r>
          <w:r>
            <w:rPr>
              <w:rFonts w:hint="default" w:ascii="Times New Roman" w:hAnsi="Times New Roman" w:eastAsia="黑体" w:cs="Times New Roman"/>
              <w:sz w:val="28"/>
              <w:szCs w:val="22"/>
              <w:lang w:val="en-US" w:eastAsia="zh-CN" w:bidi="ar-SA"/>
            </w:rPr>
            <w:fldChar w:fldCharType="begin"/>
          </w:r>
          <w:r>
            <w:rPr>
              <w:rFonts w:hint="default" w:ascii="Times New Roman" w:hAnsi="Times New Roman" w:eastAsia="黑体" w:cs="Times New Roman"/>
              <w:sz w:val="28"/>
              <w:szCs w:val="22"/>
              <w:lang w:val="en-US" w:eastAsia="zh-CN" w:bidi="ar-SA"/>
            </w:rPr>
            <w:instrText xml:space="preserve"> PAGEREF _Toc12490 \h </w:instrText>
          </w:r>
          <w:r>
            <w:rPr>
              <w:rFonts w:hint="default" w:ascii="Times New Roman" w:hAnsi="Times New Roman" w:eastAsia="黑体" w:cs="Times New Roman"/>
              <w:sz w:val="28"/>
              <w:szCs w:val="22"/>
              <w:lang w:val="en-US" w:eastAsia="zh-CN" w:bidi="ar-SA"/>
            </w:rPr>
            <w:fldChar w:fldCharType="separate"/>
          </w:r>
          <w:r>
            <w:rPr>
              <w:rFonts w:hint="default" w:ascii="Times New Roman" w:hAnsi="Times New Roman" w:eastAsia="黑体" w:cs="Times New Roman"/>
              <w:sz w:val="28"/>
              <w:szCs w:val="22"/>
              <w:lang w:val="en-US" w:eastAsia="zh-CN" w:bidi="ar-SA"/>
            </w:rPr>
            <w:t>98</w:t>
          </w:r>
          <w:r>
            <w:rPr>
              <w:rFonts w:hint="default" w:ascii="Times New Roman" w:hAnsi="Times New Roman" w:eastAsia="黑体" w:cs="Times New Roman"/>
              <w:sz w:val="28"/>
              <w:szCs w:val="22"/>
              <w:lang w:val="en-US" w:eastAsia="zh-CN" w:bidi="ar-SA"/>
            </w:rPr>
            <w:fldChar w:fldCharType="end"/>
          </w:r>
          <w:r>
            <w:rPr>
              <w:rFonts w:hint="default" w:ascii="Times New Roman" w:hAnsi="Times New Roman" w:cs="Times New Roman"/>
              <w:color w:val="auto"/>
              <w:highlight w:val="none"/>
            </w:rPr>
            <w:fldChar w:fldCharType="end"/>
          </w:r>
        </w:p>
        <w:p w14:paraId="113136A9">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_Toc432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第一节 </w:t>
          </w:r>
          <w:r>
            <w:rPr>
              <w:rFonts w:hint="default" w:ascii="Times New Roman" w:hAnsi="Times New Roman" w:eastAsia="仿宋_GB2312" w:cs="Times New Roman"/>
              <w:b w:val="0"/>
              <w:bCs w:val="0"/>
              <w:color w:val="auto"/>
              <w:kern w:val="2"/>
              <w:sz w:val="28"/>
              <w:szCs w:val="28"/>
              <w:highlight w:val="none"/>
              <w:lang w:val="en-US" w:eastAsia="zh-CN" w:bidi="ar-SA"/>
            </w:rPr>
            <w:t>加强党的领导</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_Toc432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98</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49CB179A">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_Toc21560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第二节 </w:t>
          </w:r>
          <w:r>
            <w:rPr>
              <w:rFonts w:hint="default" w:ascii="Times New Roman" w:hAnsi="Times New Roman" w:eastAsia="仿宋_GB2312" w:cs="Times New Roman"/>
              <w:b w:val="0"/>
              <w:bCs w:val="0"/>
              <w:color w:val="auto"/>
              <w:kern w:val="2"/>
              <w:sz w:val="28"/>
              <w:szCs w:val="28"/>
              <w:highlight w:val="none"/>
              <w:lang w:val="en-US" w:eastAsia="zh-CN" w:bidi="ar-SA"/>
            </w:rPr>
            <w:t>健全配套政策机制</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_Toc21560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98</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05195B1C">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_Toc23909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第三节 </w:t>
          </w:r>
          <w:r>
            <w:rPr>
              <w:rFonts w:hint="default" w:ascii="Times New Roman" w:hAnsi="Times New Roman" w:eastAsia="仿宋_GB2312" w:cs="Times New Roman"/>
              <w:b w:val="0"/>
              <w:bCs w:val="0"/>
              <w:color w:val="auto"/>
              <w:kern w:val="2"/>
              <w:sz w:val="28"/>
              <w:szCs w:val="28"/>
              <w:highlight w:val="none"/>
              <w:lang w:val="en-US" w:eastAsia="zh-CN" w:bidi="ar-SA"/>
            </w:rPr>
            <w:t>建设国土空间规划</w:t>
          </w:r>
          <w:r>
            <w:rPr>
              <w:rFonts w:hint="eastAsia" w:ascii="Times New Roman" w:hAnsi="Times New Roman" w:eastAsia="仿宋_GB2312" w:cs="Times New Roman"/>
              <w:b w:val="0"/>
              <w:bCs w:val="0"/>
              <w:color w:val="auto"/>
              <w:kern w:val="2"/>
              <w:sz w:val="28"/>
              <w:szCs w:val="28"/>
              <w:highlight w:val="none"/>
              <w:lang w:val="en-US" w:eastAsia="zh-CN" w:bidi="ar-SA"/>
            </w:rPr>
            <w:t>“</w:t>
          </w:r>
          <w:r>
            <w:rPr>
              <w:rFonts w:hint="default" w:ascii="Times New Roman" w:hAnsi="Times New Roman" w:eastAsia="仿宋_GB2312" w:cs="Times New Roman"/>
              <w:b w:val="0"/>
              <w:bCs w:val="0"/>
              <w:color w:val="auto"/>
              <w:kern w:val="2"/>
              <w:sz w:val="28"/>
              <w:szCs w:val="28"/>
              <w:highlight w:val="none"/>
              <w:lang w:val="en-US" w:eastAsia="zh-CN" w:bidi="ar-SA"/>
            </w:rPr>
            <w:t>一张图</w:t>
          </w:r>
          <w:r>
            <w:rPr>
              <w:rFonts w:hint="eastAsia" w:ascii="Times New Roman" w:hAnsi="Times New Roman" w:eastAsia="仿宋_GB2312" w:cs="Times New Roman"/>
              <w:b w:val="0"/>
              <w:bCs w:val="0"/>
              <w:color w:val="auto"/>
              <w:kern w:val="2"/>
              <w:sz w:val="28"/>
              <w:szCs w:val="28"/>
              <w:highlight w:val="none"/>
              <w:lang w:val="en-US" w:eastAsia="zh-CN" w:bidi="ar-SA"/>
            </w:rPr>
            <w:t>”</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_Toc23909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99</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1B4B290C">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_Toc3650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第四节 </w:t>
          </w:r>
          <w:r>
            <w:rPr>
              <w:rFonts w:hint="default" w:ascii="Times New Roman" w:hAnsi="Times New Roman" w:eastAsia="仿宋_GB2312" w:cs="Times New Roman"/>
              <w:b w:val="0"/>
              <w:bCs w:val="0"/>
              <w:color w:val="auto"/>
              <w:kern w:val="2"/>
              <w:sz w:val="28"/>
              <w:szCs w:val="28"/>
              <w:highlight w:val="none"/>
              <w:lang w:val="en-US" w:eastAsia="zh-CN" w:bidi="ar-SA"/>
            </w:rPr>
            <w:t>实施规划全生命周期管理</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_Toc3650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101</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6D85AB96">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_Toc27245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第五节 强化</w:t>
          </w:r>
          <w:r>
            <w:rPr>
              <w:rFonts w:hint="default" w:ascii="Times New Roman" w:hAnsi="Times New Roman" w:eastAsia="仿宋_GB2312" w:cs="Times New Roman"/>
              <w:b w:val="0"/>
              <w:bCs w:val="0"/>
              <w:color w:val="auto"/>
              <w:kern w:val="2"/>
              <w:sz w:val="28"/>
              <w:szCs w:val="28"/>
              <w:highlight w:val="none"/>
              <w:lang w:val="en-US" w:eastAsia="zh-CN" w:bidi="ar-SA"/>
            </w:rPr>
            <w:t>规划</w:t>
          </w:r>
          <w:r>
            <w:rPr>
              <w:rFonts w:hint="eastAsia" w:ascii="Times New Roman" w:hAnsi="Times New Roman" w:eastAsia="仿宋_GB2312" w:cs="Times New Roman"/>
              <w:b w:val="0"/>
              <w:bCs w:val="0"/>
              <w:color w:val="auto"/>
              <w:kern w:val="2"/>
              <w:sz w:val="28"/>
              <w:szCs w:val="28"/>
              <w:highlight w:val="none"/>
              <w:lang w:val="en-US" w:eastAsia="zh-CN" w:bidi="ar-SA"/>
            </w:rPr>
            <w:t>实施</w:t>
          </w:r>
          <w:r>
            <w:rPr>
              <w:rFonts w:hint="default" w:ascii="Times New Roman" w:hAnsi="Times New Roman" w:eastAsia="仿宋_GB2312" w:cs="Times New Roman"/>
              <w:b w:val="0"/>
              <w:bCs w:val="0"/>
              <w:color w:val="auto"/>
              <w:kern w:val="2"/>
              <w:sz w:val="28"/>
              <w:szCs w:val="28"/>
              <w:highlight w:val="none"/>
              <w:lang w:val="en-US" w:eastAsia="zh-CN" w:bidi="ar-SA"/>
            </w:rPr>
            <w:t>传导</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_Toc27245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102</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58681BD4">
          <w:pPr>
            <w:pStyle w:val="16"/>
            <w:keepNext w:val="0"/>
            <w:keepLines w:val="0"/>
            <w:pageBreakBefore w:val="0"/>
            <w:widowControl w:val="0"/>
            <w:tabs>
              <w:tab w:val="right" w:leader="dot" w:pos="8312"/>
            </w:tabs>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HYPERLINK \l _Toc19922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eastAsia" w:ascii="Times New Roman" w:hAnsi="Times New Roman" w:eastAsia="仿宋_GB2312" w:cs="Times New Roman"/>
              <w:b w:val="0"/>
              <w:bCs w:val="0"/>
              <w:color w:val="auto"/>
              <w:kern w:val="2"/>
              <w:sz w:val="28"/>
              <w:szCs w:val="28"/>
              <w:highlight w:val="none"/>
              <w:lang w:val="en-US" w:eastAsia="zh-CN" w:bidi="ar-SA"/>
            </w:rPr>
            <w:t xml:space="preserve">第六节 </w:t>
          </w:r>
          <w:r>
            <w:rPr>
              <w:rFonts w:hint="default" w:ascii="Times New Roman" w:hAnsi="Times New Roman" w:eastAsia="仿宋_GB2312" w:cs="Times New Roman"/>
              <w:b w:val="0"/>
              <w:bCs w:val="0"/>
              <w:color w:val="auto"/>
              <w:kern w:val="2"/>
              <w:sz w:val="28"/>
              <w:szCs w:val="28"/>
              <w:highlight w:val="none"/>
              <w:lang w:val="en-US" w:eastAsia="zh-CN" w:bidi="ar-SA"/>
            </w:rPr>
            <w:t>近期行动计划</w:t>
          </w:r>
          <w:r>
            <w:rPr>
              <w:rFonts w:hint="default" w:ascii="Times New Roman" w:hAnsi="Times New Roman" w:eastAsia="仿宋_GB2312" w:cs="Times New Roman"/>
              <w:b w:val="0"/>
              <w:bCs w:val="0"/>
              <w:color w:val="auto"/>
              <w:kern w:val="2"/>
              <w:sz w:val="28"/>
              <w:szCs w:val="28"/>
              <w:highlight w:val="none"/>
              <w:lang w:val="en-US" w:eastAsia="zh-CN" w:bidi="ar-SA"/>
            </w:rPr>
            <w:tab/>
          </w:r>
          <w:r>
            <w:rPr>
              <w:rFonts w:hint="default" w:ascii="Times New Roman" w:hAnsi="Times New Roman" w:eastAsia="仿宋_GB2312" w:cs="Times New Roman"/>
              <w:b w:val="0"/>
              <w:bCs w:val="0"/>
              <w:color w:val="auto"/>
              <w:kern w:val="2"/>
              <w:sz w:val="28"/>
              <w:szCs w:val="28"/>
              <w:highlight w:val="none"/>
              <w:lang w:val="en-US" w:eastAsia="zh-CN" w:bidi="ar-SA"/>
            </w:rPr>
            <w:fldChar w:fldCharType="begin"/>
          </w:r>
          <w:r>
            <w:rPr>
              <w:rFonts w:hint="default" w:ascii="Times New Roman" w:hAnsi="Times New Roman" w:eastAsia="仿宋_GB2312" w:cs="Times New Roman"/>
              <w:b w:val="0"/>
              <w:bCs w:val="0"/>
              <w:color w:val="auto"/>
              <w:kern w:val="2"/>
              <w:sz w:val="28"/>
              <w:szCs w:val="28"/>
              <w:highlight w:val="none"/>
              <w:lang w:val="en-US" w:eastAsia="zh-CN" w:bidi="ar-SA"/>
            </w:rPr>
            <w:instrText xml:space="preserve"> PAGEREF _Toc19922 \h </w:instrText>
          </w:r>
          <w:r>
            <w:rPr>
              <w:rFonts w:hint="default" w:ascii="Times New Roman" w:hAnsi="Times New Roman" w:eastAsia="仿宋_GB2312" w:cs="Times New Roman"/>
              <w:b w:val="0"/>
              <w:bCs w:val="0"/>
              <w:color w:val="auto"/>
              <w:kern w:val="2"/>
              <w:sz w:val="28"/>
              <w:szCs w:val="28"/>
              <w:highlight w:val="none"/>
              <w:lang w:val="en-US" w:eastAsia="zh-CN" w:bidi="ar-SA"/>
            </w:rPr>
            <w:fldChar w:fldCharType="separate"/>
          </w:r>
          <w:r>
            <w:rPr>
              <w:rFonts w:hint="default" w:ascii="Times New Roman" w:hAnsi="Times New Roman" w:eastAsia="仿宋_GB2312" w:cs="Times New Roman"/>
              <w:b w:val="0"/>
              <w:bCs w:val="0"/>
              <w:color w:val="auto"/>
              <w:kern w:val="2"/>
              <w:sz w:val="28"/>
              <w:szCs w:val="28"/>
              <w:highlight w:val="none"/>
              <w:lang w:val="en-US" w:eastAsia="zh-CN" w:bidi="ar-SA"/>
            </w:rPr>
            <w:t>104</w:t>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r>
            <w:rPr>
              <w:rFonts w:hint="default" w:ascii="Times New Roman" w:hAnsi="Times New Roman" w:eastAsia="仿宋_GB2312" w:cs="Times New Roman"/>
              <w:b w:val="0"/>
              <w:bCs w:val="0"/>
              <w:color w:val="auto"/>
              <w:kern w:val="2"/>
              <w:sz w:val="28"/>
              <w:szCs w:val="28"/>
              <w:highlight w:val="none"/>
              <w:lang w:val="en-US" w:eastAsia="zh-CN" w:bidi="ar-SA"/>
            </w:rPr>
            <w:fldChar w:fldCharType="end"/>
          </w:r>
        </w:p>
        <w:p w14:paraId="0CE7670E">
          <w:pPr>
            <w:keepNext w:val="0"/>
            <w:keepLines w:val="0"/>
            <w:pageBreakBefore w:val="0"/>
            <w:widowControl w:val="0"/>
            <w:kinsoku/>
            <w:wordWrap/>
            <w:overflowPunct/>
            <w:topLinePunct w:val="0"/>
            <w:autoSpaceDE/>
            <w:autoSpaceDN/>
            <w:bidi w:val="0"/>
            <w:adjustRightInd/>
            <w:snapToGrid/>
            <w:spacing w:before="157" w:beforeLines="50" w:after="157" w:afterLines="50" w:line="600" w:lineRule="exact"/>
            <w:ind w:left="0" w:leftChars="0" w:right="0" w:rightChars="0" w:firstLine="0" w:firstLineChars="0"/>
            <w:jc w:val="center"/>
            <w:textAlignment w:val="auto"/>
            <w:rPr>
              <w:rFonts w:hint="default" w:ascii="Times New Roman" w:hAnsi="Times New Roman" w:eastAsia="黑体" w:cs="Times New Roman"/>
              <w:b/>
              <w:bCs/>
              <w:color w:val="auto"/>
              <w:kern w:val="2"/>
              <w:sz w:val="32"/>
              <w:szCs w:val="32"/>
              <w:highlight w:val="none"/>
              <w:lang w:val="en-US" w:eastAsia="zh-CN" w:bidi="ar-SA"/>
            </w:rPr>
          </w:pPr>
          <w:r>
            <w:rPr>
              <w:rFonts w:hint="default" w:ascii="Times New Roman" w:hAnsi="Times New Roman" w:cs="Times New Roman"/>
              <w:b/>
              <w:color w:val="auto"/>
              <w:highlight w:val="none"/>
            </w:rPr>
            <w:fldChar w:fldCharType="end"/>
          </w:r>
        </w:p>
      </w:sdtContent>
    </w:sdt>
    <w:p w14:paraId="0958EC62">
      <w:pPr>
        <w:rPr>
          <w:rFonts w:hint="default" w:ascii="Times New Roman" w:hAnsi="Times New Roman" w:eastAsia="黑体" w:cs="Times New Roman"/>
          <w:b/>
          <w:bCs/>
          <w:color w:val="auto"/>
          <w:kern w:val="2"/>
          <w:sz w:val="32"/>
          <w:szCs w:val="32"/>
          <w:highlight w:val="none"/>
          <w:lang w:val="en-US" w:eastAsia="zh-CN" w:bidi="ar-SA"/>
        </w:rPr>
      </w:pPr>
      <w:r>
        <w:rPr>
          <w:rFonts w:hint="default" w:ascii="Times New Roman" w:hAnsi="Times New Roman" w:eastAsia="黑体" w:cs="Times New Roman"/>
          <w:b/>
          <w:bCs/>
          <w:color w:val="auto"/>
          <w:kern w:val="2"/>
          <w:sz w:val="32"/>
          <w:szCs w:val="32"/>
          <w:highlight w:val="none"/>
          <w:lang w:val="en-US" w:eastAsia="zh-CN" w:bidi="ar-SA"/>
        </w:rPr>
        <w:br w:type="page"/>
      </w:r>
    </w:p>
    <w:p w14:paraId="7E4754B4">
      <w:pPr>
        <w:jc w:val="both"/>
        <w:sectPr>
          <w:headerReference r:id="rId5" w:type="default"/>
          <w:footerReference r:id="rId6" w:type="default"/>
          <w:pgSz w:w="11906" w:h="16838"/>
          <w:pgMar w:top="1440" w:right="1797" w:bottom="1440" w:left="1797" w:header="851" w:footer="850" w:gutter="0"/>
          <w:pgNumType w:fmt="lowerRoman" w:start="1"/>
          <w:cols w:space="0" w:num="1"/>
          <w:rtlGutter w:val="0"/>
          <w:docGrid w:type="lines" w:linePitch="312" w:charSpace="0"/>
        </w:sectPr>
      </w:pPr>
    </w:p>
    <w:p w14:paraId="0D3F8A02">
      <w:pPr>
        <w:jc w:val="both"/>
      </w:pPr>
    </w:p>
    <w:p w14:paraId="3A93396C">
      <w:pPr>
        <w:jc w:val="both"/>
      </w:pPr>
      <w:r>
        <w:drawing>
          <wp:inline distT="0" distB="0" distL="114300" distR="114300">
            <wp:extent cx="6945630" cy="5775325"/>
            <wp:effectExtent l="0" t="0" r="381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6945630" cy="5775325"/>
                    </a:xfrm>
                    <a:prstGeom prst="rect">
                      <a:avLst/>
                    </a:prstGeom>
                    <a:noFill/>
                    <a:ln>
                      <a:noFill/>
                    </a:ln>
                  </pic:spPr>
                </pic:pic>
              </a:graphicData>
            </a:graphic>
          </wp:inline>
        </w:drawing>
      </w:r>
    </w:p>
    <w:p w14:paraId="5F921755">
      <w:r>
        <w:br w:type="page"/>
      </w:r>
    </w:p>
    <w:p w14:paraId="6D3B770C">
      <w:r>
        <w:drawing>
          <wp:inline distT="0" distB="0" distL="114300" distR="114300">
            <wp:extent cx="6951980" cy="6917690"/>
            <wp:effectExtent l="0" t="0" r="12700" b="12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6951980" cy="6917690"/>
                    </a:xfrm>
                    <a:prstGeom prst="rect">
                      <a:avLst/>
                    </a:prstGeom>
                    <a:noFill/>
                    <a:ln>
                      <a:noFill/>
                    </a:ln>
                  </pic:spPr>
                </pic:pic>
              </a:graphicData>
            </a:graphic>
          </wp:inline>
        </w:drawing>
      </w:r>
      <w:r>
        <w:br w:type="page"/>
      </w:r>
    </w:p>
    <w:p w14:paraId="6B147AA0">
      <w:pPr>
        <w:jc w:val="both"/>
        <w:sectPr>
          <w:footerReference r:id="rId7" w:type="default"/>
          <w:pgSz w:w="11906" w:h="16838"/>
          <w:pgMar w:top="1440" w:right="567" w:bottom="1440" w:left="567" w:header="851" w:footer="850" w:gutter="0"/>
          <w:pgNumType w:fmt="decimalFullWidth" w:start="1"/>
          <w:cols w:space="0" w:num="1"/>
          <w:rtlGutter w:val="0"/>
          <w:docGrid w:type="lines" w:linePitch="312" w:charSpace="0"/>
        </w:sectPr>
      </w:pPr>
    </w:p>
    <w:p w14:paraId="68299BA1">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方正小标宋简体" w:cs="Times New Roman"/>
          <w:b w:val="0"/>
          <w:bCs w:val="0"/>
          <w:color w:val="auto"/>
          <w:sz w:val="36"/>
          <w:szCs w:val="36"/>
          <w:highlight w:val="none"/>
          <w:lang w:val="en-US" w:eastAsia="zh-CN"/>
        </w:rPr>
      </w:pPr>
      <w:bookmarkStart w:id="3" w:name="_Toc21691"/>
      <w:r>
        <w:rPr>
          <w:rFonts w:hint="default" w:ascii="Times New Roman" w:hAnsi="Times New Roman" w:eastAsia="方正小标宋简体" w:cs="Times New Roman"/>
          <w:b w:val="0"/>
          <w:bCs w:val="0"/>
          <w:color w:val="auto"/>
          <w:sz w:val="36"/>
          <w:szCs w:val="36"/>
          <w:highlight w:val="none"/>
          <w:lang w:val="en-US" w:eastAsia="zh-CN"/>
        </w:rPr>
        <w:t>规划</w:t>
      </w:r>
      <w:r>
        <w:rPr>
          <w:rFonts w:hint="eastAsia" w:ascii="Times New Roman" w:hAnsi="Times New Roman" w:eastAsia="方正小标宋简体" w:cs="Times New Roman"/>
          <w:b w:val="0"/>
          <w:bCs w:val="0"/>
          <w:color w:val="auto"/>
          <w:sz w:val="36"/>
          <w:szCs w:val="36"/>
          <w:highlight w:val="none"/>
          <w:lang w:val="en-US" w:eastAsia="zh-CN"/>
        </w:rPr>
        <w:t>基础与形势</w:t>
      </w:r>
      <w:bookmarkEnd w:id="3"/>
    </w:p>
    <w:p w14:paraId="60D818D0">
      <w:pPr>
        <w:pStyle w:val="3"/>
        <w:keepNext/>
        <w:keepLines/>
        <w:pageBreakBefore w:val="0"/>
        <w:widowControl w:val="0"/>
        <w:numPr>
          <w:ilvl w:val="0"/>
          <w:numId w:val="2"/>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4" w:name="_Toc24751"/>
      <w:r>
        <w:rPr>
          <w:rFonts w:hint="default" w:ascii="Times New Roman" w:hAnsi="Times New Roman" w:eastAsia="黑体" w:cs="Times New Roman"/>
          <w:b w:val="0"/>
          <w:bCs w:val="0"/>
          <w:color w:val="auto"/>
          <w:sz w:val="32"/>
          <w:szCs w:val="32"/>
          <w:highlight w:val="none"/>
          <w:lang w:val="en-US" w:eastAsia="zh-CN"/>
        </w:rPr>
        <w:t>自然地理格局与资源禀赋</w:t>
      </w:r>
      <w:bookmarkEnd w:id="4"/>
    </w:p>
    <w:p w14:paraId="738636F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自然地理格局</w:t>
      </w:r>
    </w:p>
    <w:p w14:paraId="7563AB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绥滨县位于黑龙江东北部三江平原下游，黑龙江与松花江相交的</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金三角</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上，东经131°8'12"</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val="0"/>
          <w:bCs w:val="0"/>
          <w:color w:val="auto"/>
          <w:kern w:val="2"/>
          <w:sz w:val="32"/>
          <w:szCs w:val="32"/>
          <w:highlight w:val="none"/>
          <w:lang w:val="en-US" w:eastAsia="zh-CN" w:bidi="ar-SA"/>
        </w:rPr>
        <w:t>131°31'00"，北纬47°11'55"</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val="0"/>
          <w:bCs w:val="0"/>
          <w:color w:val="auto"/>
          <w:kern w:val="2"/>
          <w:sz w:val="32"/>
          <w:szCs w:val="32"/>
          <w:highlight w:val="none"/>
          <w:lang w:val="en-US" w:eastAsia="zh-CN" w:bidi="ar-SA"/>
        </w:rPr>
        <w:t>47°45'23"。东与</w:t>
      </w:r>
      <w:r>
        <w:rPr>
          <w:rFonts w:hint="default" w:ascii="Times New Roman" w:hAnsi="Times New Roman" w:eastAsia="仿宋_GB2312" w:cs="Times New Roman"/>
          <w:b w:val="0"/>
          <w:bCs w:val="0"/>
          <w:color w:val="auto"/>
          <w:kern w:val="2"/>
          <w:sz w:val="32"/>
          <w:szCs w:val="32"/>
          <w:highlight w:val="none"/>
          <w:lang w:val="en-US" w:eastAsia="zh-CN" w:bidi="ar-SA"/>
        </w:rPr>
        <w:fldChar w:fldCharType="begin"/>
      </w:r>
      <w:r>
        <w:rPr>
          <w:rFonts w:hint="default" w:ascii="Times New Roman" w:hAnsi="Times New Roman" w:eastAsia="仿宋_GB2312" w:cs="Times New Roman"/>
          <w:b w:val="0"/>
          <w:bCs w:val="0"/>
          <w:color w:val="auto"/>
          <w:kern w:val="2"/>
          <w:sz w:val="32"/>
          <w:szCs w:val="32"/>
          <w:highlight w:val="none"/>
          <w:lang w:val="en-US" w:eastAsia="zh-CN" w:bidi="ar-SA"/>
        </w:rPr>
        <w:instrText xml:space="preserve">HYPERLINK "http://baike.baidu.com/view/289837.htm" \t "_blank"</w:instrText>
      </w:r>
      <w:r>
        <w:rPr>
          <w:rFonts w:hint="default" w:ascii="Times New Roman" w:hAnsi="Times New Roman" w:eastAsia="仿宋_GB2312" w:cs="Times New Roman"/>
          <w:b w:val="0"/>
          <w:bCs w:val="0"/>
          <w:color w:val="auto"/>
          <w:kern w:val="2"/>
          <w:sz w:val="32"/>
          <w:szCs w:val="32"/>
          <w:highlight w:val="none"/>
          <w:lang w:val="en-US" w:eastAsia="zh-CN" w:bidi="ar-SA"/>
        </w:rPr>
        <w:fldChar w:fldCharType="separate"/>
      </w:r>
      <w:r>
        <w:rPr>
          <w:rFonts w:hint="default" w:ascii="Times New Roman" w:hAnsi="Times New Roman" w:eastAsia="仿宋_GB2312" w:cs="Times New Roman"/>
          <w:b w:val="0"/>
          <w:bCs w:val="0"/>
          <w:color w:val="auto"/>
          <w:kern w:val="2"/>
          <w:sz w:val="32"/>
          <w:szCs w:val="32"/>
          <w:highlight w:val="none"/>
          <w:lang w:val="en-US" w:eastAsia="zh-CN" w:bidi="ar-SA"/>
        </w:rPr>
        <w:t>同江市</w:t>
      </w:r>
      <w:r>
        <w:rPr>
          <w:rFonts w:hint="default" w:ascii="Times New Roman" w:hAnsi="Times New Roman" w:eastAsia="仿宋_GB2312" w:cs="Times New Roman"/>
          <w:b w:val="0"/>
          <w:bCs w:val="0"/>
          <w:color w:val="auto"/>
          <w:kern w:val="2"/>
          <w:sz w:val="32"/>
          <w:szCs w:val="32"/>
          <w:highlight w:val="none"/>
          <w:lang w:val="en-US" w:eastAsia="zh-CN" w:bidi="ar-SA"/>
        </w:rPr>
        <w:fldChar w:fldCharType="end"/>
      </w:r>
      <w:r>
        <w:rPr>
          <w:rFonts w:hint="default" w:ascii="Times New Roman" w:hAnsi="Times New Roman" w:eastAsia="仿宋_GB2312" w:cs="Times New Roman"/>
          <w:b w:val="0"/>
          <w:bCs w:val="0"/>
          <w:color w:val="auto"/>
          <w:kern w:val="2"/>
          <w:sz w:val="32"/>
          <w:szCs w:val="32"/>
          <w:highlight w:val="none"/>
          <w:lang w:val="en-US" w:eastAsia="zh-CN" w:bidi="ar-SA"/>
        </w:rPr>
        <w:t>、南与</w:t>
      </w:r>
      <w:r>
        <w:rPr>
          <w:rFonts w:hint="default" w:ascii="Times New Roman" w:hAnsi="Times New Roman" w:eastAsia="仿宋_GB2312" w:cs="Times New Roman"/>
          <w:b w:val="0"/>
          <w:bCs w:val="0"/>
          <w:color w:val="auto"/>
          <w:kern w:val="2"/>
          <w:sz w:val="32"/>
          <w:szCs w:val="32"/>
          <w:highlight w:val="none"/>
          <w:lang w:val="en-US" w:eastAsia="zh-CN" w:bidi="ar-SA"/>
        </w:rPr>
        <w:fldChar w:fldCharType="begin"/>
      </w:r>
      <w:r>
        <w:rPr>
          <w:rFonts w:hint="default" w:ascii="Times New Roman" w:hAnsi="Times New Roman" w:eastAsia="仿宋_GB2312" w:cs="Times New Roman"/>
          <w:b w:val="0"/>
          <w:bCs w:val="0"/>
          <w:color w:val="auto"/>
          <w:kern w:val="2"/>
          <w:sz w:val="32"/>
          <w:szCs w:val="32"/>
          <w:highlight w:val="none"/>
          <w:lang w:val="en-US" w:eastAsia="zh-CN" w:bidi="ar-SA"/>
        </w:rPr>
        <w:instrText xml:space="preserve">HYPERLINK "http://baike.baidu.com/view/29234.htm" \t "_blank"</w:instrText>
      </w:r>
      <w:r>
        <w:rPr>
          <w:rFonts w:hint="default" w:ascii="Times New Roman" w:hAnsi="Times New Roman" w:eastAsia="仿宋_GB2312" w:cs="Times New Roman"/>
          <w:b w:val="0"/>
          <w:bCs w:val="0"/>
          <w:color w:val="auto"/>
          <w:kern w:val="2"/>
          <w:sz w:val="32"/>
          <w:szCs w:val="32"/>
          <w:highlight w:val="none"/>
          <w:lang w:val="en-US" w:eastAsia="zh-CN" w:bidi="ar-SA"/>
        </w:rPr>
        <w:fldChar w:fldCharType="separate"/>
      </w:r>
      <w:r>
        <w:rPr>
          <w:rFonts w:hint="default" w:ascii="Times New Roman" w:hAnsi="Times New Roman" w:eastAsia="仿宋_GB2312" w:cs="Times New Roman"/>
          <w:b w:val="0"/>
          <w:bCs w:val="0"/>
          <w:color w:val="auto"/>
          <w:kern w:val="2"/>
          <w:sz w:val="32"/>
          <w:szCs w:val="32"/>
          <w:highlight w:val="none"/>
          <w:lang w:val="en-US" w:eastAsia="zh-CN" w:bidi="ar-SA"/>
        </w:rPr>
        <w:t>富锦</w:t>
      </w:r>
      <w:r>
        <w:rPr>
          <w:rFonts w:hint="default" w:ascii="Times New Roman" w:hAnsi="Times New Roman" w:eastAsia="仿宋_GB2312" w:cs="Times New Roman"/>
          <w:b w:val="0"/>
          <w:bCs w:val="0"/>
          <w:color w:val="auto"/>
          <w:kern w:val="2"/>
          <w:sz w:val="32"/>
          <w:szCs w:val="32"/>
          <w:highlight w:val="none"/>
          <w:lang w:val="en-US" w:eastAsia="zh-CN" w:bidi="ar-SA"/>
        </w:rPr>
        <w:fldChar w:fldCharType="end"/>
      </w:r>
      <w:r>
        <w:rPr>
          <w:rFonts w:hint="default" w:ascii="Times New Roman" w:hAnsi="Times New Roman" w:eastAsia="仿宋_GB2312" w:cs="Times New Roman"/>
          <w:b w:val="0"/>
          <w:bCs w:val="0"/>
          <w:color w:val="auto"/>
          <w:kern w:val="2"/>
          <w:sz w:val="32"/>
          <w:szCs w:val="32"/>
          <w:highlight w:val="none"/>
          <w:lang w:val="en-US" w:eastAsia="zh-CN" w:bidi="ar-SA"/>
        </w:rPr>
        <w:t>市、桦川县隔松花江相望，北与俄罗斯一水相隔，西与</w:t>
      </w:r>
      <w:r>
        <w:rPr>
          <w:rFonts w:hint="default" w:ascii="Times New Roman" w:hAnsi="Times New Roman" w:eastAsia="仿宋_GB2312" w:cs="Times New Roman"/>
          <w:b w:val="0"/>
          <w:bCs w:val="0"/>
          <w:color w:val="auto"/>
          <w:kern w:val="2"/>
          <w:sz w:val="32"/>
          <w:szCs w:val="32"/>
          <w:highlight w:val="none"/>
          <w:lang w:val="en-US" w:eastAsia="zh-CN" w:bidi="ar-SA"/>
        </w:rPr>
        <w:fldChar w:fldCharType="begin"/>
      </w:r>
      <w:r>
        <w:rPr>
          <w:rFonts w:hint="default" w:ascii="Times New Roman" w:hAnsi="Times New Roman" w:eastAsia="仿宋_GB2312" w:cs="Times New Roman"/>
          <w:b w:val="0"/>
          <w:bCs w:val="0"/>
          <w:color w:val="auto"/>
          <w:kern w:val="2"/>
          <w:sz w:val="32"/>
          <w:szCs w:val="32"/>
          <w:highlight w:val="none"/>
          <w:lang w:val="en-US" w:eastAsia="zh-CN" w:bidi="ar-SA"/>
        </w:rPr>
        <w:instrText xml:space="preserve">HYPERLINK "http://baike.baidu.com/view/480947.htm" \t "_blank"</w:instrText>
      </w:r>
      <w:r>
        <w:rPr>
          <w:rFonts w:hint="default" w:ascii="Times New Roman" w:hAnsi="Times New Roman" w:eastAsia="仿宋_GB2312" w:cs="Times New Roman"/>
          <w:b w:val="0"/>
          <w:bCs w:val="0"/>
          <w:color w:val="auto"/>
          <w:kern w:val="2"/>
          <w:sz w:val="32"/>
          <w:szCs w:val="32"/>
          <w:highlight w:val="none"/>
          <w:lang w:val="en-US" w:eastAsia="zh-CN" w:bidi="ar-SA"/>
        </w:rPr>
        <w:fldChar w:fldCharType="separate"/>
      </w:r>
      <w:r>
        <w:rPr>
          <w:rFonts w:hint="default" w:ascii="Times New Roman" w:hAnsi="Times New Roman" w:eastAsia="仿宋_GB2312" w:cs="Times New Roman"/>
          <w:b w:val="0"/>
          <w:bCs w:val="0"/>
          <w:color w:val="auto"/>
          <w:kern w:val="2"/>
          <w:sz w:val="32"/>
          <w:szCs w:val="32"/>
          <w:highlight w:val="none"/>
          <w:lang w:val="en-US" w:eastAsia="zh-CN" w:bidi="ar-SA"/>
        </w:rPr>
        <w:t>萝北县</w:t>
      </w:r>
      <w:r>
        <w:rPr>
          <w:rFonts w:hint="default" w:ascii="Times New Roman" w:hAnsi="Times New Roman" w:eastAsia="仿宋_GB2312" w:cs="Times New Roman"/>
          <w:b w:val="0"/>
          <w:bCs w:val="0"/>
          <w:color w:val="auto"/>
          <w:kern w:val="2"/>
          <w:sz w:val="32"/>
          <w:szCs w:val="32"/>
          <w:highlight w:val="none"/>
          <w:lang w:val="en-US" w:eastAsia="zh-CN" w:bidi="ar-SA"/>
        </w:rPr>
        <w:fldChar w:fldCharType="end"/>
      </w:r>
      <w:r>
        <w:rPr>
          <w:rFonts w:hint="default" w:ascii="Times New Roman" w:hAnsi="Times New Roman" w:eastAsia="仿宋_GB2312" w:cs="Times New Roman"/>
          <w:b w:val="0"/>
          <w:bCs w:val="0"/>
          <w:color w:val="auto"/>
          <w:kern w:val="2"/>
          <w:sz w:val="32"/>
          <w:szCs w:val="32"/>
          <w:highlight w:val="none"/>
          <w:lang w:val="en-US" w:eastAsia="zh-CN" w:bidi="ar-SA"/>
        </w:rPr>
        <w:t>毗邻。县域三面环水，中间为绿洲，形状类似菱形，东西长117.4千米，南北宽47千米。</w:t>
      </w:r>
    </w:p>
    <w:p w14:paraId="647BE84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绥滨县全县无山和丘陵，地势低平，属于平原县，地貌属于冲积平原，由阶地、高漫滩、低漫滩、岗地组成。绥滨县土壤种类共有5个土类、11个亚种、24个土种，其中草甸土和白浆土是主要土类，分别占全县总面积的75%和21.1%。其余的土类为沼泽土、水稻土和暗棕壤。绥滨县气候属于温带大陆气候，处于第二积温带，四季明显。</w:t>
      </w:r>
    </w:p>
    <w:p w14:paraId="199A566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5" w:name="_Toc1974"/>
      <w:bookmarkStart w:id="6" w:name="_Toc22151"/>
      <w:bookmarkStart w:id="7" w:name="_Toc8942"/>
      <w:bookmarkStart w:id="8" w:name="_Toc8600"/>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资源禀赋</w:t>
      </w:r>
      <w:bookmarkEnd w:id="5"/>
      <w:bookmarkEnd w:id="6"/>
      <w:bookmarkEnd w:id="7"/>
      <w:bookmarkEnd w:id="8"/>
    </w:p>
    <w:p w14:paraId="505848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耕地资源丰富。</w:t>
      </w:r>
      <w:r>
        <w:rPr>
          <w:rFonts w:hint="default" w:ascii="Times New Roman" w:hAnsi="Times New Roman" w:eastAsia="仿宋_GB2312" w:cs="Times New Roman"/>
          <w:b w:val="0"/>
          <w:bCs w:val="0"/>
          <w:color w:val="auto"/>
          <w:kern w:val="2"/>
          <w:sz w:val="32"/>
          <w:szCs w:val="32"/>
          <w:highlight w:val="none"/>
          <w:lang w:val="en-US" w:eastAsia="zh-CN" w:bidi="ar-SA"/>
        </w:rPr>
        <w:t>绥滨县地处黑松两江下游的冲积平原，地势平坦，土质肥沃，境内无山地和丘陵，是全国唯一境内无山的县份，为农业发展提供了有利的条件。绥滨县是农业大县，耕地资源丰富。</w:t>
      </w:r>
    </w:p>
    <w:p w14:paraId="313F0A2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水资源丰富。</w:t>
      </w:r>
      <w:r>
        <w:rPr>
          <w:rFonts w:hint="default" w:ascii="Times New Roman" w:hAnsi="Times New Roman" w:eastAsia="仿宋_GB2312" w:cs="Times New Roman"/>
          <w:b w:val="0"/>
          <w:bCs w:val="0"/>
          <w:color w:val="auto"/>
          <w:kern w:val="2"/>
          <w:sz w:val="32"/>
          <w:szCs w:val="32"/>
          <w:highlight w:val="none"/>
          <w:lang w:val="en-US" w:eastAsia="zh-CN" w:bidi="ar-SA"/>
        </w:rPr>
        <w:t>绥滨县三面环水，境内有黑龙江、松花江两大水系，沟河纵横，湖泡遍布，大气降水充沛，地下水含量大，水资源丰富，水质良好</w:t>
      </w:r>
      <w:r>
        <w:rPr>
          <w:rFonts w:hint="eastAsia" w:ascii="Times New Roman" w:hAnsi="Times New Roman" w:eastAsia="仿宋_GB2312" w:cs="Times New Roman"/>
          <w:b w:val="0"/>
          <w:bCs w:val="0"/>
          <w:color w:val="auto"/>
          <w:kern w:val="2"/>
          <w:sz w:val="32"/>
          <w:szCs w:val="32"/>
          <w:highlight w:val="none"/>
          <w:lang w:val="en-US" w:eastAsia="zh-CN" w:bidi="ar-SA"/>
        </w:rPr>
        <w:t>。</w:t>
      </w:r>
    </w:p>
    <w:p w14:paraId="0C72966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湿地资源丰富。</w:t>
      </w:r>
      <w:r>
        <w:rPr>
          <w:rFonts w:hint="default" w:ascii="Times New Roman" w:hAnsi="Times New Roman" w:eastAsia="仿宋_GB2312" w:cs="Times New Roman"/>
          <w:b w:val="0"/>
          <w:bCs w:val="0"/>
          <w:color w:val="auto"/>
          <w:kern w:val="2"/>
          <w:sz w:val="32"/>
          <w:szCs w:val="32"/>
          <w:highlight w:val="none"/>
          <w:lang w:val="en-US" w:eastAsia="zh-CN" w:bidi="ar-SA"/>
        </w:rPr>
        <w:t>沿江</w:t>
      </w:r>
      <w:r>
        <w:rPr>
          <w:rFonts w:hint="eastAsia" w:ascii="Times New Roman" w:hAnsi="Times New Roman" w:eastAsia="仿宋_GB2312" w:cs="Times New Roman"/>
          <w:b w:val="0"/>
          <w:bCs w:val="0"/>
          <w:color w:val="auto"/>
          <w:kern w:val="2"/>
          <w:sz w:val="32"/>
          <w:szCs w:val="32"/>
          <w:highlight w:val="none"/>
          <w:lang w:val="en-US" w:eastAsia="zh-CN" w:bidi="ar-SA"/>
        </w:rPr>
        <w:t>河</w:t>
      </w:r>
      <w:r>
        <w:rPr>
          <w:rFonts w:hint="default" w:ascii="Times New Roman" w:hAnsi="Times New Roman" w:eastAsia="仿宋_GB2312" w:cs="Times New Roman"/>
          <w:b w:val="0"/>
          <w:bCs w:val="0"/>
          <w:color w:val="auto"/>
          <w:kern w:val="2"/>
          <w:sz w:val="32"/>
          <w:szCs w:val="32"/>
          <w:highlight w:val="none"/>
          <w:lang w:val="en-US" w:eastAsia="zh-CN" w:bidi="ar-SA"/>
        </w:rPr>
        <w:t>泡、岛屿众多，湿地资源丰富。主要位于黑龙江、松花江沿岸，狭长的沿江地带岛屿星罗棋布，岛内灌木丛生、沼泽密布，具有独特的灌丛沼泽的特色。</w:t>
      </w:r>
    </w:p>
    <w:p w14:paraId="1397F4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历史文化底蕴深厚。</w:t>
      </w:r>
      <w:r>
        <w:rPr>
          <w:rFonts w:hint="default" w:ascii="Times New Roman" w:hAnsi="Times New Roman" w:eastAsia="仿宋_GB2312" w:cs="Times New Roman"/>
          <w:b w:val="0"/>
          <w:bCs w:val="0"/>
          <w:color w:val="auto"/>
          <w:kern w:val="2"/>
          <w:sz w:val="32"/>
          <w:szCs w:val="32"/>
          <w:highlight w:val="none"/>
          <w:lang w:val="en-US" w:eastAsia="zh-CN" w:bidi="ar-SA"/>
        </w:rPr>
        <w:t>绥滨县拥有深厚的历史文化底蕴，有全国重点文物保护单位2处，省级文物保护单位4处，县级文物保护单位二十处，还有未考证开发的古文物点百余处。1973年以来，相继出土了以旷世稀物</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金列鞢、玉石飞天、双鹿纹玉佩、荷花鲤鱼玉鱼</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为代表的大量国家一级文物。</w:t>
      </w:r>
    </w:p>
    <w:p w14:paraId="427ACC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旅游资源丰富。</w:t>
      </w:r>
      <w:r>
        <w:rPr>
          <w:rFonts w:hint="default" w:ascii="Times New Roman" w:hAnsi="Times New Roman" w:eastAsia="仿宋_GB2312" w:cs="Times New Roman"/>
          <w:b w:val="0"/>
          <w:bCs w:val="0"/>
          <w:color w:val="auto"/>
          <w:kern w:val="2"/>
          <w:sz w:val="32"/>
          <w:szCs w:val="32"/>
          <w:highlight w:val="none"/>
          <w:lang w:val="en-US" w:eastAsia="zh-CN" w:bidi="ar-SA"/>
        </w:rPr>
        <w:t>绥滨县位于醉美331公路沿线，旅游资源丰富，重要景区有月牙湖中国北方民族园景区、中兴旅游小城镇、荣边大滩景区等，其中月牙湖中国北方民族园景区是绥滨县第一个自然生态与民族历史文化融合的</w:t>
      </w:r>
      <w:r>
        <w:rPr>
          <w:rFonts w:hint="eastAsia" w:ascii="Times New Roman" w:hAnsi="Times New Roman" w:eastAsia="仿宋_GB2312" w:cs="Times New Roman"/>
          <w:b w:val="0"/>
          <w:bCs w:val="0"/>
          <w:color w:val="auto"/>
          <w:kern w:val="2"/>
          <w:sz w:val="32"/>
          <w:szCs w:val="32"/>
          <w:highlight w:val="none"/>
          <w:lang w:val="en-US" w:eastAsia="zh-CN" w:bidi="ar-SA"/>
        </w:rPr>
        <w:t>国家4A级旅游景区</w:t>
      </w:r>
      <w:r>
        <w:rPr>
          <w:rFonts w:hint="default" w:ascii="Times New Roman" w:hAnsi="Times New Roman" w:eastAsia="仿宋_GB2312" w:cs="Times New Roman"/>
          <w:b w:val="0"/>
          <w:bCs w:val="0"/>
          <w:color w:val="auto"/>
          <w:kern w:val="2"/>
          <w:sz w:val="32"/>
          <w:szCs w:val="32"/>
          <w:highlight w:val="none"/>
          <w:lang w:val="en-US" w:eastAsia="zh-CN" w:bidi="ar-SA"/>
        </w:rPr>
        <w:t>，也是龙江界江旅游精品线路中重要节点。</w:t>
      </w:r>
    </w:p>
    <w:p w14:paraId="607054BD">
      <w:pPr>
        <w:pStyle w:val="3"/>
        <w:keepNext/>
        <w:keepLines/>
        <w:pageBreakBefore w:val="0"/>
        <w:widowControl w:val="0"/>
        <w:numPr>
          <w:ilvl w:val="0"/>
          <w:numId w:val="2"/>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9" w:name="_Toc31244"/>
      <w:r>
        <w:rPr>
          <w:rFonts w:hint="default" w:ascii="Times New Roman" w:hAnsi="Times New Roman" w:eastAsia="黑体" w:cs="Times New Roman"/>
          <w:b w:val="0"/>
          <w:bCs w:val="0"/>
          <w:color w:val="auto"/>
          <w:sz w:val="32"/>
          <w:szCs w:val="32"/>
          <w:highlight w:val="none"/>
          <w:lang w:val="en-US" w:eastAsia="zh-CN"/>
        </w:rPr>
        <w:t>国土空间开发保护成效与问题</w:t>
      </w:r>
      <w:bookmarkEnd w:id="9"/>
    </w:p>
    <w:p w14:paraId="6062E6D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10" w:name="_Toc11477"/>
      <w:bookmarkStart w:id="11" w:name="_Toc1058"/>
      <w:bookmarkStart w:id="12" w:name="_Toc953"/>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国土空间开发保护取得的成效</w:t>
      </w:r>
      <w:bookmarkEnd w:id="10"/>
      <w:bookmarkEnd w:id="11"/>
      <w:bookmarkEnd w:id="12"/>
    </w:p>
    <w:p w14:paraId="10A1F5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耕地和永久基本农田得到有效保护。</w:t>
      </w:r>
      <w:r>
        <w:rPr>
          <w:rFonts w:hint="default" w:ascii="Times New Roman" w:hAnsi="Times New Roman" w:eastAsia="仿宋_GB2312" w:cs="Times New Roman"/>
          <w:b w:val="0"/>
          <w:bCs w:val="0"/>
          <w:color w:val="auto"/>
          <w:kern w:val="2"/>
          <w:sz w:val="32"/>
          <w:szCs w:val="32"/>
          <w:highlight w:val="none"/>
          <w:lang w:val="en-US" w:eastAsia="zh-CN" w:bidi="ar-SA"/>
        </w:rPr>
        <w:t>绥滨县坚持从数量、质量、生态三位一体的保护耕地和永久基本农田，并取得一定成效。从数量控制角度，耕地和永久基本农田面积不低于上级下达指标；从质量提升角度，绥滨县不断完善农业生产条件，通过高标准农田建设完善田间配套设施，提升耕地和永久基本农田质量；从生态保护角度，积极开展面源污染治理，改善土壤环境，发挥其生态功能的作用。绥滨县耕地和永久基本农田得到有效保护，粮食产量的不断提高，为农业持续发展打下良好的基础。</w:t>
      </w:r>
    </w:p>
    <w:p w14:paraId="47D427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生态建设效果显著，环境质量不断改善。</w:t>
      </w:r>
      <w:r>
        <w:rPr>
          <w:rFonts w:hint="default" w:ascii="Times New Roman" w:hAnsi="Times New Roman" w:eastAsia="仿宋_GB2312" w:cs="Times New Roman"/>
          <w:b w:val="0"/>
          <w:bCs w:val="0"/>
          <w:color w:val="auto"/>
          <w:kern w:val="2"/>
          <w:sz w:val="32"/>
          <w:szCs w:val="32"/>
          <w:highlight w:val="none"/>
          <w:lang w:val="en-US" w:eastAsia="zh-CN" w:bidi="ar-SA"/>
        </w:rPr>
        <w:t>绥滨县生态建设扎实推进，生态保护效果显著。全县按照省、市工作部署，加大生态公益林、水土保持林、水源涵养林的建设，</w:t>
      </w:r>
      <w:r>
        <w:rPr>
          <w:rFonts w:hint="eastAsia" w:ascii="Times New Roman" w:hAnsi="Times New Roman" w:eastAsia="仿宋_GB2312" w:cs="Times New Roman"/>
          <w:b w:val="0"/>
          <w:bCs w:val="0"/>
          <w:color w:val="auto"/>
          <w:kern w:val="2"/>
          <w:sz w:val="32"/>
          <w:szCs w:val="32"/>
          <w:highlight w:val="none"/>
          <w:lang w:val="en-US" w:eastAsia="zh-CN" w:bidi="ar-SA"/>
        </w:rPr>
        <w:t>加大</w:t>
      </w:r>
      <w:r>
        <w:rPr>
          <w:rFonts w:hint="default" w:ascii="Times New Roman" w:hAnsi="Times New Roman" w:eastAsia="仿宋_GB2312" w:cs="Times New Roman"/>
          <w:b w:val="0"/>
          <w:bCs w:val="0"/>
          <w:color w:val="auto"/>
          <w:kern w:val="2"/>
          <w:sz w:val="32"/>
          <w:szCs w:val="32"/>
          <w:highlight w:val="none"/>
          <w:lang w:val="en-US" w:eastAsia="zh-CN" w:bidi="ar-SA"/>
        </w:rPr>
        <w:t>森林资源保护力度，强化生态屏障作用；落实退耕还湿、河道治理等生态修复工作，在生态保护方面取得显著的成效，环境质量得到不断改善。</w:t>
      </w:r>
    </w:p>
    <w:p w14:paraId="19A28B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居民生活条件不断改善，生活品质逐步提高。</w:t>
      </w:r>
      <w:r>
        <w:rPr>
          <w:rFonts w:hint="default" w:ascii="Times New Roman" w:hAnsi="Times New Roman" w:eastAsia="仿宋_GB2312" w:cs="Times New Roman"/>
          <w:b w:val="0"/>
          <w:bCs w:val="0"/>
          <w:color w:val="auto"/>
          <w:kern w:val="2"/>
          <w:sz w:val="32"/>
          <w:szCs w:val="32"/>
          <w:highlight w:val="none"/>
          <w:lang w:val="en-US" w:eastAsia="zh-CN" w:bidi="ar-SA"/>
        </w:rPr>
        <w:t>绥滨县生态环境优良，空气质量全年较好，是国家三江平原湿地生态功能区的重要组成部分，被评为国家级生态示范区和省级生态示范县；经济运行方面稳中有进，质量效益稳步提升；生活方面文化、娱乐、养老服务设施日益完善，居民生活幸福感和获得感逐步增强，朝着实现全面建成小康社会的目标迈出了新的步伐。</w:t>
      </w:r>
    </w:p>
    <w:p w14:paraId="4662BC3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13" w:name="_Toc7784"/>
      <w:bookmarkStart w:id="14" w:name="_Toc28074"/>
      <w:bookmarkStart w:id="15" w:name="_Toc20694"/>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国土空间开发保护存在的问题</w:t>
      </w:r>
      <w:bookmarkEnd w:id="13"/>
      <w:bookmarkEnd w:id="14"/>
      <w:bookmarkEnd w:id="15"/>
    </w:p>
    <w:p w14:paraId="5DC5E6D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耕地资源丰富，但农业生产条件仍需加强。</w:t>
      </w:r>
      <w:r>
        <w:rPr>
          <w:rFonts w:hint="default" w:ascii="Times New Roman" w:hAnsi="Times New Roman" w:eastAsia="仿宋_GB2312" w:cs="Times New Roman"/>
          <w:b w:val="0"/>
          <w:bCs w:val="0"/>
          <w:color w:val="auto"/>
          <w:kern w:val="2"/>
          <w:sz w:val="32"/>
          <w:szCs w:val="32"/>
          <w:highlight w:val="none"/>
          <w:lang w:val="en-US" w:eastAsia="zh-CN" w:bidi="ar-SA"/>
        </w:rPr>
        <w:t>绥滨县耕地资源丰富，近年来随着高标准农田的建设，提高了农业生产水平，但仍有部分中低产田未得到整治，农业水利设施配套不齐全，耕地地力存在降低、退化的风险，农业生产条件亟待全面提高。</w:t>
      </w:r>
    </w:p>
    <w:p w14:paraId="7C77657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水资源丰富，但水资源利用失衡。</w:t>
      </w:r>
      <w:r>
        <w:rPr>
          <w:rFonts w:hint="default" w:ascii="Times New Roman" w:hAnsi="Times New Roman" w:eastAsia="仿宋_GB2312" w:cs="Times New Roman"/>
          <w:b w:val="0"/>
          <w:bCs w:val="0"/>
          <w:color w:val="auto"/>
          <w:kern w:val="2"/>
          <w:sz w:val="32"/>
          <w:szCs w:val="32"/>
          <w:highlight w:val="none"/>
          <w:lang w:val="en-US" w:eastAsia="zh-CN" w:bidi="ar-SA"/>
        </w:rPr>
        <w:t>绥滨县地下水、地表水资源利用失衡，地下水超采严重。过境水利用率低，黑龙江、松花江过境水资源十分丰富，水质良好，但因缺少工程措施，致使过境水量白白流走。灌区现状田间配套投入不足，灌溉水利用系数低，水资源利用效率亟待改善。</w:t>
      </w:r>
    </w:p>
    <w:p w14:paraId="3969666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生态建设取得一定成效，但生态环境仍需持续治理。</w:t>
      </w:r>
      <w:r>
        <w:rPr>
          <w:rFonts w:hint="default" w:ascii="Times New Roman" w:hAnsi="Times New Roman" w:eastAsia="仿宋_GB2312" w:cs="Times New Roman"/>
          <w:b w:val="0"/>
          <w:bCs w:val="0"/>
          <w:color w:val="auto"/>
          <w:kern w:val="2"/>
          <w:sz w:val="32"/>
          <w:szCs w:val="32"/>
          <w:highlight w:val="none"/>
          <w:lang w:val="en-US" w:eastAsia="zh-CN" w:bidi="ar-SA"/>
        </w:rPr>
        <w:t>绥滨县生态建设取得一定成效，但仍存在一些生态问题，威胁生态环境安全，</w:t>
      </w:r>
      <w:r>
        <w:rPr>
          <w:rFonts w:hint="eastAsia" w:ascii="Times New Roman" w:hAnsi="Times New Roman" w:eastAsia="仿宋_GB2312" w:cs="Times New Roman"/>
          <w:b w:val="0"/>
          <w:bCs w:val="0"/>
          <w:color w:val="auto"/>
          <w:kern w:val="2"/>
          <w:sz w:val="32"/>
          <w:szCs w:val="32"/>
          <w:highlight w:val="none"/>
          <w:lang w:val="en-US" w:eastAsia="zh-CN" w:bidi="ar-SA"/>
        </w:rPr>
        <w:t>亟须治理</w:t>
      </w:r>
      <w:r>
        <w:rPr>
          <w:rFonts w:hint="default" w:ascii="Times New Roman" w:hAnsi="Times New Roman" w:eastAsia="仿宋_GB2312" w:cs="Times New Roman"/>
          <w:b w:val="0"/>
          <w:bCs w:val="0"/>
          <w:color w:val="auto"/>
          <w:kern w:val="2"/>
          <w:sz w:val="32"/>
          <w:szCs w:val="32"/>
          <w:highlight w:val="none"/>
          <w:lang w:val="en-US" w:eastAsia="zh-CN" w:bidi="ar-SA"/>
        </w:rPr>
        <w:t>。绥滨县土壤侵蚀加剧，风蚀和水蚀面积逐年增加。绥滨县虽然不断控制农药、化肥的使用量，但农业废弃物量大且无害化、资源化利用水平低，病死畜禽无害化集中处理率低等问题仍然存在。矿山地质环境问题凸显，矿山环境保护和恢复治理工作迫在眉睫，生态环境治理水平亟待提高。</w:t>
      </w:r>
    </w:p>
    <w:p w14:paraId="08869F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土地集约利用水平不高，闲置土地处置难度大。</w:t>
      </w:r>
      <w:r>
        <w:rPr>
          <w:rFonts w:hint="default" w:ascii="Times New Roman" w:hAnsi="Times New Roman" w:eastAsia="仿宋_GB2312" w:cs="Times New Roman"/>
          <w:b w:val="0"/>
          <w:bCs w:val="0"/>
          <w:color w:val="auto"/>
          <w:kern w:val="2"/>
          <w:sz w:val="32"/>
          <w:szCs w:val="32"/>
          <w:highlight w:val="none"/>
          <w:lang w:val="en-US" w:eastAsia="zh-CN" w:bidi="ar-SA"/>
        </w:rPr>
        <w:t>县内个别地方因用地布局分散，导致土地利用粗放，土地产出效益较低，土地集约利用整体水平不高，存在低效、闲置土地。闲置土地的处置涉及权</w:t>
      </w:r>
      <w:r>
        <w:rPr>
          <w:rFonts w:hint="eastAsia" w:ascii="Times New Roman" w:hAnsi="Times New Roman" w:eastAsia="仿宋_GB2312" w:cs="Times New Roman"/>
          <w:b w:val="0"/>
          <w:bCs w:val="0"/>
          <w:color w:val="auto"/>
          <w:kern w:val="2"/>
          <w:sz w:val="32"/>
          <w:szCs w:val="32"/>
          <w:highlight w:val="none"/>
          <w:lang w:val="en-US" w:eastAsia="zh-CN" w:bidi="ar-SA"/>
        </w:rPr>
        <w:t>利人的切身</w:t>
      </w:r>
      <w:r>
        <w:rPr>
          <w:rFonts w:hint="default" w:ascii="Times New Roman" w:hAnsi="Times New Roman" w:eastAsia="仿宋_GB2312" w:cs="Times New Roman"/>
          <w:b w:val="0"/>
          <w:bCs w:val="0"/>
          <w:color w:val="auto"/>
          <w:kern w:val="2"/>
          <w:sz w:val="32"/>
          <w:szCs w:val="32"/>
          <w:highlight w:val="none"/>
          <w:lang w:val="en-US" w:eastAsia="zh-CN" w:bidi="ar-SA"/>
        </w:rPr>
        <w:t>利益，执行难度大、时间长，导致闲置土地没有得到快速充分利用，土地集约节约利用水平亟待提升。</w:t>
      </w:r>
    </w:p>
    <w:p w14:paraId="38A7EA19">
      <w:pPr>
        <w:pStyle w:val="3"/>
        <w:keepNext/>
        <w:keepLines/>
        <w:pageBreakBefore w:val="0"/>
        <w:widowControl w:val="0"/>
        <w:numPr>
          <w:ilvl w:val="0"/>
          <w:numId w:val="2"/>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6" w:name="_Toc14775"/>
      <w:bookmarkStart w:id="17" w:name="_Toc13990"/>
      <w:r>
        <w:rPr>
          <w:rFonts w:hint="default" w:ascii="Times New Roman" w:hAnsi="Times New Roman" w:eastAsia="黑体" w:cs="Times New Roman"/>
          <w:b w:val="0"/>
          <w:bCs w:val="0"/>
          <w:color w:val="auto"/>
          <w:sz w:val="32"/>
          <w:szCs w:val="32"/>
          <w:highlight w:val="none"/>
          <w:lang w:val="en-US" w:eastAsia="zh-CN"/>
        </w:rPr>
        <w:t>国土空间开发保护面临机遇与挑战</w:t>
      </w:r>
      <w:bookmarkEnd w:id="16"/>
      <w:bookmarkEnd w:id="17"/>
    </w:p>
    <w:p w14:paraId="1C53ABE8">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18" w:name="_Toc8577"/>
      <w:bookmarkStart w:id="19" w:name="_Toc26145"/>
      <w:bookmarkStart w:id="20" w:name="_Toc3174"/>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国土空间开发保护面临的机遇</w:t>
      </w:r>
      <w:bookmarkEnd w:id="18"/>
      <w:bookmarkEnd w:id="19"/>
      <w:bookmarkEnd w:id="20"/>
    </w:p>
    <w:p w14:paraId="7FB80D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国家</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楷体_GB2312" w:cs="Times New Roman"/>
          <w:b w:val="0"/>
          <w:bCs w:val="0"/>
          <w:color w:val="auto"/>
          <w:kern w:val="2"/>
          <w:sz w:val="32"/>
          <w:szCs w:val="32"/>
          <w:highlight w:val="none"/>
          <w:lang w:val="en-US" w:eastAsia="zh-CN" w:bidi="ar-SA"/>
        </w:rPr>
        <w:t>粮食安全</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楷体_GB2312" w:cs="Times New Roman"/>
          <w:b w:val="0"/>
          <w:bCs w:val="0"/>
          <w:color w:val="auto"/>
          <w:kern w:val="2"/>
          <w:sz w:val="32"/>
          <w:szCs w:val="32"/>
          <w:highlight w:val="none"/>
          <w:lang w:val="en-US" w:eastAsia="zh-CN" w:bidi="ar-SA"/>
        </w:rPr>
        <w:t>战略为绥滨县提升农业产业水平带来发展机遇。</w:t>
      </w:r>
      <w:r>
        <w:rPr>
          <w:rFonts w:hint="default" w:ascii="Times New Roman" w:hAnsi="Times New Roman" w:eastAsia="仿宋_GB2312" w:cs="Times New Roman"/>
          <w:b w:val="0"/>
          <w:bCs w:val="0"/>
          <w:color w:val="auto"/>
          <w:kern w:val="2"/>
          <w:sz w:val="32"/>
          <w:szCs w:val="32"/>
          <w:highlight w:val="none"/>
          <w:lang w:val="en-US" w:eastAsia="zh-CN" w:bidi="ar-SA"/>
        </w:rPr>
        <w:t>国家首次把实施粮食安全战略纳入五年规划，并在每年的1号文中都把</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三农</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工作列为重点工作内容，通过全力抓好粮食生产、发展现代设施农业、加强农业基础设施建设等内容，提升粮食产量，保障粮食安全。《关于支持东北地区筑牢国家粮食安全</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压舱石</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实施方案》把巩固东北大粮仓作为重点中的重点，绥滨县作为以农业为主导的产粮大县，应抓住机遇，切实加强黑土地保护、持续推进高标准农田建设、加快完善水利基础设施网络、不断强化农业科技支撑、大力促进农业绿色发展，把保障国家粮食安全作为头等大事，推进农业现代化进程，巩固生态农业、发展智慧农业、形成品牌农业。</w:t>
      </w:r>
    </w:p>
    <w:p w14:paraId="047F84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习近平生态文明思想为绥滨县强化生态县建设带来发展机遇。</w:t>
      </w:r>
      <w:r>
        <w:rPr>
          <w:rFonts w:hint="default" w:ascii="Times New Roman" w:hAnsi="Times New Roman" w:eastAsia="仿宋_GB2312" w:cs="Times New Roman"/>
          <w:b w:val="0"/>
          <w:bCs w:val="0"/>
          <w:color w:val="auto"/>
          <w:kern w:val="2"/>
          <w:sz w:val="32"/>
          <w:szCs w:val="32"/>
          <w:highlight w:val="none"/>
          <w:lang w:val="en-US" w:eastAsia="zh-CN" w:bidi="ar-SA"/>
        </w:rPr>
        <w:t>党的十八大以来，习近平总书记围绕生态文明建设作出一系列重要论断，形成了习近平生态文明思想，把我们党对生态文明建设认识提升到一个新境界。绥滨县作为国家级生态示范区、省级生态示范县和三江平原国家级生态功能保护区重要组成部分，把生态县建设作为发展重点，抓住机遇，充分发挥资源环境优势，尊重自然、顺应自然、保护自然和绿色发展、循环发展、低碳发展，协调生态安全与粮食安全和产业安全关系。</w:t>
      </w:r>
    </w:p>
    <w:p w14:paraId="0A33B0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楷体_GB2312" w:cs="Times New Roman"/>
          <w:b w:val="0"/>
          <w:bCs w:val="0"/>
          <w:color w:val="auto"/>
          <w:kern w:val="2"/>
          <w:sz w:val="32"/>
          <w:szCs w:val="32"/>
          <w:highlight w:val="none"/>
          <w:lang w:val="en-US" w:eastAsia="zh-CN" w:bidi="ar-SA"/>
        </w:rPr>
        <w:t>治国必治边</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楷体_GB2312" w:cs="Times New Roman"/>
          <w:b w:val="0"/>
          <w:bCs w:val="0"/>
          <w:color w:val="auto"/>
          <w:kern w:val="2"/>
          <w:sz w:val="32"/>
          <w:szCs w:val="32"/>
          <w:highlight w:val="none"/>
          <w:lang w:val="en-US" w:eastAsia="zh-CN" w:bidi="ar-SA"/>
        </w:rPr>
        <w:t>的战略思想为绥滨县推进乡村振兴、兴边富民、产业振兴带来发展机遇。</w:t>
      </w:r>
      <w:r>
        <w:rPr>
          <w:rFonts w:hint="default" w:ascii="Times New Roman" w:hAnsi="Times New Roman" w:eastAsia="仿宋_GB2312" w:cs="Times New Roman"/>
          <w:b w:val="0"/>
          <w:bCs w:val="0"/>
          <w:color w:val="auto"/>
          <w:kern w:val="2"/>
          <w:sz w:val="32"/>
          <w:szCs w:val="32"/>
          <w:highlight w:val="none"/>
          <w:lang w:val="en-US" w:eastAsia="zh-CN" w:bidi="ar-SA"/>
        </w:rPr>
        <w:t>党的十八大以来，习近平总书记从维护国家安全和实现中华民族伟大复兴的战略高度出发，提出了</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治国必治边</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的战略思想，对强边固防、兴边富民稳边固边作出一系列重要指示批示。黑龙江省委、鹤岗市相继出台一系列政策措施。绥滨县作为边境县，抓住机遇，把兴边富民、脱贫攻坚与乡村振兴有效衔接、有机融合，</w:t>
      </w:r>
      <w:r>
        <w:rPr>
          <w:rFonts w:hint="eastAsia" w:ascii="Times New Roman" w:hAnsi="Times New Roman" w:eastAsia="仿宋_GB2312" w:cs="Times New Roman"/>
          <w:b w:val="0"/>
          <w:bCs w:val="0"/>
          <w:color w:val="auto"/>
          <w:kern w:val="2"/>
          <w:sz w:val="32"/>
          <w:szCs w:val="32"/>
          <w:highlight w:val="none"/>
          <w:lang w:val="en-US" w:eastAsia="zh-CN" w:bidi="ar-SA"/>
        </w:rPr>
        <w:t>统筹</w:t>
      </w:r>
      <w:r>
        <w:rPr>
          <w:rFonts w:hint="default" w:ascii="Times New Roman" w:hAnsi="Times New Roman" w:eastAsia="仿宋_GB2312" w:cs="Times New Roman"/>
          <w:b w:val="0"/>
          <w:bCs w:val="0"/>
          <w:color w:val="auto"/>
          <w:kern w:val="2"/>
          <w:sz w:val="32"/>
          <w:szCs w:val="32"/>
          <w:highlight w:val="none"/>
          <w:lang w:val="en-US" w:eastAsia="zh-CN" w:bidi="ar-SA"/>
        </w:rPr>
        <w:t>推进经济社会和边防建设，推进守边固边富边强边，构建边民生活有保障、致富有渠道、守边有动力、发展有支撑的新格局，提升产业发展基础设施、公共服务水平，让边境群众的腰包鼓起来、生活富起来、爱国守边的意识强起来。</w:t>
      </w:r>
    </w:p>
    <w:p w14:paraId="2849C4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val="0"/>
          <w:bCs w:val="0"/>
          <w:color w:val="auto"/>
          <w:kern w:val="2"/>
          <w:sz w:val="32"/>
          <w:szCs w:val="32"/>
          <w:highlight w:val="none"/>
          <w:lang w:val="en-US" w:eastAsia="zh-CN" w:bidi="ar-SA"/>
        </w:rPr>
        <w:t>国家大力发展战略性新兴产业为绥滨县发展新能源产业带来机遇。</w:t>
      </w:r>
      <w:r>
        <w:rPr>
          <w:rFonts w:hint="default" w:ascii="Times New Roman" w:hAnsi="Times New Roman" w:eastAsia="仿宋_GB2312" w:cs="Times New Roman"/>
          <w:b w:val="0"/>
          <w:bCs w:val="0"/>
          <w:color w:val="auto"/>
          <w:kern w:val="2"/>
          <w:sz w:val="32"/>
          <w:szCs w:val="32"/>
          <w:highlight w:val="none"/>
          <w:lang w:val="en-US" w:eastAsia="zh-CN" w:bidi="ar-SA"/>
        </w:rPr>
        <w:t>为保障国家能源安全，落实《国家2030年前碳排放达峰行动方案》，国家大力发展新能源，全面推进风电、太阳能发电大规模开发和高质量发展，坚持集中式与分布式并举，加快建设风电和光伏发电基地。《黑龙江省国民经济和社会发展第十四个五年规划和二〇三五年远景目标纲要》指出在佳木斯、牡丹江、鸡西、双鸭山、七台河、鹤岗等城市建设以电力外送为主的可再生能源基地，因地制宜发展分布式能源。绥滨县应抓住机遇，借助独特的地理位置和丰富的自然资源，积极加快推进风力发电、光伏发电和生物质能发电项目的建设，形成风电主导、风光互补、火电调节、多元发展的新格局，打造</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边陲能源新区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p>
    <w:p w14:paraId="3E649616">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21" w:name="_Toc27289"/>
      <w:bookmarkStart w:id="22" w:name="_Toc30812"/>
      <w:bookmarkStart w:id="23" w:name="_Toc17304"/>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国土空间开发保护面临的挑战</w:t>
      </w:r>
      <w:bookmarkEnd w:id="21"/>
      <w:bookmarkEnd w:id="22"/>
      <w:bookmarkEnd w:id="23"/>
    </w:p>
    <w:p w14:paraId="7E295C3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建设用地节约集约利用是高质量发展面临的挑战。</w:t>
      </w:r>
      <w:r>
        <w:rPr>
          <w:rFonts w:hint="default" w:ascii="Times New Roman" w:hAnsi="Times New Roman" w:eastAsia="仿宋_GB2312" w:cs="Times New Roman"/>
          <w:b w:val="0"/>
          <w:bCs w:val="0"/>
          <w:color w:val="auto"/>
          <w:kern w:val="2"/>
          <w:sz w:val="32"/>
          <w:szCs w:val="32"/>
          <w:highlight w:val="none"/>
          <w:lang w:val="en-US" w:eastAsia="zh-CN" w:bidi="ar-SA"/>
        </w:rPr>
        <w:t>绥滨县建设用地利用比较粗放，与高质量发展不相适应。城镇用地空间利用刚性约束不到位，产业项目用地相对粗放，大量批而未用土地亟待处置，开发区空间利用效率总体不高，乡村内部</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空心化</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呈扩大态势。规划如何优化产业用地、推进农村建设用地整治复垦，提升节约集约利用土地水平，是绥滨县高质量发展需要面临的挑战。</w:t>
      </w:r>
    </w:p>
    <w:p w14:paraId="2821620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水资源利用方式转型，是水资源利用面临的挑战。</w:t>
      </w:r>
      <w:r>
        <w:rPr>
          <w:rFonts w:hint="default" w:ascii="Times New Roman" w:hAnsi="Times New Roman" w:eastAsia="仿宋_GB2312" w:cs="Times New Roman"/>
          <w:b w:val="0"/>
          <w:bCs w:val="0"/>
          <w:color w:val="auto"/>
          <w:kern w:val="2"/>
          <w:sz w:val="32"/>
          <w:szCs w:val="32"/>
          <w:highlight w:val="none"/>
          <w:lang w:val="en-US" w:eastAsia="zh-CN" w:bidi="ar-SA"/>
        </w:rPr>
        <w:t>绥滨县农业大县，鱼米之乡，但水田灌溉多以地下水灌溉为主，造成水资源利用失衡，地下水资源过度开采，地表水利用率低，水资源利用方式亟待转型。规划如何控制地下水开采量、提升过境水资源的利用率，成功实现水资源利用转型，是绥滨县严控水资源利用需要面临的挑战。</w:t>
      </w:r>
    </w:p>
    <w:p w14:paraId="6C18671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平衡粮食安全、生态安全和产业安全关系，是资源保护与利用面临的挑战。</w:t>
      </w:r>
      <w:r>
        <w:rPr>
          <w:rFonts w:hint="default" w:ascii="Times New Roman" w:hAnsi="Times New Roman" w:eastAsia="仿宋_GB2312" w:cs="Times New Roman"/>
          <w:b w:val="0"/>
          <w:bCs w:val="0"/>
          <w:color w:val="auto"/>
          <w:kern w:val="2"/>
          <w:sz w:val="32"/>
          <w:szCs w:val="32"/>
          <w:highlight w:val="none"/>
          <w:lang w:val="en-US" w:eastAsia="zh-CN" w:bidi="ar-SA"/>
        </w:rPr>
        <w:t>绥滨县三调成果与二调比较，增加了耕地，湿地、林地、草地、水域等重要生态功能用地减少。在国家重点保障粮食安全，在严格控制耕地减少的情况下，如何保障生态安全，在耕地后备资源较少、占补平衡压力较大的情况下，如何保障产业用地需求，达到粮食安全、生态安全和产业安全的和谐发展，是绥滨县资源保护与利用需要面临的挑战。</w:t>
      </w:r>
    </w:p>
    <w:p w14:paraId="024DE2D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扩充人力、财力发展基础，是产业发展面临的挑战。</w:t>
      </w:r>
      <w:r>
        <w:rPr>
          <w:rFonts w:hint="default" w:ascii="Times New Roman" w:hAnsi="Times New Roman" w:eastAsia="仿宋_GB2312" w:cs="Times New Roman"/>
          <w:b w:val="0"/>
          <w:bCs w:val="0"/>
          <w:color w:val="auto"/>
          <w:kern w:val="2"/>
          <w:sz w:val="32"/>
          <w:szCs w:val="32"/>
          <w:highlight w:val="none"/>
          <w:lang w:val="en-US" w:eastAsia="zh-CN" w:bidi="ar-SA"/>
        </w:rPr>
        <w:t>人才不足和资金短缺是限制绥滨县产业发展因素之一，规划如何引进人才、培养人才、留住人才、实现人才振兴，如何招商引资、扩充资金来源、推进产业融合、实现产业振兴，是绥滨县产业发展需要面临的新挑战。</w:t>
      </w:r>
    </w:p>
    <w:p w14:paraId="2BE1E59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楷体_GB2312" w:cs="Times New Roman"/>
          <w:b w:val="0"/>
          <w:bCs w:val="0"/>
          <w:color w:val="auto"/>
          <w:kern w:val="2"/>
          <w:sz w:val="32"/>
          <w:szCs w:val="32"/>
          <w:highlight w:val="none"/>
          <w:lang w:val="en-US" w:eastAsia="zh-CN" w:bidi="ar-SA"/>
        </w:rPr>
        <w:t>山水林田湖草系统保护</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楷体_GB2312" w:cs="Times New Roman"/>
          <w:b w:val="0"/>
          <w:bCs w:val="0"/>
          <w:color w:val="auto"/>
          <w:kern w:val="2"/>
          <w:sz w:val="32"/>
          <w:szCs w:val="32"/>
          <w:highlight w:val="none"/>
          <w:lang w:val="en-US" w:eastAsia="zh-CN" w:bidi="ar-SA"/>
        </w:rPr>
        <w:t>是生态建设的挑战</w:t>
      </w:r>
      <w:r>
        <w:rPr>
          <w:rFonts w:hint="default" w:ascii="Times New Roman" w:hAnsi="Times New Roman" w:eastAsia="仿宋_GB2312" w:cs="Times New Roman"/>
          <w:b w:val="0"/>
          <w:bCs w:val="0"/>
          <w:color w:val="auto"/>
          <w:kern w:val="2"/>
          <w:sz w:val="32"/>
          <w:szCs w:val="32"/>
          <w:highlight w:val="none"/>
          <w:lang w:val="en-US" w:eastAsia="zh-CN" w:bidi="ar-SA"/>
        </w:rPr>
        <w:t>。绥滨县存在耕地面源污染、水土流失侵蚀、废弃矿山等环境问题，规划如何进行山水林田湖草系统及生物多样性保护</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提升生态系统功能，是绥滨县生态建设需要面临的挑战。</w:t>
      </w:r>
    </w:p>
    <w:p w14:paraId="65A13634">
      <w:pPr>
        <w:rPr>
          <w:rFonts w:hint="default" w:ascii="Times New Roman" w:hAnsi="Times New Roman" w:eastAsia="方正小标宋_GBK" w:cs="Times New Roman"/>
          <w:b w:val="0"/>
          <w:bCs w:val="0"/>
          <w:color w:val="auto"/>
          <w:sz w:val="36"/>
          <w:szCs w:val="36"/>
          <w:highlight w:val="none"/>
          <w:lang w:val="en-US" w:eastAsia="zh-CN"/>
        </w:rPr>
      </w:pPr>
      <w:r>
        <w:rPr>
          <w:rFonts w:hint="default" w:ascii="Times New Roman" w:hAnsi="Times New Roman" w:eastAsia="方正小标宋_GBK" w:cs="Times New Roman"/>
          <w:b w:val="0"/>
          <w:bCs w:val="0"/>
          <w:color w:val="auto"/>
          <w:sz w:val="36"/>
          <w:szCs w:val="36"/>
          <w:highlight w:val="none"/>
          <w:lang w:val="en-US" w:eastAsia="zh-CN"/>
        </w:rPr>
        <w:br w:type="page"/>
      </w:r>
    </w:p>
    <w:p w14:paraId="26880B15">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方正小标宋简体" w:cs="Times New Roman"/>
          <w:b w:val="0"/>
          <w:bCs w:val="0"/>
          <w:color w:val="auto"/>
          <w:sz w:val="36"/>
          <w:szCs w:val="36"/>
          <w:highlight w:val="none"/>
          <w:lang w:val="en-US" w:eastAsia="zh-CN"/>
        </w:rPr>
      </w:pPr>
      <w:bookmarkStart w:id="24" w:name="_Toc19744"/>
      <w:r>
        <w:rPr>
          <w:rFonts w:hint="default" w:ascii="Times New Roman" w:hAnsi="Times New Roman" w:eastAsia="方正小标宋简体" w:cs="Times New Roman"/>
          <w:b w:val="0"/>
          <w:bCs w:val="0"/>
          <w:color w:val="auto"/>
          <w:sz w:val="36"/>
          <w:szCs w:val="36"/>
          <w:highlight w:val="none"/>
          <w:lang w:val="en-US" w:eastAsia="zh-CN"/>
        </w:rPr>
        <w:t>国土空间目标与战略</w:t>
      </w:r>
      <w:bookmarkEnd w:id="24"/>
    </w:p>
    <w:p w14:paraId="13228211">
      <w:pPr>
        <w:pStyle w:val="3"/>
        <w:keepNext/>
        <w:keepLines/>
        <w:pageBreakBefore w:val="0"/>
        <w:widowControl w:val="0"/>
        <w:numPr>
          <w:ilvl w:val="0"/>
          <w:numId w:val="3"/>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25" w:name="_Toc31380"/>
      <w:r>
        <w:rPr>
          <w:rFonts w:hint="default" w:ascii="Times New Roman" w:hAnsi="Times New Roman" w:eastAsia="黑体" w:cs="Times New Roman"/>
          <w:b w:val="0"/>
          <w:bCs w:val="0"/>
          <w:color w:val="auto"/>
          <w:sz w:val="32"/>
          <w:szCs w:val="32"/>
          <w:highlight w:val="none"/>
          <w:lang w:val="en-US" w:eastAsia="zh-CN"/>
        </w:rPr>
        <w:t>发展定位</w:t>
      </w:r>
      <w:bookmarkEnd w:id="25"/>
    </w:p>
    <w:p w14:paraId="36102276">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26" w:name="_Toc15835"/>
      <w:bookmarkStart w:id="27" w:name="_Toc1304"/>
      <w:bookmarkStart w:id="28" w:name="_Toc11620"/>
      <w:bookmarkStart w:id="29" w:name="_Toc18260"/>
      <w:bookmarkStart w:id="30" w:name="_Toc728"/>
      <w:bookmarkStart w:id="31" w:name="_Toc30981"/>
      <w:bookmarkStart w:id="32" w:name="_Toc14390"/>
      <w:bookmarkStart w:id="33" w:name="_Toc24706"/>
      <w:bookmarkStart w:id="34" w:name="_Toc11296"/>
      <w:bookmarkStart w:id="35" w:name="_Toc31650"/>
      <w:bookmarkStart w:id="36" w:name="_Toc3982"/>
      <w:bookmarkStart w:id="37" w:name="_Toc19473"/>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城市性质</w:t>
      </w:r>
      <w:bookmarkEnd w:id="26"/>
      <w:bookmarkEnd w:id="27"/>
      <w:bookmarkEnd w:id="28"/>
      <w:bookmarkEnd w:id="29"/>
      <w:bookmarkEnd w:id="30"/>
      <w:bookmarkEnd w:id="31"/>
      <w:bookmarkEnd w:id="32"/>
      <w:bookmarkEnd w:id="33"/>
      <w:bookmarkEnd w:id="34"/>
      <w:bookmarkEnd w:id="35"/>
      <w:bookmarkEnd w:id="36"/>
      <w:bookmarkEnd w:id="37"/>
    </w:p>
    <w:p w14:paraId="599BDD4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绥滨县城市性质：鹤岗市东部副中心城市、现代化农业与特色农产品生产加工基地、以边境文化和康养旅游为特色的生态示范县。</w:t>
      </w:r>
    </w:p>
    <w:p w14:paraId="28B9A74F">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38" w:name="_Toc21162"/>
      <w:bookmarkStart w:id="39" w:name="_Toc13753"/>
      <w:bookmarkStart w:id="40" w:name="_Toc17562"/>
      <w:bookmarkStart w:id="41" w:name="_Toc17178"/>
      <w:bookmarkStart w:id="42" w:name="_Toc15006"/>
      <w:bookmarkStart w:id="43" w:name="_Toc29101"/>
      <w:bookmarkStart w:id="44" w:name="_Toc17213"/>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城市职能</w:t>
      </w:r>
      <w:bookmarkEnd w:id="38"/>
      <w:bookmarkEnd w:id="39"/>
      <w:bookmarkEnd w:id="40"/>
      <w:bookmarkEnd w:id="41"/>
      <w:bookmarkEnd w:id="42"/>
      <w:bookmarkEnd w:id="43"/>
      <w:bookmarkEnd w:id="44"/>
    </w:p>
    <w:p w14:paraId="49D88EA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国家级生态示范区、现代化农业生产基地、现代能源产业发展区、沿边城镇开放合作区。</w:t>
      </w:r>
    </w:p>
    <w:p w14:paraId="43DEFBA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45" w:name="_Toc7871"/>
      <w:bookmarkStart w:id="46" w:name="_Toc2449"/>
      <w:bookmarkStart w:id="47" w:name="_Toc29206"/>
      <w:bookmarkStart w:id="48" w:name="_Toc12843"/>
      <w:bookmarkStart w:id="49" w:name="_Toc17208"/>
      <w:bookmarkStart w:id="50" w:name="_Toc29677"/>
      <w:bookmarkStart w:id="51" w:name="_Toc18456"/>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发展定位</w:t>
      </w:r>
      <w:bookmarkEnd w:id="45"/>
      <w:bookmarkEnd w:id="46"/>
      <w:bookmarkEnd w:id="47"/>
      <w:bookmarkEnd w:id="48"/>
      <w:bookmarkEnd w:id="49"/>
      <w:bookmarkEnd w:id="50"/>
      <w:bookmarkEnd w:id="51"/>
    </w:p>
    <w:p w14:paraId="222C4B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规划绥滨县发展定位为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两江现代农业之都，魅力宜居滨水古城</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p>
    <w:p w14:paraId="1E4518B8">
      <w:pPr>
        <w:pStyle w:val="3"/>
        <w:keepNext/>
        <w:keepLines/>
        <w:pageBreakBefore w:val="0"/>
        <w:widowControl w:val="0"/>
        <w:numPr>
          <w:ilvl w:val="0"/>
          <w:numId w:val="3"/>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52" w:name="_Toc24156"/>
      <w:r>
        <w:rPr>
          <w:rFonts w:hint="default" w:ascii="Times New Roman" w:hAnsi="Times New Roman" w:eastAsia="黑体" w:cs="Times New Roman"/>
          <w:b w:val="0"/>
          <w:bCs w:val="0"/>
          <w:color w:val="auto"/>
          <w:sz w:val="32"/>
          <w:szCs w:val="32"/>
          <w:highlight w:val="none"/>
          <w:lang w:val="en-US" w:eastAsia="zh-CN"/>
        </w:rPr>
        <w:t>规划目标</w:t>
      </w:r>
      <w:bookmarkEnd w:id="52"/>
    </w:p>
    <w:p w14:paraId="54FD5484">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规划目标</w:t>
      </w:r>
    </w:p>
    <w:p w14:paraId="4C72B8C7">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sz w:val="32"/>
          <w:szCs w:val="32"/>
          <w:highlight w:val="none"/>
        </w:rPr>
        <w:t>近期2025年：</w:t>
      </w:r>
      <w:bookmarkStart w:id="53" w:name="_Hlk137193607"/>
      <w:r>
        <w:rPr>
          <w:rFonts w:hint="default" w:ascii="Times New Roman" w:hAnsi="Times New Roman" w:eastAsia="仿宋_GB2312" w:cs="Times New Roman"/>
          <w:b w:val="0"/>
          <w:bCs w:val="0"/>
          <w:color w:val="auto"/>
          <w:kern w:val="2"/>
          <w:sz w:val="32"/>
          <w:szCs w:val="32"/>
          <w:highlight w:val="none"/>
          <w:lang w:val="en-US" w:eastAsia="zh-CN" w:bidi="ar-SA"/>
        </w:rPr>
        <w:t>国土空间格局初步构建，区域主体功能得到明确；生态环境管控体系初步建立，全域生态环境总体改善，耕地和永久基本农田得到有效保护，</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山水林田湖草</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体化保护和修复机制初步完善；鹤岗市区域副中心城市地位基本形成，城镇体系得到优化，城镇建设用地集约利用程度有所提高，城乡发展能耗得到合理控制；全域产业得到进一步发展，产业结构得到有效调整；对外开放合作取得新突破，进一步融入</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一带一路</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对俄贸易与区域合作取得较大进展；全域旅游体系初步建立，旅游资源挖潜得到大力开发，旅游服务设施逐步完善；民生福祉改善成果显著，基本公共服务均等化得到加强，城市品质及居民幸福指数明显提升，农村风貌建设明显改善。</w:t>
      </w:r>
      <w:bookmarkEnd w:id="53"/>
    </w:p>
    <w:p w14:paraId="1A8AC74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规划期2035年：</w:t>
      </w:r>
      <w:r>
        <w:rPr>
          <w:rFonts w:hint="default" w:ascii="Times New Roman" w:hAnsi="Times New Roman" w:eastAsia="仿宋_GB2312" w:cs="Times New Roman"/>
          <w:b w:val="0"/>
          <w:bCs w:val="0"/>
          <w:color w:val="auto"/>
          <w:kern w:val="2"/>
          <w:sz w:val="32"/>
          <w:szCs w:val="32"/>
          <w:highlight w:val="none"/>
          <w:lang w:val="en-US" w:eastAsia="zh-CN" w:bidi="ar-SA"/>
        </w:rPr>
        <w:t>基本形成</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两轴两廊、一核三区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的国土空间总体格局，初步建立了以生态功能为主体、农产品主产区为重要组成部分的主体功能分区；全域生态环境全面改善，黑土地保护水平及永久基本农田数量得到提升，国家粮食安全得到进一步保障，城乡发展能耗有所降低，国土空间更加安全韧性，国家重点生态功能区地位进一步加强；地区竞争力稳步增强，中心城区区域辐射能力显著提高，</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县、乡（镇）、村</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三级城镇体系进一步明确，厂县共建取得一定成效，新型城镇化与城乡一体化进程稳步推进，全域发展要素支撑体系进一步完善；产城融合快速发展，新能源产业具有一定规模，粮食</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压舱石</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作用进一步强化，农产品品牌影响力大幅增强，服务业综合实力显著提升，服务能力水平取得新突破；全域旅游发展水平进一步提高，各级历史文物保护单位得到有效保护利用，基本建成边境生态文化康旅</w:t>
      </w:r>
      <w:r>
        <w:rPr>
          <w:rFonts w:hint="eastAsia" w:ascii="Times New Roman" w:hAnsi="Times New Roman" w:eastAsia="仿宋_GB2312" w:cs="Times New Roman"/>
          <w:b w:val="0"/>
          <w:bCs w:val="0"/>
          <w:color w:val="auto"/>
          <w:kern w:val="2"/>
          <w:sz w:val="32"/>
          <w:szCs w:val="32"/>
          <w:highlight w:val="none"/>
          <w:lang w:val="en-US" w:eastAsia="zh-CN" w:bidi="ar-SA"/>
        </w:rPr>
        <w:t>胜地</w:t>
      </w:r>
      <w:r>
        <w:rPr>
          <w:rFonts w:hint="default" w:ascii="Times New Roman" w:hAnsi="Times New Roman" w:eastAsia="仿宋_GB2312" w:cs="Times New Roman"/>
          <w:b w:val="0"/>
          <w:bCs w:val="0"/>
          <w:color w:val="auto"/>
          <w:kern w:val="2"/>
          <w:sz w:val="32"/>
          <w:szCs w:val="32"/>
          <w:highlight w:val="none"/>
          <w:lang w:val="en-US" w:eastAsia="zh-CN" w:bidi="ar-SA"/>
        </w:rPr>
        <w:t>品牌；人居生活品质得到大幅提升，基本实现高水平社会主义现代化，智慧城市与和美乡村建设迈上新台阶。</w:t>
      </w:r>
    </w:p>
    <w:p w14:paraId="426029D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val="0"/>
          <w:bCs w:val="0"/>
          <w:color w:val="auto"/>
          <w:sz w:val="32"/>
          <w:szCs w:val="32"/>
          <w:highlight w:val="none"/>
        </w:rPr>
        <w:t>远期2050年：</w:t>
      </w:r>
      <w:r>
        <w:rPr>
          <w:rFonts w:hint="default" w:ascii="Times New Roman" w:hAnsi="Times New Roman" w:eastAsia="仿宋_GB2312" w:cs="Times New Roman"/>
          <w:b w:val="0"/>
          <w:bCs w:val="0"/>
          <w:color w:val="auto"/>
          <w:kern w:val="2"/>
          <w:sz w:val="32"/>
          <w:szCs w:val="32"/>
          <w:highlight w:val="none"/>
          <w:lang w:val="en-US" w:eastAsia="zh-CN" w:bidi="ar-SA"/>
        </w:rPr>
        <w:t>全力迈向</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第二个百年奋斗目标</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，力争建成现代化农业与生态文明的示范标杆、四季旅居康养名城、新能源开发利用重要基地。</w:t>
      </w:r>
    </w:p>
    <w:p w14:paraId="11396836">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规划愿景</w:t>
      </w:r>
    </w:p>
    <w:p w14:paraId="5CA860C1">
      <w:pPr>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努力实现</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自然环境品质更加优越、经济发展底板更加牢固、城乡文明涵养更富底蕴、社会公平正义更加彰显</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的社会主义现代化东北边境特色城市。</w:t>
      </w:r>
    </w:p>
    <w:p w14:paraId="5B877393">
      <w:pPr>
        <w:pStyle w:val="3"/>
        <w:keepNext/>
        <w:keepLines/>
        <w:pageBreakBefore w:val="0"/>
        <w:widowControl w:val="0"/>
        <w:numPr>
          <w:ilvl w:val="0"/>
          <w:numId w:val="3"/>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54" w:name="_Toc17675"/>
      <w:r>
        <w:rPr>
          <w:rFonts w:hint="default" w:ascii="Times New Roman" w:hAnsi="Times New Roman" w:eastAsia="黑体" w:cs="Times New Roman"/>
          <w:b w:val="0"/>
          <w:bCs w:val="0"/>
          <w:color w:val="auto"/>
          <w:sz w:val="32"/>
          <w:szCs w:val="32"/>
          <w:highlight w:val="none"/>
          <w:lang w:val="en-US" w:eastAsia="zh-CN"/>
        </w:rPr>
        <w:t>空间战略</w:t>
      </w:r>
      <w:bookmarkEnd w:id="54"/>
    </w:p>
    <w:p w14:paraId="1CD52F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bookmarkStart w:id="55" w:name="_Toc23689"/>
      <w:bookmarkStart w:id="56" w:name="_Toc24286"/>
      <w:bookmarkStart w:id="57" w:name="_Toc739"/>
      <w:bookmarkStart w:id="58" w:name="_Toc810"/>
      <w:r>
        <w:rPr>
          <w:rFonts w:hint="default" w:ascii="Times New Roman" w:hAnsi="Times New Roman" w:eastAsia="仿宋_GB2312" w:cs="Times New Roman"/>
          <w:b w:val="0"/>
          <w:bCs w:val="0"/>
          <w:color w:val="auto"/>
          <w:sz w:val="32"/>
          <w:szCs w:val="32"/>
          <w:highlight w:val="none"/>
          <w:lang w:val="en-US" w:eastAsia="zh-CN"/>
        </w:rPr>
        <w:t>战略一：藏粮有方，切实保障国家粮食安全</w:t>
      </w:r>
      <w:bookmarkEnd w:id="55"/>
      <w:bookmarkEnd w:id="56"/>
      <w:bookmarkEnd w:id="57"/>
      <w:bookmarkEnd w:id="58"/>
    </w:p>
    <w:p w14:paraId="554EAC45">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扎实推进</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藏粮于地、藏粮于技</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战略。全面落实永久基本农田保护制度，严格耕地用途管制，建立黑土地保护长效机制；积极推进高标准农田建设和农田改造，同时加大农业智能化、信息化水平，提升农业灾害防御能力；优化种植结构，重点建设</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两江一河</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绿色生态农业示范带；推进现代规模化养殖，提升特色畜禽渔产品市场竞争力和影响力。</w:t>
      </w:r>
    </w:p>
    <w:p w14:paraId="5F65ED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战略二：兴边富民，持续推动边境地区高质量发展</w:t>
      </w:r>
    </w:p>
    <w:p w14:paraId="5BD39BE4">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牢记</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国之大者</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坚定不移贯彻总体国家安全观。加快完善边境地区基础设施建设，强化边境乡镇及抵边村庄公共服务设施服务能力和水平，满足边境乡村地区居民对美好生活的更高需求，促进边境居民人口稳定；大力发展特色优势产业，培育新的发展优势，拓展新的发展空间，通过强化自身活力，形成边境乡镇及抵边村庄发展新动能；以繁荣发展促进民族团结，深化民族团结进步教育，推动各民族交往交流交融，加强军民融合、共建共享；</w:t>
      </w:r>
      <w:r>
        <w:rPr>
          <w:rFonts w:hint="eastAsia" w:ascii="Times New Roman" w:hAnsi="Times New Roman" w:eastAsia="仿宋_GB2312" w:cs="Times New Roman"/>
          <w:color w:val="auto"/>
          <w:sz w:val="32"/>
          <w:szCs w:val="32"/>
          <w:highlight w:val="none"/>
          <w:lang w:eastAsia="zh-CN"/>
        </w:rPr>
        <w:t>增强</w:t>
      </w:r>
      <w:r>
        <w:rPr>
          <w:rFonts w:hint="default" w:ascii="Times New Roman" w:hAnsi="Times New Roman" w:eastAsia="仿宋_GB2312" w:cs="Times New Roman"/>
          <w:color w:val="auto"/>
          <w:sz w:val="32"/>
          <w:szCs w:val="32"/>
          <w:highlight w:val="none"/>
        </w:rPr>
        <w:t>抵边居民安全防范意识，化解边境地区风险隐患，保障居民生命财产安全。</w:t>
      </w:r>
    </w:p>
    <w:p w14:paraId="11F17E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战略三：品质提升，构建滨水田园现代城市典范</w:t>
      </w:r>
    </w:p>
    <w:p w14:paraId="75502169">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推进山水林田湖草</w:t>
      </w:r>
      <w:r>
        <w:rPr>
          <w:rFonts w:hint="eastAsia" w:ascii="Times New Roman" w:hAnsi="Times New Roman" w:eastAsia="仿宋_GB2312" w:cs="Times New Roman"/>
          <w:color w:val="auto"/>
          <w:sz w:val="32"/>
          <w:szCs w:val="32"/>
          <w:highlight w:val="none"/>
          <w:lang w:eastAsia="zh-CN"/>
        </w:rPr>
        <w:t>和城乡建设</w:t>
      </w:r>
      <w:r>
        <w:rPr>
          <w:rFonts w:hint="default" w:ascii="Times New Roman" w:hAnsi="Times New Roman" w:eastAsia="仿宋_GB2312" w:cs="Times New Roman"/>
          <w:color w:val="auto"/>
          <w:sz w:val="32"/>
          <w:szCs w:val="32"/>
          <w:highlight w:val="none"/>
        </w:rPr>
        <w:t>的融合发展，充分利用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历史古韵、沿江邻田</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等特色，推进城市布局与风貌塑造由中心向周边</w:t>
      </w:r>
      <w:r>
        <w:rPr>
          <w:rFonts w:hint="eastAsia" w:ascii="Times New Roman" w:hAnsi="Times New Roman" w:eastAsia="仿宋_GB2312" w:cs="Times New Roman"/>
          <w:color w:val="auto"/>
          <w:sz w:val="32"/>
          <w:szCs w:val="32"/>
          <w:highlight w:val="none"/>
          <w:lang w:eastAsia="zh-CN"/>
        </w:rPr>
        <w:t>自然过渡</w:t>
      </w:r>
      <w:r>
        <w:rPr>
          <w:rFonts w:hint="default" w:ascii="Times New Roman" w:hAnsi="Times New Roman" w:eastAsia="仿宋_GB2312" w:cs="Times New Roman"/>
          <w:color w:val="auto"/>
          <w:sz w:val="32"/>
          <w:szCs w:val="32"/>
          <w:highlight w:val="none"/>
        </w:rPr>
        <w:t>，通过以产业集聚与城市更新为动能，改善城市人居环境、增加城市活力、提升城市品质魅力；以产业园区为城市发展动力，优化提升科技创新、交通物流、现代服务、行政服务等城市中心功能，强化城市发展动力与辐射能力。完善公共服务与基础设施等硬件建设，构建优美的城市滨水景观与绿地系统，将绥滨县打造成</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工农旅融合、产城景互动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的高品质现代城市。</w:t>
      </w:r>
    </w:p>
    <w:p w14:paraId="733F1F8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战略四：绿色发展，生态环境与社会发展双促双进</w:t>
      </w:r>
    </w:p>
    <w:p w14:paraId="4895D20A">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落实</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绿水青山就是金山银山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理念与山水林田湖草一体化保护策略，以生态环境高水平保护推动经济社会高质量发展。以</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双评价</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刚性约束条件，严格限制城镇空间的开发容量，科学引导城乡开发建设行为；促进城乡生产生活方式绿色化转型，加大垃圾、污水等基础设施投入，提高生产无害化和废物资源化程度；挖掘绿色生态与其他产业融合发展潜力，培育生态经济价值链条；严格落实自然保护地保护制度，改善流域生态环境，提高区域碳汇能力。实现</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生产、生活、生态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空间各居其位、共生发展。</w:t>
      </w:r>
    </w:p>
    <w:p w14:paraId="34CD6E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战略五：经济融通，推进三产联合与产城融合发展</w:t>
      </w:r>
    </w:p>
    <w:p w14:paraId="5CC08876">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sz w:val="32"/>
          <w:szCs w:val="32"/>
          <w:highlight w:val="none"/>
        </w:rPr>
        <w:t>以广袤乡村为基础，自身特色产业为优势，依托黑龙江绥滨经济开发区，促进</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三产</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联合发展与产城融合，激活地区发展新动能。一是承担周边乡村产品升级再加工，以</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粮头食尾</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农头工尾</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为指导，延伸产品产业链条，提升产品经济附加值，培育壮大基础与优势产业；二是利用生态文化优势培育新动能，大力发展现代绿色农业、生态工业与新型工业、文化旅游产业和新能源产业，创造新产品、开发新业态、拓展新空间；三是</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产城融合</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，以中心城区为基础，经济开发区为动能，促进产业集聚发展，推动城市更新和完善服务配套，加快产业园区和城市深度融合，形成绥滨经济建设最强增长极。</w:t>
      </w:r>
    </w:p>
    <w:p w14:paraId="7CBB6875">
      <w:pPr>
        <w:rPr>
          <w:rFonts w:hint="default" w:ascii="Times New Roman" w:hAnsi="Times New Roman" w:eastAsia="方正小标宋简体" w:cs="Times New Roman"/>
          <w:b w:val="0"/>
          <w:bCs w:val="0"/>
          <w:color w:val="auto"/>
          <w:sz w:val="36"/>
          <w:szCs w:val="36"/>
          <w:highlight w:val="none"/>
          <w:lang w:val="en-US" w:eastAsia="zh-CN"/>
        </w:rPr>
      </w:pPr>
      <w:r>
        <w:rPr>
          <w:rFonts w:hint="default" w:ascii="Times New Roman" w:hAnsi="Times New Roman" w:eastAsia="方正小标宋简体" w:cs="Times New Roman"/>
          <w:b w:val="0"/>
          <w:bCs w:val="0"/>
          <w:color w:val="auto"/>
          <w:sz w:val="36"/>
          <w:szCs w:val="36"/>
          <w:highlight w:val="none"/>
          <w:lang w:val="en-US" w:eastAsia="zh-CN"/>
        </w:rPr>
        <w:br w:type="page"/>
      </w:r>
    </w:p>
    <w:p w14:paraId="5357AC2D">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方正小标宋简体" w:cs="Times New Roman"/>
          <w:b w:val="0"/>
          <w:bCs w:val="0"/>
          <w:color w:val="auto"/>
          <w:sz w:val="36"/>
          <w:szCs w:val="36"/>
          <w:highlight w:val="none"/>
          <w:lang w:val="en-US" w:eastAsia="zh-CN"/>
        </w:rPr>
      </w:pPr>
      <w:bookmarkStart w:id="59" w:name="_Toc6040"/>
      <w:r>
        <w:rPr>
          <w:rFonts w:hint="default" w:ascii="Times New Roman" w:hAnsi="Times New Roman" w:eastAsia="方正小标宋简体" w:cs="Times New Roman"/>
          <w:b w:val="0"/>
          <w:bCs w:val="0"/>
          <w:color w:val="auto"/>
          <w:sz w:val="36"/>
          <w:szCs w:val="36"/>
          <w:highlight w:val="none"/>
          <w:lang w:val="en-US" w:eastAsia="zh-CN"/>
        </w:rPr>
        <w:t>以</w:t>
      </w:r>
      <w:r>
        <w:rPr>
          <w:rFonts w:hint="eastAsia" w:ascii="Times New Roman" w:hAnsi="Times New Roman" w:eastAsia="方正小标宋简体" w:cs="Times New Roman"/>
          <w:b w:val="0"/>
          <w:bCs w:val="0"/>
          <w:color w:val="auto"/>
          <w:sz w:val="36"/>
          <w:szCs w:val="36"/>
          <w:highlight w:val="none"/>
          <w:lang w:val="en-US" w:eastAsia="zh-CN"/>
        </w:rPr>
        <w:t>“</w:t>
      </w:r>
      <w:r>
        <w:rPr>
          <w:rFonts w:hint="default" w:ascii="Times New Roman" w:hAnsi="Times New Roman" w:eastAsia="方正小标宋简体" w:cs="Times New Roman"/>
          <w:b w:val="0"/>
          <w:bCs w:val="0"/>
          <w:color w:val="auto"/>
          <w:sz w:val="36"/>
          <w:szCs w:val="36"/>
          <w:highlight w:val="none"/>
          <w:lang w:val="en-US" w:eastAsia="zh-CN"/>
        </w:rPr>
        <w:t>三区三线</w:t>
      </w:r>
      <w:r>
        <w:rPr>
          <w:rFonts w:hint="eastAsia" w:ascii="Times New Roman" w:hAnsi="Times New Roman" w:eastAsia="方正小标宋简体" w:cs="Times New Roman"/>
          <w:b w:val="0"/>
          <w:bCs w:val="0"/>
          <w:color w:val="auto"/>
          <w:sz w:val="36"/>
          <w:szCs w:val="36"/>
          <w:highlight w:val="none"/>
          <w:lang w:val="en-US" w:eastAsia="zh-CN"/>
        </w:rPr>
        <w:t>”</w:t>
      </w:r>
      <w:r>
        <w:rPr>
          <w:rFonts w:hint="default" w:ascii="Times New Roman" w:hAnsi="Times New Roman" w:eastAsia="方正小标宋简体" w:cs="Times New Roman"/>
          <w:b w:val="0"/>
          <w:bCs w:val="0"/>
          <w:color w:val="auto"/>
          <w:sz w:val="36"/>
          <w:szCs w:val="36"/>
          <w:highlight w:val="none"/>
          <w:lang w:val="en-US" w:eastAsia="zh-CN"/>
        </w:rPr>
        <w:t>为基础，优化开发保护格局</w:t>
      </w:r>
      <w:bookmarkEnd w:id="59"/>
    </w:p>
    <w:p w14:paraId="2002E9F1">
      <w:pPr>
        <w:pStyle w:val="3"/>
        <w:keepNext/>
        <w:keepLines/>
        <w:pageBreakBefore w:val="0"/>
        <w:widowControl w:val="0"/>
        <w:numPr>
          <w:ilvl w:val="0"/>
          <w:numId w:val="4"/>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60" w:name="_Toc5653"/>
      <w:r>
        <w:rPr>
          <w:rFonts w:hint="default" w:ascii="Times New Roman" w:hAnsi="Times New Roman" w:eastAsia="黑体" w:cs="Times New Roman"/>
          <w:b w:val="0"/>
          <w:bCs w:val="0"/>
          <w:color w:val="auto"/>
          <w:sz w:val="32"/>
          <w:szCs w:val="32"/>
          <w:highlight w:val="none"/>
          <w:lang w:val="en-US" w:eastAsia="zh-CN"/>
        </w:rPr>
        <w:t>统筹划定落实三条控制线</w:t>
      </w:r>
      <w:bookmarkEnd w:id="60"/>
    </w:p>
    <w:p w14:paraId="23F10428">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严保永久基本农田</w:t>
      </w:r>
    </w:p>
    <w:p w14:paraId="0E1682B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绥滨县坚持把国家粮食安全放在优先位置，落实上级下达永久基本农田和耕地保有量，</w:t>
      </w:r>
      <w:r>
        <w:rPr>
          <w:rFonts w:hint="default" w:ascii="Times New Roman" w:hAnsi="Times New Roman" w:eastAsia="仿宋_GB2312" w:cs="Times New Roman"/>
          <w:color w:val="auto"/>
          <w:sz w:val="32"/>
          <w:szCs w:val="32"/>
          <w:highlight w:val="none"/>
          <w:u w:val="none"/>
          <w:lang w:val="en-US" w:eastAsia="zh-CN"/>
        </w:rPr>
        <w:t>永久基本农田保护面积</w:t>
      </w:r>
      <w:r>
        <w:rPr>
          <w:rFonts w:hint="eastAsia" w:ascii="Times New Roman" w:hAnsi="Times New Roman" w:eastAsia="仿宋_GB2312" w:cs="Times New Roman"/>
          <w:color w:val="auto"/>
          <w:sz w:val="32"/>
          <w:szCs w:val="32"/>
          <w:highlight w:val="none"/>
          <w:u w:val="none"/>
          <w:lang w:val="en-US" w:eastAsia="zh-CN"/>
        </w:rPr>
        <w:t>不低于206753.33</w:t>
      </w:r>
      <w:r>
        <w:rPr>
          <w:rFonts w:hint="default" w:ascii="Times New Roman" w:hAnsi="Times New Roman" w:eastAsia="仿宋_GB2312" w:cs="Times New Roman"/>
          <w:color w:val="auto"/>
          <w:sz w:val="32"/>
          <w:szCs w:val="32"/>
          <w:highlight w:val="none"/>
          <w:u w:val="none"/>
          <w:lang w:val="en-US" w:eastAsia="zh-CN"/>
        </w:rPr>
        <w:t>公顷（3101300.00亩），耕地保有量</w:t>
      </w:r>
      <w:r>
        <w:rPr>
          <w:rFonts w:hint="eastAsia" w:ascii="Times New Roman" w:hAnsi="Times New Roman" w:eastAsia="仿宋_GB2312" w:cs="Times New Roman"/>
          <w:color w:val="auto"/>
          <w:sz w:val="32"/>
          <w:szCs w:val="32"/>
          <w:highlight w:val="none"/>
          <w:u w:val="none"/>
          <w:lang w:val="en-US" w:eastAsia="zh-CN"/>
        </w:rPr>
        <w:t>不低于</w:t>
      </w:r>
      <w:r>
        <w:rPr>
          <w:rFonts w:hint="default" w:ascii="Times New Roman" w:hAnsi="Times New Roman" w:eastAsia="仿宋_GB2312" w:cs="Times New Roman"/>
          <w:color w:val="auto"/>
          <w:sz w:val="32"/>
          <w:szCs w:val="32"/>
          <w:highlight w:val="none"/>
          <w:u w:val="none"/>
          <w:lang w:val="en-US" w:eastAsia="zh-CN"/>
        </w:rPr>
        <w:t>231620.</w:t>
      </w:r>
      <w:r>
        <w:rPr>
          <w:rFonts w:hint="eastAsia" w:ascii="Times New Roman" w:hAnsi="Times New Roman" w:eastAsia="仿宋_GB2312" w:cs="Times New Roman"/>
          <w:color w:val="auto"/>
          <w:sz w:val="32"/>
          <w:szCs w:val="32"/>
          <w:highlight w:val="none"/>
          <w:u w:val="none"/>
          <w:lang w:val="en-US" w:eastAsia="zh-CN"/>
        </w:rPr>
        <w:t>00</w:t>
      </w:r>
      <w:r>
        <w:rPr>
          <w:rFonts w:hint="default" w:ascii="Times New Roman" w:hAnsi="Times New Roman" w:eastAsia="仿宋_GB2312" w:cs="Times New Roman"/>
          <w:color w:val="auto"/>
          <w:sz w:val="32"/>
          <w:szCs w:val="32"/>
          <w:highlight w:val="none"/>
          <w:u w:val="none"/>
          <w:lang w:val="en-US" w:eastAsia="zh-CN"/>
        </w:rPr>
        <w:t>公顷（3474300.00亩）</w:t>
      </w:r>
      <w:r>
        <w:rPr>
          <w:rFonts w:hint="default" w:ascii="Times New Roman" w:hAnsi="Times New Roman" w:eastAsia="仿宋_GB2312" w:cs="Times New Roman"/>
          <w:color w:val="auto"/>
          <w:sz w:val="32"/>
          <w:szCs w:val="32"/>
          <w:highlight w:val="none"/>
          <w:lang w:val="en-US" w:eastAsia="zh-CN"/>
        </w:rPr>
        <w:t>。</w:t>
      </w:r>
    </w:p>
    <w:p w14:paraId="06765CB9">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永久基本农田一经划定，任何单位和个人不得擅自占用或者擅自改变用途，不得多预留一定比例永久基本农田为建设占用留有空间。严格监督检查、强化责任考核，及时发现、制止、查处违法违规行为。重大建设项目、生态建设、灾毁等</w:t>
      </w:r>
      <w:r>
        <w:rPr>
          <w:rFonts w:hint="default" w:ascii="Times New Roman" w:hAnsi="Times New Roman" w:eastAsia="仿宋_GB2312" w:cs="Times New Roman"/>
          <w:color w:val="auto"/>
          <w:sz w:val="32"/>
          <w:szCs w:val="32"/>
          <w:highlight w:val="none"/>
          <w:lang w:val="en-US" w:eastAsia="zh-CN"/>
        </w:rPr>
        <w:t>确需</w:t>
      </w:r>
      <w:r>
        <w:rPr>
          <w:rFonts w:hint="default" w:ascii="Times New Roman" w:hAnsi="Times New Roman" w:eastAsia="仿宋_GB2312" w:cs="Times New Roman"/>
          <w:color w:val="auto"/>
          <w:sz w:val="32"/>
          <w:szCs w:val="32"/>
          <w:highlight w:val="none"/>
          <w:lang w:eastAsia="zh-CN"/>
        </w:rPr>
        <w:t>占用或减少永久基本农田的，</w:t>
      </w:r>
      <w:r>
        <w:rPr>
          <w:rFonts w:hint="default" w:ascii="Times New Roman" w:hAnsi="Times New Roman" w:eastAsia="仿宋_GB2312" w:cs="Times New Roman"/>
          <w:color w:val="auto"/>
          <w:sz w:val="32"/>
          <w:szCs w:val="32"/>
          <w:highlight w:val="none"/>
          <w:lang w:val="en-US" w:eastAsia="zh-CN"/>
        </w:rPr>
        <w:t>应</w:t>
      </w:r>
      <w:r>
        <w:rPr>
          <w:rFonts w:hint="default" w:ascii="Times New Roman" w:hAnsi="Times New Roman" w:eastAsia="仿宋_GB2312" w:cs="Times New Roman"/>
          <w:color w:val="auto"/>
          <w:sz w:val="32"/>
          <w:szCs w:val="32"/>
          <w:highlight w:val="none"/>
          <w:lang w:eastAsia="zh-CN"/>
        </w:rPr>
        <w:t>按照</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数量不减、质量不降、布局稳定</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的要求开展补划。</w:t>
      </w:r>
    </w:p>
    <w:p w14:paraId="5A04DB9F">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严守生态保护红线</w:t>
      </w:r>
    </w:p>
    <w:p w14:paraId="6AD93A1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以保障和维护生态功能为主线，划定并严守生态保护红线，</w:t>
      </w:r>
      <w:r>
        <w:rPr>
          <w:rFonts w:hint="default" w:ascii="Times New Roman" w:hAnsi="Times New Roman" w:eastAsia="仿宋_GB2312" w:cs="Times New Roman"/>
          <w:color w:val="auto"/>
          <w:kern w:val="2"/>
          <w:sz w:val="32"/>
          <w:szCs w:val="32"/>
          <w:highlight w:val="none"/>
          <w:u w:val="none"/>
          <w:lang w:val="en-US" w:eastAsia="zh-CN" w:bidi="ar-SA"/>
        </w:rPr>
        <w:t>规划落实上级下达生态保护红线53706.68公顷</w:t>
      </w:r>
      <w:r>
        <w:rPr>
          <w:rFonts w:hint="default" w:ascii="Times New Roman" w:hAnsi="Times New Roman" w:eastAsia="仿宋_GB2312" w:cs="Times New Roman"/>
          <w:color w:val="auto"/>
          <w:kern w:val="2"/>
          <w:sz w:val="32"/>
          <w:szCs w:val="32"/>
          <w:highlight w:val="none"/>
          <w:lang w:val="en-US" w:eastAsia="zh-CN" w:bidi="ar-SA"/>
        </w:rPr>
        <w:t>，主要位于两江湿地自然保护区，包括黑龙江、松花江及江中岛屿、沿岸湿地等。</w:t>
      </w:r>
    </w:p>
    <w:p w14:paraId="443ACDA9">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生态保护红线内严格禁止开发性、生产性建设活动，原则上自然保护地核心保护区内禁止人为活动，其他区域在符合现行法律法规前提下，除国家重大战略项目外，仅允许对生态功能不造成破坏的有限人为活动。</w:t>
      </w:r>
    </w:p>
    <w:p w14:paraId="3907E6C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严控城镇开发边界</w:t>
      </w:r>
    </w:p>
    <w:p w14:paraId="72D4FED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坚持集约适度</w:t>
      </w:r>
      <w:r>
        <w:rPr>
          <w:rFonts w:hint="eastAsia" w:ascii="Times New Roman" w:hAnsi="Times New Roman" w:eastAsia="仿宋_GB2312" w:cs="Times New Roman"/>
          <w:color w:val="auto"/>
          <w:kern w:val="2"/>
          <w:sz w:val="32"/>
          <w:szCs w:val="32"/>
          <w:highlight w:val="none"/>
          <w:lang w:val="en-US" w:eastAsia="zh-CN" w:bidi="ar-SA"/>
        </w:rPr>
        <w:t>、高质量</w:t>
      </w:r>
      <w:r>
        <w:rPr>
          <w:rFonts w:hint="default" w:ascii="Times New Roman" w:hAnsi="Times New Roman" w:eastAsia="仿宋_GB2312" w:cs="Times New Roman"/>
          <w:color w:val="auto"/>
          <w:kern w:val="2"/>
          <w:sz w:val="32"/>
          <w:szCs w:val="32"/>
          <w:highlight w:val="none"/>
          <w:lang w:val="en-US" w:eastAsia="zh-CN" w:bidi="ar-SA"/>
        </w:rPr>
        <w:t>发展，合理划定城镇开发边界，</w:t>
      </w:r>
      <w:r>
        <w:rPr>
          <w:rFonts w:hint="default" w:ascii="Times New Roman" w:hAnsi="Times New Roman" w:eastAsia="仿宋_GB2312" w:cs="Times New Roman"/>
          <w:color w:val="auto"/>
          <w:kern w:val="2"/>
          <w:sz w:val="32"/>
          <w:szCs w:val="32"/>
          <w:highlight w:val="none"/>
          <w:u w:val="none"/>
          <w:lang w:val="en-US" w:eastAsia="zh-CN" w:bidi="ar-SA"/>
        </w:rPr>
        <w:t>全县划定城镇开发边界扩展倍数为1.25。</w:t>
      </w:r>
    </w:p>
    <w:p w14:paraId="2FF2C62F">
      <w:pPr>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sz w:val="32"/>
          <w:szCs w:val="32"/>
          <w:highlight w:val="none"/>
          <w:lang w:val="en-US" w:eastAsia="zh-CN"/>
        </w:rPr>
        <w:t>在城镇开发边界内建设，实行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详细规划+规划许可</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管制方式，并加强与水体保护线、绿地系统线、基础设施建设控制线、历史文化保护线等控制线的协同管控；城镇开发边界外不得进行城镇集中建设，不得设立各类开发区，严格控制政府投资的城镇基础设施资金投入；因国家和省重大政策变化、上位规划重大调整、重大自然灾害等原因确需修改城镇开发边界，应按照国家、省有关管理措施要求进行。</w:t>
      </w:r>
    </w:p>
    <w:p w14:paraId="66BFA630">
      <w:pPr>
        <w:pStyle w:val="3"/>
        <w:keepNext/>
        <w:keepLines/>
        <w:pageBreakBefore w:val="0"/>
        <w:widowControl w:val="0"/>
        <w:numPr>
          <w:ilvl w:val="0"/>
          <w:numId w:val="4"/>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61" w:name="_Toc23142"/>
      <w:r>
        <w:rPr>
          <w:rFonts w:hint="default" w:ascii="Times New Roman" w:hAnsi="Times New Roman" w:eastAsia="黑体" w:cs="Times New Roman"/>
          <w:b w:val="0"/>
          <w:bCs w:val="0"/>
          <w:color w:val="auto"/>
          <w:sz w:val="32"/>
          <w:szCs w:val="32"/>
          <w:highlight w:val="none"/>
          <w:lang w:val="en-US" w:eastAsia="zh-CN"/>
        </w:rPr>
        <w:t>落实主体功能区战略</w:t>
      </w:r>
      <w:bookmarkEnd w:id="61"/>
    </w:p>
    <w:p w14:paraId="2FA1EFD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kern w:val="2"/>
          <w:sz w:val="32"/>
          <w:szCs w:val="32"/>
          <w:lang w:val="en-US" w:eastAsia="zh-CN" w:bidi="ar-SA"/>
        </w:rPr>
        <w:t>农产品主产区</w:t>
      </w:r>
    </w:p>
    <w:p w14:paraId="5776357A">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发展</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大规模高强度工业化产业</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进行准入约束，严守耕地保有量和永久基本农田红线，保障农业生产能力，提高农产品供给质量和效率；开展农村环境连片综合整治，整体改善农村面貌；加强土壤环境治理，提高耕地、草地等农用地质量；逐步控制农村建设用地的增长，节约集约土地，整合土地资源高效利用；推进农业示范园建设，推行规模化</w:t>
      </w:r>
      <w:r>
        <w:rPr>
          <w:rFonts w:hint="eastAsia" w:ascii="Times New Roman" w:hAnsi="Times New Roman" w:eastAsia="仿宋_GB2312" w:cs="Times New Roman"/>
          <w:color w:val="auto"/>
          <w:sz w:val="32"/>
          <w:szCs w:val="32"/>
          <w:highlight w:val="none"/>
          <w:lang w:eastAsia="zh-CN"/>
        </w:rPr>
        <w:t>种植养殖</w:t>
      </w:r>
      <w:r>
        <w:rPr>
          <w:rFonts w:hint="default" w:ascii="Times New Roman" w:hAnsi="Times New Roman" w:eastAsia="仿宋_GB2312" w:cs="Times New Roman"/>
          <w:color w:val="auto"/>
          <w:sz w:val="32"/>
          <w:szCs w:val="32"/>
          <w:highlight w:val="none"/>
        </w:rPr>
        <w:t>；加强水利设施建设，提高农业用水利用与储蓄；利用城市带动作用，完善农业产业链，不断提高综合生产力。</w:t>
      </w:r>
    </w:p>
    <w:p w14:paraId="447BD98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kern w:val="2"/>
          <w:sz w:val="32"/>
          <w:szCs w:val="32"/>
          <w:lang w:val="en-US" w:eastAsia="zh-CN" w:bidi="ar-SA"/>
        </w:rPr>
        <w:t>重点生态功能区</w:t>
      </w:r>
    </w:p>
    <w:p w14:paraId="11600970">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划定并严守绥滨县内生态保护红线，实行更加严格的产业准入标准，逐步清退核心区居民点，控制人为干扰因素；建立生态补偿机制，保障保育生态极重要区和极脆弱区，强化生态系统自然修复功能，加强水土流失预防和治理，开展重点矿区生态修复，推进生态修复和山水林田湖草沙治理等工作；优化区内产业结构，完善生态准入负面清单，加强生态产品的供给和输出，积极发展湿地生态旅游。</w:t>
      </w:r>
    </w:p>
    <w:p w14:paraId="15483A4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kern w:val="2"/>
          <w:sz w:val="32"/>
          <w:szCs w:val="32"/>
          <w:lang w:val="en-US" w:eastAsia="zh-CN" w:bidi="ar-SA"/>
        </w:rPr>
        <w:t>城市化地区</w:t>
      </w:r>
    </w:p>
    <w:p w14:paraId="24F5CD67">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着力优化空间开发格局，建立</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点</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轴</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面</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发展体系，有序推进新型城镇化健康发展，完善人口城镇化、公服均等化等要求；节约集约利用土地，高效集聚人口和产业，以创新绿色发展与质量效益提升为导向，以城镇开发边界为抓手，引导控制城镇空间紧凑集约增长；提高人口与用地的匹配程度，实现总量控制、存量利用的原则，推动城市更新、旧城改造等提质改造措施；加快城镇产业发展，落实高效土地制度，加快批次、增减挂等项目用地的使用，减少闲置情况，加强产城、人文、自然的衔接，构建生态视角下的特色城市发展区；优化基础设施布局，提高区域一体化和同城化程度；加强松花江城区段生态建设和环境治理，协调城市发展与生态环境的矛盾，借助生态斑块，实现引景入城。</w:t>
      </w:r>
    </w:p>
    <w:p w14:paraId="4146B2BD">
      <w:pPr>
        <w:pStyle w:val="3"/>
        <w:keepNext/>
        <w:keepLines/>
        <w:pageBreakBefore w:val="0"/>
        <w:widowControl w:val="0"/>
        <w:numPr>
          <w:ilvl w:val="0"/>
          <w:numId w:val="4"/>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62" w:name="_Toc10123"/>
      <w:r>
        <w:rPr>
          <w:rFonts w:hint="default" w:ascii="Times New Roman" w:hAnsi="Times New Roman" w:eastAsia="黑体" w:cs="Times New Roman"/>
          <w:b w:val="0"/>
          <w:bCs w:val="0"/>
          <w:color w:val="auto"/>
          <w:sz w:val="32"/>
          <w:szCs w:val="32"/>
          <w:highlight w:val="none"/>
          <w:lang w:val="en-US" w:eastAsia="zh-CN"/>
        </w:rPr>
        <w:t>优化国土空间总体格局</w:t>
      </w:r>
      <w:bookmarkEnd w:id="62"/>
    </w:p>
    <w:p w14:paraId="09DD67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构筑</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一核、三区、两轴、两廊</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rPr>
        <w:t>的国土空间总体格局。</w:t>
      </w:r>
    </w:p>
    <w:p w14:paraId="52B65D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一核</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rPr>
        <w:t>：整合县域产业资源，同时进一步提升中心城区综合服务能力，打造绥滨县全域高品质产业与服务业聚集地。</w:t>
      </w:r>
    </w:p>
    <w:p w14:paraId="289539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三区</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rPr>
        <w:t>：以中心城区为主体，忠仁镇、绥东镇为重点，福兴满族乡和连生乡为特色打造中部城乡发展核心区，作为绥滨县主要特色产业发展和城镇建设的重点区域；以二九</w:t>
      </w:r>
      <w:r>
        <w:rPr>
          <w:rFonts w:hint="eastAsia" w:ascii="仿宋_GB2312" w:hAnsi="仿宋_GB2312" w:eastAsia="仿宋_GB2312" w:cs="仿宋_GB2312"/>
          <w:color w:val="auto"/>
          <w:sz w:val="32"/>
          <w:szCs w:val="32"/>
          <w:highlight w:val="none"/>
        </w:rPr>
        <w:t>〇</w:t>
      </w:r>
      <w:r>
        <w:rPr>
          <w:rFonts w:hint="default" w:ascii="Times New Roman" w:hAnsi="Times New Roman" w:eastAsia="仿宋_GB2312" w:cs="Times New Roman"/>
          <w:color w:val="auto"/>
          <w:sz w:val="32"/>
          <w:szCs w:val="32"/>
          <w:highlight w:val="none"/>
        </w:rPr>
        <w:t>农场为主导的东部现代农业先导区，作为绥滨县农业现代化建设样板区域；以绥滨农场、普阳农场为主导，北山乡、北岗乡、新富乡、富强乡为重点，打造绥滨县西部乡村田园示范区，作为绥滨县乡村振兴重点建设区域。</w:t>
      </w:r>
    </w:p>
    <w:p w14:paraId="76E656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两轴</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rPr>
        <w:t>：以G331公路南北段为依托，沿线串联绥滨镇、连生乡、忠仁镇、福兴满族乡等乡镇，同时加强富锦、萝北两县市联动，形成绥滨县一级发展轴线；以G331东西段和小佳河至亮子河段公路为依托，沿线串联普阳农场、富强乡、绥滨镇、绥东镇等乡镇，加强同江方向联动，形成绥滨县二级发展轴线。</w:t>
      </w:r>
    </w:p>
    <w:p w14:paraId="514BAF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两廊</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rPr>
        <w:t>：沿黑龙江生态廊道和沿松花江生态廊道。加强对两廊道的自然生态保护，同时加强对</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月牙湖景区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中兴小镇</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龙江第一渠</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滨水田园风光</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等众多特色风貌的景观节点的塑造。</w:t>
      </w:r>
    </w:p>
    <w:p w14:paraId="7ACDD8FE">
      <w:pPr>
        <w:pStyle w:val="3"/>
        <w:keepNext/>
        <w:keepLines/>
        <w:pageBreakBefore w:val="0"/>
        <w:widowControl w:val="0"/>
        <w:numPr>
          <w:ilvl w:val="0"/>
          <w:numId w:val="4"/>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63" w:name="_Toc9601"/>
      <w:r>
        <w:rPr>
          <w:rFonts w:hint="default" w:ascii="Times New Roman" w:hAnsi="Times New Roman" w:eastAsia="黑体" w:cs="Times New Roman"/>
          <w:b w:val="0"/>
          <w:bCs w:val="0"/>
          <w:color w:val="auto"/>
          <w:sz w:val="32"/>
          <w:szCs w:val="32"/>
          <w:highlight w:val="none"/>
          <w:lang w:val="en-US" w:eastAsia="zh-CN"/>
        </w:rPr>
        <w:t>优化规划分区和用地结构</w:t>
      </w:r>
      <w:bookmarkEnd w:id="63"/>
    </w:p>
    <w:p w14:paraId="34922EB6">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64" w:name="_Toc3565"/>
      <w:bookmarkStart w:id="65" w:name="_Toc14265"/>
      <w:bookmarkStart w:id="66" w:name="_Toc17680"/>
      <w:bookmarkStart w:id="67" w:name="_Toc24817"/>
      <w:bookmarkStart w:id="68" w:name="_Toc4035"/>
      <w:bookmarkStart w:id="69" w:name="_Toc6554"/>
      <w:bookmarkStart w:id="70" w:name="_Toc6459"/>
      <w:bookmarkStart w:id="71" w:name="_Toc1635"/>
      <w:bookmarkStart w:id="72" w:name="_Toc10641"/>
      <w:bookmarkStart w:id="73" w:name="_Toc2217"/>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生态保护区</w:t>
      </w:r>
      <w:bookmarkEnd w:id="64"/>
      <w:bookmarkEnd w:id="65"/>
      <w:bookmarkEnd w:id="66"/>
      <w:bookmarkEnd w:id="67"/>
      <w:bookmarkEnd w:id="68"/>
      <w:bookmarkEnd w:id="69"/>
      <w:bookmarkEnd w:id="70"/>
      <w:bookmarkEnd w:id="71"/>
      <w:bookmarkEnd w:id="72"/>
      <w:bookmarkEnd w:id="73"/>
    </w:p>
    <w:p w14:paraId="185973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将绥滨县生态保护红线范围纳入生态保护区。生态保护区实行分类管控的管理方式。对于生态保护红线的集中区域，应按照《关于划定并严守生态保护红线的若干意见》《生态保护红线划定指南》等划定并依据相应的管理办法进行管理，实行最严格的准入制度，严禁任何不符合主体功能定位的开发活动，任何单位和个人不得擅自占用或改变原国土用途。区内原有的村庄、工矿等用途，应严格控制建设行为的扩展并应根据实际发展需要逐步引导退出。</w:t>
      </w:r>
    </w:p>
    <w:p w14:paraId="60CE2A3F">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74" w:name="_Toc18993"/>
      <w:bookmarkStart w:id="75" w:name="_Toc29852"/>
      <w:bookmarkStart w:id="76" w:name="_Toc1231"/>
      <w:bookmarkStart w:id="77" w:name="_Toc15791"/>
      <w:bookmarkStart w:id="78" w:name="_Toc13005"/>
      <w:bookmarkStart w:id="79" w:name="_Toc26004"/>
      <w:bookmarkStart w:id="80" w:name="_Toc11196"/>
      <w:bookmarkStart w:id="81" w:name="_Toc20016"/>
      <w:bookmarkStart w:id="82" w:name="_Toc32194"/>
      <w:bookmarkStart w:id="83" w:name="_Toc27270"/>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生态控制区</w:t>
      </w:r>
      <w:bookmarkEnd w:id="74"/>
      <w:bookmarkEnd w:id="75"/>
      <w:bookmarkEnd w:id="76"/>
      <w:bookmarkEnd w:id="77"/>
      <w:bookmarkEnd w:id="78"/>
      <w:bookmarkEnd w:id="79"/>
      <w:bookmarkEnd w:id="80"/>
      <w:bookmarkEnd w:id="81"/>
      <w:bookmarkEnd w:id="82"/>
      <w:bookmarkEnd w:id="83"/>
    </w:p>
    <w:p w14:paraId="0CF59A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
        </w:rPr>
      </w:pPr>
      <w:r>
        <w:rPr>
          <w:rFonts w:hint="default" w:ascii="Times New Roman" w:hAnsi="Times New Roman" w:eastAsia="仿宋_GB2312" w:cs="Times New Roman"/>
          <w:color w:val="auto"/>
          <w:sz w:val="32"/>
          <w:szCs w:val="32"/>
          <w:highlight w:val="none"/>
          <w:lang w:val="en-US" w:eastAsia="zh-CN"/>
        </w:rPr>
        <w:t>绥滨县生态控制区主要是生态红线以外集中连片的湿地和河流水面。生态控制区应按照《</w:t>
      </w:r>
      <w:r>
        <w:rPr>
          <w:rFonts w:hint="eastAsia" w:ascii="Times New Roman" w:hAnsi="Times New Roman" w:eastAsia="仿宋_GB2312" w:cs="Times New Roman"/>
          <w:color w:val="auto"/>
          <w:sz w:val="32"/>
          <w:szCs w:val="32"/>
          <w:highlight w:val="none"/>
          <w:lang w:val="en-US" w:eastAsia="zh-CN"/>
        </w:rPr>
        <w:t>中华人民共和国自然保护区条例</w:t>
      </w:r>
      <w:r>
        <w:rPr>
          <w:rFonts w:hint="default" w:ascii="Times New Roman" w:hAnsi="Times New Roman" w:eastAsia="仿宋_GB2312" w:cs="Times New Roman"/>
          <w:color w:val="auto"/>
          <w:sz w:val="32"/>
          <w:szCs w:val="32"/>
          <w:highlight w:val="none"/>
          <w:lang w:val="en-US" w:eastAsia="zh-CN"/>
        </w:rPr>
        <w:t>》《森林公园管理办法》《</w:t>
      </w:r>
      <w:r>
        <w:rPr>
          <w:rFonts w:hint="eastAsia" w:ascii="Times New Roman" w:hAnsi="Times New Roman" w:eastAsia="仿宋_GB2312" w:cs="Times New Roman"/>
          <w:color w:val="auto"/>
          <w:sz w:val="32"/>
          <w:szCs w:val="32"/>
          <w:highlight w:val="none"/>
          <w:lang w:val="en-US" w:eastAsia="zh-CN"/>
        </w:rPr>
        <w:t>中华人民共和国</w:t>
      </w:r>
      <w:r>
        <w:rPr>
          <w:rFonts w:hint="default" w:ascii="Times New Roman" w:hAnsi="Times New Roman" w:eastAsia="仿宋_GB2312" w:cs="Times New Roman"/>
          <w:color w:val="auto"/>
          <w:sz w:val="32"/>
          <w:szCs w:val="32"/>
          <w:highlight w:val="none"/>
          <w:lang w:val="en-US" w:eastAsia="zh-CN"/>
        </w:rPr>
        <w:t>风景名胜区管理条例》《饮用水源地保护条例》等法律法规进行管理，采取</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名录管理+约束指标+分区准入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相结合的方式细化管理规定，以保护为主，并应开展必要的生态修复。应依法依规按照限制开发的要求进行管理，允许在不降低生态功能、不破坏生态系统的前提下，依据国土空间规划和相关法定程序、管制规则的前提下，允许适度开发利用。</w:t>
      </w:r>
    </w:p>
    <w:p w14:paraId="4A2DA30D">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84" w:name="_Toc30092"/>
      <w:bookmarkStart w:id="85" w:name="_Toc14814"/>
      <w:bookmarkStart w:id="86" w:name="_Toc23718"/>
      <w:bookmarkStart w:id="87" w:name="_Toc24615"/>
      <w:bookmarkStart w:id="88" w:name="_Toc1458"/>
      <w:bookmarkStart w:id="89" w:name="_Toc13614"/>
      <w:bookmarkStart w:id="90" w:name="_Toc7971"/>
      <w:bookmarkStart w:id="91" w:name="_Toc13382"/>
      <w:bookmarkStart w:id="92" w:name="_Toc16755"/>
      <w:bookmarkStart w:id="93" w:name="_Toc28089"/>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农田保护区</w:t>
      </w:r>
      <w:bookmarkEnd w:id="84"/>
      <w:bookmarkEnd w:id="85"/>
      <w:bookmarkEnd w:id="86"/>
      <w:bookmarkEnd w:id="87"/>
      <w:bookmarkEnd w:id="88"/>
      <w:bookmarkEnd w:id="89"/>
      <w:bookmarkEnd w:id="90"/>
      <w:bookmarkEnd w:id="91"/>
      <w:bookmarkEnd w:id="92"/>
      <w:bookmarkEnd w:id="93"/>
    </w:p>
    <w:p w14:paraId="7EBD7DF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规划将永久基本农田确定为农田保护区范围，涵盖全部永久基本农田，农田保护区全域均有分布。农田保护区应按照《中华人民共和国土地管理法》《基本农田保护条例》《基本农田划定技术规程》《关于全面划定永久基本农田实行特殊保护的通知》等相关规定进行管理，区内从严管控非农建设占用永久基本农田，鼓励开展高标准农田建设和土地整治，提高永久基本农田质量。国家重大交通、能源、水利及军事等重点建设项目，选址确实无法避开农田保护区，需要占用永久基本农田的，涉及农用地转用或者征收土地的，必须经国务院批准。</w:t>
      </w:r>
    </w:p>
    <w:p w14:paraId="75D14FA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94" w:name="_Toc10830"/>
      <w:bookmarkStart w:id="95" w:name="_Toc28591"/>
      <w:bookmarkStart w:id="96" w:name="_Toc24492"/>
      <w:bookmarkStart w:id="97" w:name="_Toc19952"/>
      <w:bookmarkStart w:id="98" w:name="_Toc15452"/>
      <w:bookmarkStart w:id="99" w:name="_Toc8220"/>
      <w:bookmarkStart w:id="100" w:name="_Toc5843"/>
      <w:bookmarkStart w:id="101" w:name="_Toc24664"/>
      <w:bookmarkStart w:id="102" w:name="_Toc11080"/>
      <w:bookmarkStart w:id="103" w:name="_Toc6102"/>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城镇发展区</w:t>
      </w:r>
      <w:bookmarkEnd w:id="94"/>
      <w:bookmarkEnd w:id="95"/>
      <w:bookmarkEnd w:id="96"/>
      <w:bookmarkEnd w:id="97"/>
      <w:bookmarkEnd w:id="98"/>
      <w:bookmarkEnd w:id="99"/>
      <w:bookmarkEnd w:id="100"/>
      <w:bookmarkEnd w:id="101"/>
      <w:bookmarkEnd w:id="102"/>
      <w:bookmarkEnd w:id="103"/>
    </w:p>
    <w:p w14:paraId="6BD10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
        </w:rPr>
      </w:pPr>
      <w:r>
        <w:rPr>
          <w:rFonts w:hint="default" w:ascii="Times New Roman" w:hAnsi="Times New Roman" w:eastAsia="仿宋_GB2312" w:cs="Times New Roman"/>
          <w:color w:val="auto"/>
          <w:kern w:val="2"/>
          <w:sz w:val="32"/>
          <w:szCs w:val="32"/>
          <w:highlight w:val="none"/>
          <w:lang w:val="en-US" w:eastAsia="zh-CN" w:bidi="ar"/>
        </w:rPr>
        <w:t>结合现状建设用地布局和未来城镇发展方向划定城镇开发边界，城镇开发边界即为城镇发展区。城镇发展区内编制详细规划，采用</w:t>
      </w:r>
      <w:r>
        <w:rPr>
          <w:rFonts w:hint="eastAsia" w:ascii="Times New Roman" w:hAnsi="Times New Roman" w:eastAsia="仿宋_GB2312" w:cs="Times New Roman"/>
          <w:color w:val="auto"/>
          <w:kern w:val="2"/>
          <w:sz w:val="32"/>
          <w:szCs w:val="32"/>
          <w:highlight w:val="none"/>
          <w:lang w:val="en-US" w:eastAsia="zh-CN" w:bidi="ar"/>
        </w:rPr>
        <w:t>“</w:t>
      </w:r>
      <w:r>
        <w:rPr>
          <w:rFonts w:hint="default" w:ascii="Times New Roman" w:hAnsi="Times New Roman" w:eastAsia="仿宋_GB2312" w:cs="Times New Roman"/>
          <w:color w:val="auto"/>
          <w:kern w:val="2"/>
          <w:sz w:val="32"/>
          <w:szCs w:val="32"/>
          <w:highlight w:val="none"/>
          <w:lang w:val="en-US" w:eastAsia="zh-CN" w:bidi="ar"/>
        </w:rPr>
        <w:t>详细规划+规划许可</w:t>
      </w:r>
      <w:r>
        <w:rPr>
          <w:rFonts w:hint="eastAsia" w:ascii="Times New Roman" w:hAnsi="Times New Roman" w:eastAsia="仿宋_GB2312" w:cs="Times New Roman"/>
          <w:color w:val="auto"/>
          <w:kern w:val="2"/>
          <w:sz w:val="32"/>
          <w:szCs w:val="32"/>
          <w:highlight w:val="none"/>
          <w:lang w:val="en-US" w:eastAsia="zh-CN" w:bidi="ar"/>
        </w:rPr>
        <w:t>”</w:t>
      </w:r>
      <w:r>
        <w:rPr>
          <w:rFonts w:hint="default" w:ascii="Times New Roman" w:hAnsi="Times New Roman" w:eastAsia="仿宋_GB2312" w:cs="Times New Roman"/>
          <w:color w:val="auto"/>
          <w:kern w:val="2"/>
          <w:sz w:val="32"/>
          <w:szCs w:val="32"/>
          <w:highlight w:val="none"/>
          <w:lang w:val="en-US" w:eastAsia="zh-CN" w:bidi="ar"/>
        </w:rPr>
        <w:t>的方式进行管理，对城镇建设用地的总体和单项指标严格管控，实施规划用途管制与开发许可制度。明确在一定时期内可以进行城镇开发和集中建设的地域，对各类城镇建设土地用途和城镇建设行为提出准入要求。该分区内所有建设行为应按照详细规划进行精细化管理。</w:t>
      </w:r>
    </w:p>
    <w:p w14:paraId="48830064">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104" w:name="_Toc17394"/>
      <w:bookmarkStart w:id="105" w:name="_Toc20381"/>
      <w:bookmarkStart w:id="106" w:name="_Toc10514"/>
      <w:bookmarkStart w:id="107" w:name="_Toc10717"/>
      <w:bookmarkStart w:id="108" w:name="_Toc8039"/>
      <w:bookmarkStart w:id="109" w:name="_Toc3914"/>
      <w:bookmarkStart w:id="110" w:name="_Toc24982"/>
      <w:bookmarkStart w:id="111" w:name="_Toc14089"/>
      <w:bookmarkStart w:id="112" w:name="_Toc2874"/>
      <w:bookmarkStart w:id="113" w:name="_Toc16163"/>
      <w:r>
        <w:rPr>
          <w:rFonts w:hint="eastAsia" w:ascii="Times New Roman" w:hAnsi="Times New Roman" w:eastAsia="楷体_GB2312" w:cs="Times New Roman"/>
          <w:b w:val="0"/>
          <w:bCs w:val="0"/>
          <w:color w:val="auto"/>
          <w:kern w:val="2"/>
          <w:sz w:val="32"/>
          <w:szCs w:val="32"/>
          <w:lang w:val="en-US" w:eastAsia="zh-CN" w:bidi="ar-SA"/>
        </w:rPr>
        <w:t>五、</w:t>
      </w:r>
      <w:r>
        <w:rPr>
          <w:rFonts w:hint="default" w:ascii="Times New Roman" w:hAnsi="Times New Roman" w:eastAsia="楷体_GB2312" w:cs="Times New Roman"/>
          <w:b w:val="0"/>
          <w:bCs w:val="0"/>
          <w:color w:val="auto"/>
          <w:sz w:val="32"/>
          <w:szCs w:val="32"/>
          <w:highlight w:val="none"/>
          <w:lang w:val="en-US" w:eastAsia="zh-CN"/>
        </w:rPr>
        <w:t>乡村发展区</w:t>
      </w:r>
      <w:bookmarkEnd w:id="104"/>
      <w:bookmarkEnd w:id="105"/>
      <w:bookmarkEnd w:id="106"/>
      <w:bookmarkEnd w:id="107"/>
      <w:bookmarkEnd w:id="108"/>
      <w:bookmarkEnd w:id="109"/>
      <w:bookmarkEnd w:id="110"/>
      <w:bookmarkEnd w:id="111"/>
      <w:bookmarkEnd w:id="112"/>
      <w:bookmarkEnd w:id="113"/>
    </w:p>
    <w:p w14:paraId="03D4F3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
        </w:rPr>
      </w:pPr>
      <w:r>
        <w:rPr>
          <w:rFonts w:hint="default" w:ascii="Times New Roman" w:hAnsi="Times New Roman" w:eastAsia="仿宋_GB2312" w:cs="Times New Roman"/>
          <w:color w:val="auto"/>
          <w:kern w:val="2"/>
          <w:sz w:val="32"/>
          <w:szCs w:val="32"/>
          <w:highlight w:val="none"/>
          <w:lang w:val="en-US" w:eastAsia="zh-CN" w:bidi="ar"/>
        </w:rPr>
        <w:t>为满足农林牧渔等农业发展和农民生产生活配套，合理划定乡村发展区，本区域应以促进农业和乡村特色产业发展、改善农民生产生活条件为导向，统筹协调村庄建设和生态保护。保障农业和乡村特色产业发展及其配套设施建设，以及为改善农村人居环境而进行的村庄建设与整治；严禁集中连片的城镇开发建设。</w:t>
      </w:r>
    </w:p>
    <w:p w14:paraId="1684148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114" w:name="_Toc31085"/>
      <w:bookmarkStart w:id="115" w:name="_Toc11738"/>
      <w:bookmarkStart w:id="116" w:name="_Toc31138"/>
      <w:bookmarkStart w:id="117" w:name="_Toc9002"/>
      <w:bookmarkStart w:id="118" w:name="_Toc27929"/>
      <w:bookmarkStart w:id="119" w:name="_Toc30216"/>
      <w:bookmarkStart w:id="120" w:name="_Toc13655"/>
      <w:bookmarkStart w:id="121" w:name="_Toc14863"/>
      <w:bookmarkStart w:id="122" w:name="_Toc19648"/>
      <w:bookmarkStart w:id="123" w:name="_Toc18784"/>
      <w:r>
        <w:rPr>
          <w:rFonts w:hint="eastAsia" w:ascii="Times New Roman" w:hAnsi="Times New Roman" w:eastAsia="楷体_GB2312" w:cs="Times New Roman"/>
          <w:b w:val="0"/>
          <w:bCs w:val="0"/>
          <w:color w:val="auto"/>
          <w:kern w:val="2"/>
          <w:sz w:val="32"/>
          <w:szCs w:val="32"/>
          <w:lang w:val="en-US" w:eastAsia="zh-CN" w:bidi="ar-SA"/>
        </w:rPr>
        <w:t>六、</w:t>
      </w:r>
      <w:r>
        <w:rPr>
          <w:rFonts w:hint="default" w:ascii="Times New Roman" w:hAnsi="Times New Roman" w:eastAsia="楷体_GB2312" w:cs="Times New Roman"/>
          <w:b w:val="0"/>
          <w:bCs w:val="0"/>
          <w:color w:val="auto"/>
          <w:sz w:val="32"/>
          <w:szCs w:val="32"/>
          <w:highlight w:val="none"/>
          <w:lang w:val="en-US" w:eastAsia="zh-CN"/>
        </w:rPr>
        <w:t>矿产能源发展区</w:t>
      </w:r>
      <w:bookmarkEnd w:id="114"/>
      <w:bookmarkEnd w:id="115"/>
      <w:bookmarkEnd w:id="116"/>
      <w:bookmarkEnd w:id="117"/>
      <w:bookmarkEnd w:id="118"/>
      <w:bookmarkEnd w:id="119"/>
      <w:bookmarkEnd w:id="120"/>
      <w:bookmarkEnd w:id="121"/>
      <w:bookmarkEnd w:id="122"/>
      <w:bookmarkEnd w:id="123"/>
    </w:p>
    <w:p w14:paraId="50A6C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
        </w:rPr>
      </w:pPr>
      <w:r>
        <w:rPr>
          <w:rFonts w:hint="default" w:ascii="Times New Roman" w:hAnsi="Times New Roman" w:eastAsia="仿宋_GB2312" w:cs="Times New Roman"/>
          <w:color w:val="auto"/>
          <w:kern w:val="2"/>
          <w:sz w:val="32"/>
          <w:szCs w:val="32"/>
          <w:highlight w:val="none"/>
          <w:lang w:val="en-US" w:eastAsia="zh-CN" w:bidi="ar"/>
        </w:rPr>
        <w:t>为保障绥滨县能源和矿业发展，将采矿用地划为矿产能源发展区。矿产能源发展区应符合《中华人民共和国矿产资源法》《矿产资源规划编制实施办法》等矿产资源开发管理有关法律法规等要求；合理调控能源资源开发利用总量，严格矿产开发准入条件，强化矿产资源节约与综合利用，开展矿山地质环境治理与矿区土地复垦，发展矿业领域循环经济。因建设项目压覆地下矿产资源，需对压覆的矿产资源进行评估，报自然资源部门审批。</w:t>
      </w:r>
    </w:p>
    <w:p w14:paraId="780CB64E">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p>
    <w:p w14:paraId="5129C755">
      <w:pPr>
        <w:rPr>
          <w:rFonts w:hint="default" w:ascii="Times New Roman" w:hAnsi="Times New Roman" w:eastAsia="方正小标宋_GBK" w:cs="Times New Roman"/>
          <w:b w:val="0"/>
          <w:bCs w:val="0"/>
          <w:color w:val="auto"/>
          <w:sz w:val="36"/>
          <w:szCs w:val="36"/>
          <w:highlight w:val="none"/>
          <w:lang w:val="en-US" w:eastAsia="zh-CN"/>
        </w:rPr>
      </w:pPr>
      <w:r>
        <w:rPr>
          <w:rFonts w:hint="default" w:ascii="Times New Roman" w:hAnsi="Times New Roman" w:eastAsia="方正小标宋_GBK" w:cs="Times New Roman"/>
          <w:b w:val="0"/>
          <w:bCs w:val="0"/>
          <w:color w:val="auto"/>
          <w:sz w:val="36"/>
          <w:szCs w:val="36"/>
          <w:highlight w:val="none"/>
          <w:lang w:val="en-US" w:eastAsia="zh-CN"/>
        </w:rPr>
        <w:br w:type="page"/>
      </w:r>
    </w:p>
    <w:p w14:paraId="6A190487">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方正小标宋简体" w:cs="Times New Roman"/>
          <w:b w:val="0"/>
          <w:bCs w:val="0"/>
          <w:color w:val="auto"/>
          <w:sz w:val="36"/>
          <w:szCs w:val="36"/>
          <w:highlight w:val="none"/>
          <w:lang w:val="en-US" w:eastAsia="zh-CN"/>
        </w:rPr>
      </w:pPr>
      <w:bookmarkStart w:id="124" w:name="_Toc8289"/>
      <w:r>
        <w:rPr>
          <w:rFonts w:hint="default" w:ascii="Times New Roman" w:hAnsi="Times New Roman" w:eastAsia="方正小标宋简体" w:cs="Times New Roman"/>
          <w:b w:val="0"/>
          <w:bCs w:val="0"/>
          <w:color w:val="auto"/>
          <w:sz w:val="36"/>
          <w:szCs w:val="36"/>
          <w:highlight w:val="none"/>
          <w:lang w:val="en-US" w:eastAsia="zh-CN"/>
        </w:rPr>
        <w:t>保障富饶魅力农业空间</w:t>
      </w:r>
      <w:bookmarkEnd w:id="124"/>
    </w:p>
    <w:p w14:paraId="3942FDC4">
      <w:pPr>
        <w:pStyle w:val="3"/>
        <w:keepNext/>
        <w:keepLines/>
        <w:pageBreakBefore w:val="0"/>
        <w:widowControl w:val="0"/>
        <w:numPr>
          <w:ilvl w:val="0"/>
          <w:numId w:val="5"/>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25" w:name="_Toc8874"/>
      <w:r>
        <w:rPr>
          <w:rFonts w:hint="default" w:ascii="Times New Roman" w:hAnsi="Times New Roman" w:eastAsia="黑体" w:cs="Times New Roman"/>
          <w:b w:val="0"/>
          <w:bCs w:val="0"/>
          <w:color w:val="auto"/>
          <w:sz w:val="32"/>
          <w:szCs w:val="32"/>
          <w:highlight w:val="none"/>
          <w:lang w:val="en-US" w:eastAsia="zh-CN"/>
        </w:rPr>
        <w:t>构建农业发展格局</w:t>
      </w:r>
      <w:bookmarkEnd w:id="125"/>
    </w:p>
    <w:p w14:paraId="120A8DE3">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发挥绥滨县农业生态景观功能，围绕</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两江一河</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规划布局，构建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两带</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三区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多基地</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的现代化农业格局。</w:t>
      </w:r>
    </w:p>
    <w:p w14:paraId="71CC89C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楷体_GB2312" w:cs="Times New Roman"/>
          <w:b w:val="0"/>
          <w:bCs w:val="0"/>
          <w:color w:val="auto"/>
          <w:kern w:val="2"/>
          <w:sz w:val="32"/>
          <w:szCs w:val="32"/>
          <w:highlight w:val="none"/>
          <w:lang w:val="en-US" w:eastAsia="zh-CN" w:bidi="ar-SA"/>
        </w:rPr>
        <w:t>两带</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绿色生态农业示范带：</w:t>
      </w:r>
      <w:r>
        <w:rPr>
          <w:rFonts w:hint="default" w:ascii="Times New Roman" w:hAnsi="Times New Roman" w:eastAsia="仿宋_GB2312" w:cs="Times New Roman"/>
          <w:color w:val="auto"/>
          <w:kern w:val="2"/>
          <w:sz w:val="32"/>
          <w:szCs w:val="32"/>
          <w:highlight w:val="none"/>
          <w:lang w:val="en-US" w:eastAsia="zh-CN" w:bidi="ar-SA"/>
        </w:rPr>
        <w:t>依托黑、松两江和蜿蜒河资源优势，推动全县绿色生态农业发展，形成集绿色水稻种植、寒地淡水鱼、生态农业观光于一体的绿色农业示范带。</w:t>
      </w:r>
    </w:p>
    <w:p w14:paraId="133D8186">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特色经济作物示范带：</w:t>
      </w:r>
      <w:r>
        <w:rPr>
          <w:rFonts w:hint="default" w:ascii="Times New Roman" w:hAnsi="Times New Roman" w:eastAsia="仿宋_GB2312" w:cs="Times New Roman"/>
          <w:color w:val="auto"/>
          <w:kern w:val="2"/>
          <w:sz w:val="32"/>
          <w:szCs w:val="32"/>
          <w:highlight w:val="none"/>
          <w:lang w:val="en-US" w:eastAsia="zh-CN" w:bidi="ar-SA"/>
        </w:rPr>
        <w:t>沿福兴</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忠仁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连生</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绥滨镇打造特色经济作物示范带，协同周边萝北县和富锦市，推进全县特色农产品种植，重点发展蔬菜、食用菌、瓜果和中草药种植，保证全县蔬菜瓜果自给率。</w:t>
      </w:r>
    </w:p>
    <w:p w14:paraId="1756DE5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楷体_GB2312" w:cs="Times New Roman"/>
          <w:b w:val="0"/>
          <w:bCs w:val="0"/>
          <w:color w:val="auto"/>
          <w:kern w:val="2"/>
          <w:sz w:val="32"/>
          <w:szCs w:val="32"/>
          <w:highlight w:val="none"/>
          <w:lang w:val="en-US" w:eastAsia="zh-CN" w:bidi="ar-SA"/>
        </w:rPr>
        <w:t>三区</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西部农牧综合发展区：</w:t>
      </w:r>
      <w:r>
        <w:rPr>
          <w:rFonts w:hint="default" w:ascii="Times New Roman" w:hAnsi="Times New Roman" w:eastAsia="仿宋_GB2312" w:cs="Times New Roman"/>
          <w:color w:val="auto"/>
          <w:kern w:val="2"/>
          <w:sz w:val="32"/>
          <w:szCs w:val="32"/>
          <w:highlight w:val="none"/>
          <w:lang w:val="en-US" w:eastAsia="zh-CN" w:bidi="ar-SA"/>
        </w:rPr>
        <w:t>主要分布于绥滨农场、普阳农场、新富乡，该区以发展绿色农业种植、特色养殖和农业休闲旅游为主。大力发展绿色水稻种植，打造绥滨大米品牌，推进绥滨白鹅和桑蚕产业发展；依托绥滨农场龙江第一渠、现代农林科技生态园，打造集特色水稻种植、苗木种植、采摘、观光于一体的农旅结合新模式。</w:t>
      </w:r>
    </w:p>
    <w:p w14:paraId="4BDDF175">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中部特色作物、特色养殖引领区：</w:t>
      </w:r>
      <w:r>
        <w:rPr>
          <w:rFonts w:hint="default" w:ascii="Times New Roman" w:hAnsi="Times New Roman" w:eastAsia="仿宋_GB2312" w:cs="Times New Roman"/>
          <w:color w:val="auto"/>
          <w:kern w:val="2"/>
          <w:sz w:val="32"/>
          <w:szCs w:val="32"/>
          <w:highlight w:val="none"/>
          <w:lang w:val="en-US" w:eastAsia="zh-CN" w:bidi="ar-SA"/>
        </w:rPr>
        <w:t>主要分布于福兴、忠仁、连生、北岗、富强、绥东、绥滨镇，该区以发展特色农作物种植、特色养殖、农业生态旅游和绿色农业种植为主。以绥滨镇、忠仁、绥东、连生为重点，打造果蔬种植基地、大鹅养殖基地、湖羊养殖基地和肉牛养殖基地；大力发展富强、忠仁中草药产业；沿绥滨镇富绥大桥打造农业生态观光项目。</w:t>
      </w:r>
    </w:p>
    <w:p w14:paraId="6D72D1CF">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东部绿色农业生产区：</w:t>
      </w:r>
      <w:r>
        <w:rPr>
          <w:rFonts w:hint="default" w:ascii="Times New Roman" w:hAnsi="Times New Roman" w:eastAsia="仿宋_GB2312" w:cs="Times New Roman"/>
          <w:color w:val="auto"/>
          <w:kern w:val="2"/>
          <w:sz w:val="32"/>
          <w:szCs w:val="32"/>
          <w:highlight w:val="none"/>
          <w:lang w:val="en-US" w:eastAsia="zh-CN" w:bidi="ar-SA"/>
        </w:rPr>
        <w:t>主要分布于二九〇农场，该区以发展绿色水稻种植、特色养殖和农业观光为主。大力推进绿色水稻种植，结合鱼稻、鸭稻、蟹稻种养模式，打造生态农业示范区；扩大生猪养殖规模，推进规模化养殖；发展集果蔬种植、绿色养殖、农业观光、采摘、垂钓等于一体的新型农业观光旅游业。</w:t>
      </w:r>
    </w:p>
    <w:p w14:paraId="08581F4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楷体_GB2312" w:cs="Times New Roman"/>
          <w:b w:val="0"/>
          <w:bCs w:val="0"/>
          <w:color w:val="auto"/>
          <w:kern w:val="2"/>
          <w:sz w:val="32"/>
          <w:szCs w:val="32"/>
          <w:highlight w:val="none"/>
          <w:lang w:val="en-US" w:eastAsia="zh-CN" w:bidi="ar-SA"/>
        </w:rPr>
        <w:t>多基地</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寒地淡水鱼养殖示范中心、东方种鹅养殖基地、东方万头肉牛育肥基地、富强肉牛繁育基地、忠仁镇联合村肉牛养殖基地、绥滨农场万头猪场、二九〇生猪养殖基地、连生乡靠山村湖羊养殖基地、中兴林场林下经济示范基地、新建林场林下经济示范基地、大桥农业观光基地、现代农林科技生态园等多个农业基地。</w:t>
      </w:r>
    </w:p>
    <w:p w14:paraId="41269E80">
      <w:pPr>
        <w:pStyle w:val="3"/>
        <w:keepNext/>
        <w:keepLines/>
        <w:pageBreakBefore w:val="0"/>
        <w:widowControl w:val="0"/>
        <w:numPr>
          <w:ilvl w:val="0"/>
          <w:numId w:val="5"/>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26" w:name="_Toc3972"/>
      <w:r>
        <w:rPr>
          <w:rFonts w:hint="default" w:ascii="Times New Roman" w:hAnsi="Times New Roman" w:eastAsia="黑体" w:cs="Times New Roman"/>
          <w:b w:val="0"/>
          <w:bCs w:val="0"/>
          <w:color w:val="auto"/>
          <w:sz w:val="32"/>
          <w:szCs w:val="32"/>
          <w:highlight w:val="none"/>
          <w:lang w:val="en-US" w:eastAsia="zh-CN"/>
        </w:rPr>
        <w:t>实施黑土耕地</w:t>
      </w:r>
      <w:r>
        <w:rPr>
          <w:rFonts w:hint="eastAsia" w:ascii="Times New Roman" w:hAnsi="Times New Roman" w:eastAsia="黑体" w:cs="Times New Roman"/>
          <w:b w:val="0"/>
          <w:bCs w:val="0"/>
          <w:color w:val="auto"/>
          <w:sz w:val="32"/>
          <w:szCs w:val="32"/>
          <w:highlight w:val="none"/>
          <w:lang w:val="en-US" w:eastAsia="zh-CN"/>
        </w:rPr>
        <w:t>“</w:t>
      </w:r>
      <w:r>
        <w:rPr>
          <w:rFonts w:hint="default" w:ascii="Times New Roman" w:hAnsi="Times New Roman" w:eastAsia="黑体" w:cs="Times New Roman"/>
          <w:b w:val="0"/>
          <w:bCs w:val="0"/>
          <w:color w:val="auto"/>
          <w:sz w:val="32"/>
          <w:szCs w:val="32"/>
          <w:highlight w:val="none"/>
          <w:lang w:val="en-US" w:eastAsia="zh-CN"/>
        </w:rPr>
        <w:t>三位一体</w:t>
      </w:r>
      <w:r>
        <w:rPr>
          <w:rFonts w:hint="eastAsia" w:ascii="Times New Roman" w:hAnsi="Times New Roman" w:eastAsia="黑体" w:cs="Times New Roman"/>
          <w:b w:val="0"/>
          <w:bCs w:val="0"/>
          <w:color w:val="auto"/>
          <w:sz w:val="32"/>
          <w:szCs w:val="32"/>
          <w:highlight w:val="none"/>
          <w:lang w:val="en-US" w:eastAsia="zh-CN"/>
        </w:rPr>
        <w:t>”</w:t>
      </w:r>
      <w:r>
        <w:rPr>
          <w:rFonts w:hint="default" w:ascii="Times New Roman" w:hAnsi="Times New Roman" w:eastAsia="黑体" w:cs="Times New Roman"/>
          <w:b w:val="0"/>
          <w:bCs w:val="0"/>
          <w:color w:val="auto"/>
          <w:sz w:val="32"/>
          <w:szCs w:val="32"/>
          <w:highlight w:val="none"/>
          <w:lang w:val="en-US" w:eastAsia="zh-CN"/>
        </w:rPr>
        <w:t>保护</w:t>
      </w:r>
      <w:bookmarkEnd w:id="126"/>
    </w:p>
    <w:p w14:paraId="5908940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落实耕地保护任务</w:t>
      </w:r>
    </w:p>
    <w:p w14:paraId="32FB53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坚持耕地保护优先、数量与质量并重，实行最严格的耕地保护制度，确保耕地实有</w:t>
      </w:r>
      <w:r>
        <w:rPr>
          <w:rFonts w:hint="default" w:ascii="Times New Roman" w:hAnsi="Times New Roman" w:eastAsia="仿宋_GB2312" w:cs="Times New Roman"/>
          <w:color w:val="auto"/>
          <w:sz w:val="32"/>
          <w:szCs w:val="32"/>
          <w:highlight w:val="none"/>
          <w:lang w:val="en-US" w:eastAsia="zh-CN"/>
        </w:rPr>
        <w:t>数量</w:t>
      </w:r>
      <w:r>
        <w:rPr>
          <w:rFonts w:hint="default" w:ascii="Times New Roman" w:hAnsi="Times New Roman" w:eastAsia="仿宋_GB2312" w:cs="Times New Roman"/>
          <w:color w:val="auto"/>
          <w:sz w:val="32"/>
          <w:szCs w:val="32"/>
          <w:highlight w:val="none"/>
        </w:rPr>
        <w:t>稳定、质量不下降。</w:t>
      </w:r>
    </w:p>
    <w:p w14:paraId="4ED1B234">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耕地占补平衡</w:t>
      </w:r>
    </w:p>
    <w:p w14:paraId="14662E56">
      <w:pPr>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sz w:val="32"/>
          <w:szCs w:val="32"/>
          <w:highlight w:val="none"/>
        </w:rPr>
        <w:t>严格控制新增建设用地占用耕地，坚决制止各类耕地</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非农化</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非农业建设占用耕地，必须严格落实</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先补后占和占一补一、占优补优、占水田补水田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，确需占用黑土耕地的，实行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占黑土补黑土</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确保</w:t>
      </w:r>
      <w:r>
        <w:rPr>
          <w:rFonts w:hint="default" w:ascii="Times New Roman" w:hAnsi="Times New Roman" w:eastAsia="仿宋_GB2312" w:cs="Times New Roman"/>
          <w:color w:val="auto"/>
          <w:sz w:val="32"/>
          <w:szCs w:val="32"/>
          <w:highlight w:val="none"/>
          <w:lang w:val="en-US" w:eastAsia="zh-CN"/>
        </w:rPr>
        <w:t>规划期内耕地数量不减少、质量不降低</w:t>
      </w:r>
      <w:r>
        <w:rPr>
          <w:rFonts w:hint="default" w:ascii="Times New Roman" w:hAnsi="Times New Roman" w:eastAsia="仿宋_GB2312" w:cs="Times New Roman"/>
          <w:color w:val="auto"/>
          <w:sz w:val="32"/>
          <w:szCs w:val="32"/>
          <w:highlight w:val="none"/>
        </w:rPr>
        <w:t>。</w:t>
      </w:r>
    </w:p>
    <w:p w14:paraId="3D8A959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耕地种植用途管控</w:t>
      </w:r>
    </w:p>
    <w:p w14:paraId="1BE000BD">
      <w:pPr>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加强耕地保护和种植用途管控，深化种植业结构调整，优化生产力布局，稳定粮食主产区，打造特色优势区。稳定水稻和玉米种植面积，扩种大豆、杂粮作物，构建合理轮作制度。规划近期，水稻种植面积稳中有增，扩大</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鱼（鸭、蟹）稻</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、稻花香、长粒香种植面积；玉米种植面积保持稳定。</w:t>
      </w:r>
    </w:p>
    <w:p w14:paraId="089BB1F1">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永久基本农田保护和建设</w:t>
      </w:r>
    </w:p>
    <w:p w14:paraId="36A11F97">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u w:val="none"/>
          <w:lang w:val="en-US" w:eastAsia="zh-CN" w:bidi="ar-SA"/>
        </w:rPr>
        <w:t>规划期内，严格控制永久基本农田占用和破坏行为，坚决防止永久基本农田</w:t>
      </w:r>
      <w:r>
        <w:rPr>
          <w:rFonts w:hint="eastAsia" w:ascii="Times New Roman" w:hAnsi="Times New Roman" w:eastAsia="仿宋_GB2312" w:cs="Times New Roman"/>
          <w:color w:val="auto"/>
          <w:kern w:val="2"/>
          <w:sz w:val="32"/>
          <w:szCs w:val="32"/>
          <w:highlight w:val="none"/>
          <w:u w:val="none"/>
          <w:lang w:val="en-US" w:eastAsia="zh-CN" w:bidi="ar-SA"/>
        </w:rPr>
        <w:t>“</w:t>
      </w:r>
      <w:r>
        <w:rPr>
          <w:rFonts w:hint="default" w:ascii="Times New Roman" w:hAnsi="Times New Roman" w:eastAsia="仿宋_GB2312" w:cs="Times New Roman"/>
          <w:color w:val="auto"/>
          <w:kern w:val="2"/>
          <w:sz w:val="32"/>
          <w:szCs w:val="32"/>
          <w:highlight w:val="none"/>
          <w:u w:val="none"/>
          <w:lang w:val="en-US" w:eastAsia="zh-CN" w:bidi="ar-SA"/>
        </w:rPr>
        <w:t>非农化</w:t>
      </w:r>
      <w:r>
        <w:rPr>
          <w:rFonts w:hint="eastAsia" w:ascii="Times New Roman" w:hAnsi="Times New Roman" w:eastAsia="仿宋_GB2312" w:cs="Times New Roman"/>
          <w:color w:val="auto"/>
          <w:kern w:val="2"/>
          <w:sz w:val="32"/>
          <w:szCs w:val="32"/>
          <w:highlight w:val="none"/>
          <w:u w:val="none"/>
          <w:lang w:val="en-US" w:eastAsia="zh-CN" w:bidi="ar-SA"/>
        </w:rPr>
        <w:t>”</w:t>
      </w:r>
      <w:r>
        <w:rPr>
          <w:rFonts w:hint="default" w:ascii="Times New Roman" w:hAnsi="Times New Roman" w:eastAsia="仿宋_GB2312" w:cs="Times New Roman"/>
          <w:color w:val="auto"/>
          <w:kern w:val="2"/>
          <w:sz w:val="32"/>
          <w:szCs w:val="32"/>
          <w:highlight w:val="none"/>
          <w:u w:val="none"/>
          <w:lang w:val="en-US" w:eastAsia="zh-CN" w:bidi="ar-SA"/>
        </w:rPr>
        <w:t>。加强永久基本农田保护和建设，优先在永久基本农田保护区内开展高标准农田建设，有效稳定永久基本农田规模布局，提升耕地质量，保障粮食综合生产能力。</w:t>
      </w:r>
    </w:p>
    <w:p w14:paraId="6D16B4E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五、</w:t>
      </w:r>
      <w:r>
        <w:rPr>
          <w:rFonts w:hint="default" w:ascii="Times New Roman" w:hAnsi="Times New Roman" w:eastAsia="楷体_GB2312" w:cs="Times New Roman"/>
          <w:b w:val="0"/>
          <w:bCs w:val="0"/>
          <w:color w:val="auto"/>
          <w:sz w:val="32"/>
          <w:szCs w:val="32"/>
          <w:highlight w:val="none"/>
          <w:lang w:val="en-US" w:eastAsia="zh-CN"/>
        </w:rPr>
        <w:t>黑土耕地保护</w:t>
      </w:r>
    </w:p>
    <w:p w14:paraId="67ED0FC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坚持用养结合、综合保护，推行科学轮作和深耕深松，积极实施农业</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三减</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行动和秸秆综合利用，扩大有机肥施用；大力推进循环农业，控制农业面源污染；实施综合配套技术措施，有效遏制黑土耕地退化，改善农田生态环境，提高黑土耕地质量。</w:t>
      </w:r>
    </w:p>
    <w:p w14:paraId="1C68007A">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六、</w:t>
      </w:r>
      <w:r>
        <w:rPr>
          <w:rFonts w:hint="default" w:ascii="Times New Roman" w:hAnsi="Times New Roman" w:eastAsia="楷体_GB2312" w:cs="Times New Roman"/>
          <w:b w:val="0"/>
          <w:bCs w:val="0"/>
          <w:color w:val="auto"/>
          <w:sz w:val="32"/>
          <w:szCs w:val="32"/>
          <w:highlight w:val="none"/>
          <w:lang w:val="en-US" w:eastAsia="zh-CN"/>
        </w:rPr>
        <w:t>耕地后备资源开发和战略储备</w:t>
      </w:r>
    </w:p>
    <w:p w14:paraId="64FF9C9F">
      <w:pPr>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规划对绥滨县耕地后备资源进行调查评价，挖掘补充耕地潜力，为规范耕地占补平衡管理、落实耕地进出平衡提供依据。主要分布于各农场以及忠仁镇、绥滨镇、绥东镇和连生乡，其他乡镇耕地后备资源数量较少。</w:t>
      </w:r>
      <w:r>
        <w:rPr>
          <w:rFonts w:hint="eastAsia" w:ascii="Times New Roman" w:hAnsi="Times New Roman" w:eastAsia="仿宋_GB2312" w:cs="Times New Roman"/>
          <w:color w:val="auto"/>
          <w:kern w:val="2"/>
          <w:sz w:val="32"/>
          <w:szCs w:val="32"/>
          <w:highlight w:val="none"/>
          <w:lang w:val="en-US" w:eastAsia="zh-CN" w:bidi="ar-SA"/>
        </w:rPr>
        <w:t>全</w:t>
      </w:r>
      <w:r>
        <w:rPr>
          <w:rFonts w:hint="default" w:ascii="Times New Roman" w:hAnsi="Times New Roman" w:eastAsia="仿宋_GB2312" w:cs="Times New Roman"/>
          <w:color w:val="auto"/>
          <w:kern w:val="2"/>
          <w:sz w:val="32"/>
          <w:szCs w:val="32"/>
          <w:highlight w:val="none"/>
          <w:lang w:val="en-US" w:eastAsia="zh-CN" w:bidi="ar-SA"/>
        </w:rPr>
        <w:t>县耕地后备资源开发利用时序主要集中在规划远期，重点开发利用区域为中部地区各乡镇。</w:t>
      </w:r>
    </w:p>
    <w:p w14:paraId="2323F3B8">
      <w:pPr>
        <w:pStyle w:val="3"/>
        <w:keepNext/>
        <w:keepLines/>
        <w:pageBreakBefore w:val="0"/>
        <w:widowControl w:val="0"/>
        <w:numPr>
          <w:ilvl w:val="0"/>
          <w:numId w:val="5"/>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27" w:name="_Toc18562"/>
      <w:r>
        <w:rPr>
          <w:rFonts w:hint="default" w:ascii="Times New Roman" w:hAnsi="Times New Roman" w:eastAsia="黑体" w:cs="Times New Roman"/>
          <w:b w:val="0"/>
          <w:bCs w:val="0"/>
          <w:color w:val="auto"/>
          <w:sz w:val="32"/>
          <w:szCs w:val="32"/>
          <w:highlight w:val="none"/>
          <w:lang w:val="en-US" w:eastAsia="zh-CN"/>
        </w:rPr>
        <w:t>拓展农产品生产空间</w:t>
      </w:r>
      <w:bookmarkEnd w:id="127"/>
    </w:p>
    <w:p w14:paraId="6F12B9AE">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适应农业发展新趋势，统筹农业增产、畜牧业发展、农民增收和黑土地保护之间的关系，调整优化农业结构和生产布局，拓展农产品生产空间，促进农民增收，推进农业绿色可持续发展。</w:t>
      </w:r>
    </w:p>
    <w:p w14:paraId="34BD554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合理布局都市农业区</w:t>
      </w:r>
    </w:p>
    <w:p w14:paraId="1901A4DE">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以绥滨镇、忠仁镇、绥东镇为核心，扩大果蔬种植基地规模，保障全县果蔬种植空间。大力发展特色瓜果产业，建设优质水果标准化生产基地，因地制宜发展日光温室大棚，提高冬春</w:t>
      </w:r>
      <w:r>
        <w:rPr>
          <w:rFonts w:hint="eastAsia" w:ascii="Times New Roman" w:hAnsi="Times New Roman" w:eastAsia="仿宋_GB2312" w:cs="Times New Roman"/>
          <w:color w:val="auto"/>
          <w:kern w:val="2"/>
          <w:sz w:val="32"/>
          <w:szCs w:val="32"/>
          <w:highlight w:val="none"/>
          <w:lang w:val="en-US" w:eastAsia="zh-CN" w:bidi="ar-SA"/>
        </w:rPr>
        <w:t>两</w:t>
      </w:r>
      <w:r>
        <w:rPr>
          <w:rFonts w:hint="default" w:ascii="Times New Roman" w:hAnsi="Times New Roman" w:eastAsia="仿宋_GB2312" w:cs="Times New Roman"/>
          <w:color w:val="auto"/>
          <w:kern w:val="2"/>
          <w:sz w:val="32"/>
          <w:szCs w:val="32"/>
          <w:highlight w:val="none"/>
          <w:lang w:val="en-US" w:eastAsia="zh-CN" w:bidi="ar-SA"/>
        </w:rPr>
        <w:t>季蔬菜自给率。</w:t>
      </w:r>
    </w:p>
    <w:p w14:paraId="5630CD36">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打造林产品生产区</w:t>
      </w:r>
    </w:p>
    <w:p w14:paraId="7C04F97C">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bookmarkStart w:id="128" w:name="_Toc398288276"/>
      <w:r>
        <w:rPr>
          <w:rFonts w:hint="default" w:ascii="Times New Roman" w:hAnsi="Times New Roman" w:eastAsia="仿宋_GB2312" w:cs="Times New Roman"/>
          <w:color w:val="auto"/>
          <w:sz w:val="32"/>
          <w:szCs w:val="32"/>
          <w:highlight w:val="none"/>
          <w:lang w:val="en-US" w:eastAsia="zh-CN"/>
        </w:rPr>
        <w:t>大力推行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果树+食用菌+中草药+养殖</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的林下种养模式，积极推进林下经济良性循环发展。</w:t>
      </w:r>
      <w:bookmarkEnd w:id="128"/>
      <w:r>
        <w:rPr>
          <w:rFonts w:hint="default" w:ascii="Times New Roman" w:hAnsi="Times New Roman" w:eastAsia="仿宋_GB2312" w:cs="Times New Roman"/>
          <w:color w:val="auto"/>
          <w:kern w:val="2"/>
          <w:sz w:val="32"/>
          <w:szCs w:val="32"/>
          <w:highlight w:val="none"/>
          <w:lang w:val="en-US" w:eastAsia="zh-CN" w:bidi="ar-SA"/>
        </w:rPr>
        <w:t>以新建林场为中心，大力推进食用菌基地建设，扩大黑木耳、花脸蘑、平菇等食用菌生产规模；</w:t>
      </w:r>
      <w:r>
        <w:rPr>
          <w:rFonts w:hint="default" w:ascii="Times New Roman" w:hAnsi="Times New Roman" w:eastAsia="仿宋_GB2312" w:cs="Times New Roman"/>
          <w:color w:val="auto"/>
          <w:sz w:val="32"/>
          <w:szCs w:val="32"/>
          <w:highlight w:val="none"/>
          <w:lang w:val="en-US" w:eastAsia="zh-CN"/>
        </w:rPr>
        <w:t>以富强、忠仁为重点，</w:t>
      </w:r>
      <w:r>
        <w:rPr>
          <w:rFonts w:hint="default" w:ascii="Times New Roman" w:hAnsi="Times New Roman" w:eastAsia="仿宋_GB2312" w:cs="Times New Roman"/>
          <w:color w:val="auto"/>
          <w:kern w:val="2"/>
          <w:sz w:val="32"/>
          <w:szCs w:val="32"/>
          <w:highlight w:val="none"/>
          <w:lang w:val="en-US" w:eastAsia="zh-CN" w:bidi="ar-SA"/>
        </w:rPr>
        <w:t>发展灵芝、五味子等中草药种植，扩大寒地龙药种植规模；大力发展中兴林场黑猪养殖基地以及林下家禽养殖，实现农牧结合，促进经济发展。</w:t>
      </w:r>
    </w:p>
    <w:p w14:paraId="0C11F55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优化畜禽养殖空间</w:t>
      </w:r>
    </w:p>
    <w:p w14:paraId="4FCC8C08">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以全域为整体，推进一县三场协同互动，合理安排畜牧养殖空间，积极推进标准化养殖基地建设。以</w:t>
      </w:r>
      <w:r>
        <w:rPr>
          <w:rFonts w:hint="eastAsia" w:ascii="Times New Roman" w:hAnsi="Times New Roman" w:eastAsia="仿宋_GB2312" w:cs="Times New Roman"/>
          <w:color w:val="auto"/>
          <w:kern w:val="2"/>
          <w:sz w:val="32"/>
          <w:szCs w:val="32"/>
          <w:highlight w:val="none"/>
          <w:lang w:val="en-US" w:eastAsia="zh-CN" w:bidi="ar-SA"/>
        </w:rPr>
        <w:t>“鹅鸭、牛、湖羊、生猪”</w:t>
      </w:r>
      <w:r>
        <w:rPr>
          <w:rFonts w:hint="default" w:ascii="Times New Roman" w:hAnsi="Times New Roman" w:eastAsia="仿宋_GB2312" w:cs="Times New Roman"/>
          <w:color w:val="auto"/>
          <w:kern w:val="2"/>
          <w:sz w:val="32"/>
          <w:szCs w:val="32"/>
          <w:highlight w:val="none"/>
          <w:lang w:val="en-US" w:eastAsia="zh-CN" w:bidi="ar-SA"/>
        </w:rPr>
        <w:t>为重点，扩大畜禽养殖规模。积极推进全县大鹅、生猪、肉牛、湖羊等标准化养殖基地建设保障全县畜禽养殖业发展空间。</w:t>
      </w:r>
    </w:p>
    <w:p w14:paraId="31AA84C4">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保障渔业养殖空间</w:t>
      </w:r>
    </w:p>
    <w:p w14:paraId="542FBB37">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依托绥滨寒地淡水鱼养殖示范中心和黑松两江流域自然泡泽，打造年产值十亿元级冷水鱼养殖基地，做优网箱养鱼产业，做强池塘养殖基地，做大稻田养鱼规模。</w:t>
      </w:r>
    </w:p>
    <w:p w14:paraId="3171EC10">
      <w:pPr>
        <w:pStyle w:val="3"/>
        <w:keepNext/>
        <w:keepLines/>
        <w:pageBreakBefore w:val="0"/>
        <w:widowControl w:val="0"/>
        <w:numPr>
          <w:ilvl w:val="0"/>
          <w:numId w:val="5"/>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29" w:name="_Toc20181"/>
      <w:r>
        <w:rPr>
          <w:rFonts w:hint="default" w:ascii="Times New Roman" w:hAnsi="Times New Roman" w:eastAsia="黑体" w:cs="Times New Roman"/>
          <w:b w:val="0"/>
          <w:bCs w:val="0"/>
          <w:color w:val="auto"/>
          <w:sz w:val="32"/>
          <w:szCs w:val="32"/>
          <w:highlight w:val="none"/>
          <w:lang w:val="en-US" w:eastAsia="zh-CN"/>
        </w:rPr>
        <w:t>建设宜居</w:t>
      </w:r>
      <w:r>
        <w:rPr>
          <w:rFonts w:hint="eastAsia" w:ascii="Times New Roman" w:hAnsi="Times New Roman" w:eastAsia="黑体" w:cs="Times New Roman"/>
          <w:b w:val="0"/>
          <w:bCs w:val="0"/>
          <w:color w:val="auto"/>
          <w:sz w:val="32"/>
          <w:szCs w:val="32"/>
          <w:highlight w:val="none"/>
          <w:lang w:val="en-US" w:eastAsia="zh-CN"/>
        </w:rPr>
        <w:t>宜业和美</w:t>
      </w:r>
      <w:r>
        <w:rPr>
          <w:rFonts w:hint="default" w:ascii="Times New Roman" w:hAnsi="Times New Roman" w:eastAsia="黑体" w:cs="Times New Roman"/>
          <w:b w:val="0"/>
          <w:bCs w:val="0"/>
          <w:color w:val="auto"/>
          <w:sz w:val="32"/>
          <w:szCs w:val="32"/>
          <w:highlight w:val="none"/>
          <w:lang w:val="en-US" w:eastAsia="zh-CN"/>
        </w:rPr>
        <w:t>乡村</w:t>
      </w:r>
      <w:bookmarkEnd w:id="129"/>
    </w:p>
    <w:p w14:paraId="35B57F51">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村庄分类</w:t>
      </w:r>
    </w:p>
    <w:p w14:paraId="062034D6">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绥滨县村庄分类共包括集聚提升类、城郊融合类、特色保护类、边境巩固类四类，引导村庄差异化发展。</w:t>
      </w:r>
    </w:p>
    <w:p w14:paraId="52DD01C5">
      <w:pPr>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集聚提升类是乡村振兴的重点。规划科学确定村庄发展方向，在原有规模基础上有序推进改造提升，激活产业、优化环境，保护乡村风貌，建设宜居宜业的美丽村庄。</w:t>
      </w:r>
    </w:p>
    <w:p w14:paraId="7983595D">
      <w:pPr>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城郊融合类规划发挥村庄区位优势，加快城乡产业融合发展、基础设施互联互通、公共服务共建共享。位于城镇开发边界以内的村庄，纳入城镇国土空间规划统筹安排，不需单独编制村庄规划。</w:t>
      </w:r>
    </w:p>
    <w:p w14:paraId="03E2458A">
      <w:pPr>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特色保护类规划统筹保护、利用与发展的关系，保持村庄特色的完整性、真实性和延续性，尊重居民生活形态和传统习惯，加快改善村庄基础设施和公共环境，发展乡村旅游和特色产业。</w:t>
      </w:r>
    </w:p>
    <w:p w14:paraId="3D424B49">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边境巩固类规划坚持安边、固边、兴边，加快完善基础设施和公共服务，改善居民生产生活条件，因地制宜发展边境优势特色产业，推进军民共建共享，引导支持人口向边境一线村庄聚集，达到村庄不减少、居民不流失、守边不弱化的政策要求。</w:t>
      </w:r>
    </w:p>
    <w:p w14:paraId="4768582A">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村庄用地布局优化</w:t>
      </w:r>
    </w:p>
    <w:p w14:paraId="3254D970">
      <w:pPr>
        <w:pStyle w:val="9"/>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按照</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总体集聚、局部迁并</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的原则，对村庄居民点进行优化，对基础设施严重匮乏且难以修建的、人口规模和人均收入水平远远低于全县平均水平的自然屯进行撤并。规划撤并村屯主要集中在北岗乡、富强乡、连生乡、新富乡。撤并村屯安置按照就近原则进行安排，不得违背农民意愿、强迫农民上楼，把好事办好、把实事办实。</w:t>
      </w:r>
    </w:p>
    <w:p w14:paraId="71234A17">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130" w:name="_Toc25417"/>
      <w:bookmarkStart w:id="131" w:name="_Toc26785"/>
      <w:r>
        <w:rPr>
          <w:rFonts w:hint="eastAsia" w:ascii="Times New Roman" w:hAnsi="Times New Roman" w:eastAsia="楷体_GB2312" w:cs="Times New Roman"/>
          <w:b w:val="0"/>
          <w:bCs w:val="0"/>
          <w:color w:val="auto"/>
          <w:kern w:val="2"/>
          <w:sz w:val="32"/>
          <w:szCs w:val="32"/>
          <w:lang w:val="en-US" w:eastAsia="zh-CN" w:bidi="ar-SA"/>
        </w:rPr>
        <w:t>三、</w:t>
      </w:r>
      <w:r>
        <w:rPr>
          <w:rFonts w:hint="eastAsia" w:ascii="Times New Roman" w:hAnsi="Times New Roman" w:eastAsia="楷体_GB2312" w:cs="Times New Roman"/>
          <w:b w:val="0"/>
          <w:bCs w:val="0"/>
          <w:color w:val="auto"/>
          <w:sz w:val="32"/>
          <w:szCs w:val="32"/>
          <w:highlight w:val="none"/>
          <w:lang w:val="en-US" w:eastAsia="zh-CN"/>
        </w:rPr>
        <w:t>乡村振兴</w:t>
      </w:r>
    </w:p>
    <w:p w14:paraId="23097FA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val="0"/>
          <w:bCs w:val="0"/>
          <w:color w:val="auto"/>
          <w:kern w:val="2"/>
          <w:sz w:val="32"/>
          <w:szCs w:val="32"/>
          <w:highlight w:val="none"/>
          <w:lang w:val="en-US" w:eastAsia="zh-CN" w:bidi="ar-SA"/>
        </w:rPr>
        <w:t>推动乡村产业融合发展</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rPr>
        <w:t>推动农村</w:t>
      </w:r>
      <w:r>
        <w:rPr>
          <w:rFonts w:hint="eastAsia" w:ascii="Times New Roman" w:hAnsi="Times New Roman" w:eastAsia="仿宋_GB2312" w:cs="Times New Roman"/>
          <w:color w:val="auto"/>
          <w:sz w:val="32"/>
          <w:szCs w:val="32"/>
          <w:highlight w:val="none"/>
          <w:lang w:eastAsia="zh-CN"/>
        </w:rPr>
        <w:t>一、二、三产业</w:t>
      </w:r>
      <w:r>
        <w:rPr>
          <w:rFonts w:hint="default" w:ascii="Times New Roman" w:hAnsi="Times New Roman" w:eastAsia="仿宋_GB2312" w:cs="Times New Roman"/>
          <w:color w:val="auto"/>
          <w:sz w:val="32"/>
          <w:szCs w:val="32"/>
          <w:highlight w:val="none"/>
        </w:rPr>
        <w:t>融合发展，打造特色化的农业全产业链条。第一产业大力推进水稻、玉米、大豆的现代化种植，食用菌养殖，白鹅、寒地淡水鱼、肉牛、生猪、湖羊的规模化养殖；第二产业应围绕农产品等优势形成特色农产品精深加工产业，同时大力支持农户、农场、林场等多种农业生产经营主体与加工企业的对接合作，提升农产品价值；第三产业积极推进电商经济服务平台建设，围绕一二产业形成便捷有效的现代服务产业，注重模式创新，推进</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农业+</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等产业模式的快速发展，同时，结合绥滨县全域旅游，利用乡村独特的自然资源、文化资源、产业资源等优势，推动乡村旅游产业发展。</w:t>
      </w:r>
    </w:p>
    <w:p w14:paraId="6A65E4BF">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val="0"/>
          <w:bCs w:val="0"/>
          <w:color w:val="auto"/>
          <w:kern w:val="2"/>
          <w:sz w:val="32"/>
          <w:szCs w:val="32"/>
          <w:highlight w:val="none"/>
          <w:lang w:val="en-US" w:eastAsia="zh-CN" w:bidi="ar-SA"/>
        </w:rPr>
        <w:t>保护乡村自然山水</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rPr>
        <w:t>将</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好生态才能出好产品，好风景也能变好效益</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融入乡村振兴中。绥滨县应做好乡村地区自然生态空间保育工作，夯实山水林田湖草等生态基底，加强耕地和永久基本农田保护，落实生态保护与修复工程，提升人居环境整治力度与个人环境保护意识。最终将生态环境优势转化为经济优势，实现生活富裕的同时，让自然生态保护实现良性循环，达到人与自然和谐共生。始终坚信</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绿水青山就是金山银山</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的理念，做好生态空间的维育工作，确保在提高乡村国土资源利用率的前提下，实现生态经济发展的进一步提升。</w:t>
      </w:r>
    </w:p>
    <w:p w14:paraId="48AB2203">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val="0"/>
          <w:bCs w:val="0"/>
          <w:color w:val="auto"/>
          <w:kern w:val="2"/>
          <w:sz w:val="32"/>
          <w:szCs w:val="32"/>
          <w:highlight w:val="none"/>
          <w:lang w:val="en-US" w:eastAsia="zh-CN" w:bidi="ar-SA"/>
        </w:rPr>
        <w:t>深入推进兴边富民</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rPr>
        <w:t>深入挖掘黑龙江边境乡村资源禀赋和特色亮点，结合边境村庄独特区位，重点推进荣边村、中兴村等8个边境巩固类村庄兴边固边工作任务，有条件的乡村积极开展边境贸易等相关活动，提升乡村地区经济实力，拓宽经济渠道，将兴边富民与乡村振兴充分结合，以</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醉美331</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边防公路为纽带，串联绥滨县边境乡村形成组团发展模式，通过边境游、乡村游、农田游等旅游业态以及自身特色产业发展，打造一批边境民族风情小镇，提升抵边居民获得感与幸福感。同时在边境地区自然环境保护方面，加强边境村庄自然地形地貌等环境要素的保护，延续和体现边境村庄原有的社会网络和空间格局，引导村庄在建设方面与边境文化</w:t>
      </w:r>
      <w:r>
        <w:rPr>
          <w:rFonts w:hint="default" w:ascii="Times New Roman" w:hAnsi="Times New Roman" w:eastAsia="仿宋_GB2312" w:cs="Times New Roman"/>
          <w:color w:val="auto"/>
          <w:sz w:val="32"/>
          <w:szCs w:val="32"/>
          <w:highlight w:val="none"/>
          <w:lang w:eastAsia="zh-CN"/>
        </w:rPr>
        <w:t>相</w:t>
      </w:r>
      <w:r>
        <w:rPr>
          <w:rFonts w:hint="default" w:ascii="Times New Roman" w:hAnsi="Times New Roman" w:eastAsia="仿宋_GB2312" w:cs="Times New Roman"/>
          <w:color w:val="auto"/>
          <w:sz w:val="32"/>
          <w:szCs w:val="32"/>
          <w:highlight w:val="none"/>
        </w:rPr>
        <w:t>融合，形成独具风格的边境特色景观风貌，形成边境地区经济与资源环境协调发展的有利态势。</w:t>
      </w:r>
    </w:p>
    <w:p w14:paraId="24670CC1">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val="0"/>
          <w:bCs w:val="0"/>
          <w:color w:val="auto"/>
          <w:kern w:val="2"/>
          <w:sz w:val="32"/>
          <w:szCs w:val="32"/>
          <w:highlight w:val="none"/>
          <w:lang w:val="en-US" w:eastAsia="zh-CN" w:bidi="ar-SA"/>
        </w:rPr>
        <w:t>合理利用乡村土地资源</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rPr>
        <w:t>全面开展村庄规划，确保村庄各类用地合理安排，优化村庄用地布局，充分考虑村庄发展实际需求与未来发展等要素，提高土地的集约利用效率，适度</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留白</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以应对未来的不确定性；充分考虑乡村建设用地需求，保障落实乡村重点项目用地安排，有计划合理新增建设用地指标，确保农村新项目新业态融合发展，以绥滨镇、忠仁镇、绥东镇等乡镇大鹅养殖、肉牛养殖和二九</w:t>
      </w:r>
      <w:r>
        <w:rPr>
          <w:rFonts w:hint="default" w:ascii="Times New Roman" w:hAnsi="Times New Roman" w:eastAsia="仿宋_GB2312" w:cs="Times New Roman"/>
          <w:color w:val="auto"/>
          <w:sz w:val="32"/>
          <w:szCs w:val="32"/>
          <w:highlight w:val="none"/>
          <w:lang w:val="en-US" w:eastAsia="zh-CN"/>
        </w:rPr>
        <w:t>〇</w:t>
      </w:r>
      <w:r>
        <w:rPr>
          <w:rFonts w:hint="default" w:ascii="Times New Roman" w:hAnsi="Times New Roman" w:eastAsia="仿宋_GB2312" w:cs="Times New Roman"/>
          <w:color w:val="auto"/>
          <w:sz w:val="32"/>
          <w:szCs w:val="32"/>
          <w:highlight w:val="none"/>
        </w:rPr>
        <w:t>农场、绥滨农场生猪养殖为重点，忠仁镇寒地淡水鱼养殖、新建林场林下经济以及各乡镇乡村旅游为特色，对设施农用地及经营性用地进行合理预留，保障绥滨县农产品加工、养殖业及乡村旅游等产业用地的合理需求，为产业振兴提供用地保障；严格执行国家和省相关政策，积极盘活闲置基地，引导推进农村地区土地流转，加大宅基地与集体经营性建设用地整理再利用或复垦力度，确保腾挪建设用地指标优先用于对应村庄基础设施与生产用地的建设，完善土地增值收益分配机制，确保居民对优化用地的积极性，优化乡村地区土地资源配置合理性。</w:t>
      </w:r>
    </w:p>
    <w:p w14:paraId="200858EB">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val="0"/>
          <w:bCs w:val="0"/>
          <w:color w:val="auto"/>
          <w:kern w:val="2"/>
          <w:sz w:val="32"/>
          <w:szCs w:val="32"/>
          <w:highlight w:val="none"/>
          <w:lang w:val="en-US" w:eastAsia="zh-CN" w:bidi="ar-SA"/>
        </w:rPr>
        <w:t>突显东北特色乡村形象</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rPr>
        <w:t>严格控制新建农房，合理安排移民搬迁安置房的体量和风貌。优先在集聚提升型、城郊融合型村庄开展农房外立面整饰，提升美丽乡村示范村创建水平。加强少数民族特色村落保护与利用，实施民族村落修缮、保护、利用工程。加强建筑与院落整治，拆除违建部分，建设一批具有标志性、引领性、带动性的精品东北少数民族特色民宿和乡村公共建筑；充分</w:t>
      </w:r>
      <w:r>
        <w:rPr>
          <w:rFonts w:hint="default" w:ascii="Times New Roman" w:hAnsi="Times New Roman" w:eastAsia="仿宋_GB2312" w:cs="Times New Roman"/>
          <w:color w:val="auto"/>
          <w:sz w:val="32"/>
          <w:szCs w:val="32"/>
          <w:highlight w:val="none"/>
          <w:lang w:eastAsia="zh-CN"/>
        </w:rPr>
        <w:t>利用</w:t>
      </w:r>
      <w:r>
        <w:rPr>
          <w:rFonts w:hint="default" w:ascii="Times New Roman" w:hAnsi="Times New Roman" w:eastAsia="仿宋_GB2312" w:cs="Times New Roman"/>
          <w:color w:val="auto"/>
          <w:sz w:val="32"/>
          <w:szCs w:val="32"/>
          <w:highlight w:val="none"/>
        </w:rPr>
        <w:t>闲置土地，因地制宜开展乡村美化工作，对庭院、村道、沟渠等进行绿化，建设小游园、绿地等，突显现代东北特色乡村形象。</w:t>
      </w:r>
    </w:p>
    <w:p w14:paraId="358BDB66">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val="0"/>
          <w:bCs w:val="0"/>
          <w:color w:val="auto"/>
          <w:kern w:val="2"/>
          <w:sz w:val="32"/>
          <w:szCs w:val="32"/>
          <w:highlight w:val="none"/>
          <w:lang w:val="en-US" w:eastAsia="zh-CN" w:bidi="ar-SA"/>
        </w:rPr>
        <w:t>保护利用乡村历史古迹与文化特色</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rPr>
        <w:t>加强乡村范围内各级文物保护单位的保护力度，充分尊重乡村原有的文化特色、人文特点和乡村景观，重点加强对奥里米城址、中兴城址、同仁遗址等国家级、省级文物保护单位的保护力度，围绕福兴满族乡深入挖掘边境地区少数民族文化特色，打造辽金文化与少数民族文化集聚地，同时加强融合乡村文化和现代信息技术，多元化发展本土文化和传统民间艺术，积极创新，打造具有自身文化特色的乡村，加快乡村文化产业发展，加大乡村特色文化的传承，推动文化旅游、乡村旅游等事业的发展。</w:t>
      </w:r>
    </w:p>
    <w:p w14:paraId="14B2CDAF">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_GB2312" w:cs="Times New Roman"/>
          <w:b w:val="0"/>
          <w:bCs w:val="0"/>
          <w:color w:val="auto"/>
          <w:kern w:val="2"/>
          <w:sz w:val="32"/>
          <w:szCs w:val="32"/>
          <w:highlight w:val="none"/>
          <w:lang w:val="en-US" w:eastAsia="zh-CN" w:bidi="ar-SA"/>
        </w:rPr>
        <w:t>改善乡村基础设施</w:t>
      </w:r>
      <w:r>
        <w:rPr>
          <w:rFonts w:hint="eastAsia" w:ascii="Times New Roman" w:hAnsi="Times New Roman" w:eastAsia="楷体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rPr>
        <w:t>加大基础设施用地保障，落实全省</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三大革命</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部署，实施农村人居环境整治三年行动计划。推进</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厕所革命</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，努力提高农村卫生厕所普及率。鼓励有条件的地区开展垃圾分类和资源化利用，每个自然村村屯按照1个以上垃圾收集点标准配备。加强农村生活污水处理，2035年实现全</w:t>
      </w:r>
      <w:r>
        <w:rPr>
          <w:rFonts w:hint="default" w:ascii="Times New Roman" w:hAnsi="Times New Roman" w:eastAsia="仿宋_GB2312" w:cs="Times New Roman"/>
          <w:color w:val="auto"/>
          <w:sz w:val="32"/>
          <w:szCs w:val="32"/>
          <w:highlight w:val="none"/>
          <w:lang w:val="en-US" w:eastAsia="zh-CN"/>
        </w:rPr>
        <w:t>县</w:t>
      </w:r>
      <w:r>
        <w:rPr>
          <w:rFonts w:hint="default" w:ascii="Times New Roman" w:hAnsi="Times New Roman" w:eastAsia="仿宋_GB2312" w:cs="Times New Roman"/>
          <w:color w:val="auto"/>
          <w:sz w:val="32"/>
          <w:szCs w:val="32"/>
          <w:highlight w:val="none"/>
        </w:rPr>
        <w:t>农村生活污水收集处理行政村全覆盖；推动基本公共服务用地均衡布局。推进城乡教育均衡优质发展，通过学校新改扩建和校园功能微改造，改善农村义务教育学校办学条件。实施农村基层医疗卫生机构标准化建设，健全以区县级医院为龙头、乡镇卫生院为骨干、村卫生站为基础的农村三级卫生服务体系。建设20</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60分钟农村基层服务圈，配置满足日常基本保障性公共服务设施和公共活动场所；提升生产生活设施水平。实施</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四好农村路</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建设行动，推进农村公路与城市道路互联互通，加快提升农村地区供水用水质量。加强农村地区中低压配电网保供能力建设，提高农村配电网电压质量。实施村村通光纤工程、移动通信畅通工程。大力推进德龙、兴安、敖来等灌区，深化小型水利工程管理体制改革，加强公益性农村水利工程管理维护。</w:t>
      </w:r>
    </w:p>
    <w:p w14:paraId="5A0168B1">
      <w:pPr>
        <w:pStyle w:val="3"/>
        <w:keepNext/>
        <w:keepLines/>
        <w:pageBreakBefore w:val="0"/>
        <w:widowControl w:val="0"/>
        <w:numPr>
          <w:ilvl w:val="0"/>
          <w:numId w:val="5"/>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32" w:name="_Toc22562"/>
      <w:r>
        <w:rPr>
          <w:rFonts w:hint="default" w:ascii="Times New Roman" w:hAnsi="Times New Roman" w:eastAsia="黑体" w:cs="Times New Roman"/>
          <w:b w:val="0"/>
          <w:bCs w:val="0"/>
          <w:color w:val="auto"/>
          <w:sz w:val="32"/>
          <w:szCs w:val="32"/>
          <w:highlight w:val="none"/>
          <w:lang w:val="en-US" w:eastAsia="zh-CN"/>
        </w:rPr>
        <w:t>统筹农村土地综合整治</w:t>
      </w:r>
      <w:bookmarkEnd w:id="132"/>
    </w:p>
    <w:p w14:paraId="275A216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eastAsia" w:ascii="Times New Roman" w:hAnsi="Times New Roman" w:eastAsia="楷体_GB2312" w:cs="Times New Roman"/>
          <w:b w:val="0"/>
          <w:bCs w:val="0"/>
          <w:color w:val="auto"/>
          <w:sz w:val="32"/>
          <w:szCs w:val="32"/>
          <w:highlight w:val="none"/>
          <w:lang w:val="en-US" w:eastAsia="zh-CN"/>
        </w:rPr>
        <w:t>农村土地</w:t>
      </w:r>
      <w:r>
        <w:rPr>
          <w:rFonts w:hint="default" w:ascii="Times New Roman" w:hAnsi="Times New Roman" w:eastAsia="楷体_GB2312" w:cs="Times New Roman"/>
          <w:b w:val="0"/>
          <w:bCs w:val="0"/>
          <w:color w:val="auto"/>
          <w:sz w:val="32"/>
          <w:szCs w:val="32"/>
          <w:highlight w:val="none"/>
          <w:lang w:val="en-US" w:eastAsia="zh-CN"/>
        </w:rPr>
        <w:t>综合整治总体目标</w:t>
      </w:r>
    </w:p>
    <w:p w14:paraId="1A0F2813">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规划期内</w:t>
      </w:r>
      <w:r>
        <w:rPr>
          <w:rFonts w:hint="default" w:ascii="Times New Roman" w:hAnsi="Times New Roman" w:eastAsia="仿宋_GB2312" w:cs="Times New Roman"/>
          <w:color w:val="auto"/>
          <w:sz w:val="32"/>
          <w:szCs w:val="32"/>
          <w:highlight w:val="none"/>
        </w:rPr>
        <w:t>，全面提升耕地保护水平，实现全域耕地面积、质量相对稳定；进一步加强土地整治科技创新，提升土地整治综合服务能力；全面提升建设用地节约集约利用水平；逐步构建农田集中连片、村庄宜居聚集、产业集聚升级的生产、生活、生态空间新格局。</w:t>
      </w:r>
    </w:p>
    <w:p w14:paraId="01C83DB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农村建设用地整治</w:t>
      </w:r>
    </w:p>
    <w:p w14:paraId="203AA3E4">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全面提高农村建设用地利用效率，合理开发利用腾退宅基地、村内废弃地和闲置地，引导农民集中居住，产业集聚发展。以</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空心村</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整治和</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危旧房</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改造为重点，立足现有基础进行房屋和设施改造。规划期内，大力推进闲置低效农村宅基地整理。整体推进农村生活建设空间综合整治。改善农村生活环境，完善基础设施建设，健全公共服务设施，加强村庄内部绿化建设，着力改变农村脏、乱、差的状况，实现布局优化、村庄绿化、环境美化。</w:t>
      </w:r>
    </w:p>
    <w:p w14:paraId="083FE5C7">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农用地整治</w:t>
      </w:r>
    </w:p>
    <w:p w14:paraId="1878A55E">
      <w:pPr>
        <w:pStyle w:val="23"/>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小标宋简体" w:cs="Times New Roman"/>
          <w:b w:val="0"/>
          <w:bCs w:val="0"/>
          <w:color w:val="auto"/>
          <w:sz w:val="36"/>
          <w:szCs w:val="36"/>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大力推进全县高标准农田建设工作。推进田、水、路、林、村综合整治，改善农田基础设施，大力提升防洪、排涝等抵御自然灾害的能力，提升土地集约利用水平，提高粮食综合生产能力。</w:t>
      </w:r>
      <w:r>
        <w:rPr>
          <w:rFonts w:hint="default" w:ascii="Times New Roman" w:hAnsi="Times New Roman" w:eastAsia="方正小标宋简体" w:cs="Times New Roman"/>
          <w:b w:val="0"/>
          <w:bCs w:val="0"/>
          <w:color w:val="auto"/>
          <w:sz w:val="36"/>
          <w:szCs w:val="36"/>
          <w:highlight w:val="none"/>
          <w:lang w:val="en-US" w:eastAsia="zh-CN"/>
        </w:rPr>
        <w:br w:type="page"/>
      </w:r>
    </w:p>
    <w:bookmarkEnd w:id="130"/>
    <w:bookmarkEnd w:id="131"/>
    <w:p w14:paraId="7034FF61">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方正小标宋简体" w:cs="Times New Roman"/>
          <w:b w:val="0"/>
          <w:bCs w:val="0"/>
          <w:color w:val="auto"/>
          <w:sz w:val="36"/>
          <w:szCs w:val="36"/>
          <w:highlight w:val="none"/>
          <w:lang w:val="en-US" w:eastAsia="zh-CN"/>
        </w:rPr>
      </w:pPr>
      <w:bookmarkStart w:id="133" w:name="_Toc5852"/>
      <w:r>
        <w:rPr>
          <w:rFonts w:hint="default" w:ascii="Times New Roman" w:hAnsi="Times New Roman" w:eastAsia="方正小标宋简体" w:cs="Times New Roman"/>
          <w:b w:val="0"/>
          <w:bCs w:val="0"/>
          <w:color w:val="auto"/>
          <w:sz w:val="36"/>
          <w:szCs w:val="36"/>
          <w:highlight w:val="none"/>
          <w:lang w:val="en-US" w:eastAsia="zh-CN"/>
        </w:rPr>
        <w:t>保护蓝绿交融生态空间</w:t>
      </w:r>
      <w:bookmarkEnd w:id="133"/>
    </w:p>
    <w:p w14:paraId="76EA553E">
      <w:pPr>
        <w:pStyle w:val="3"/>
        <w:keepNext/>
        <w:keepLines/>
        <w:pageBreakBefore w:val="0"/>
        <w:widowControl w:val="0"/>
        <w:numPr>
          <w:ilvl w:val="0"/>
          <w:numId w:val="6"/>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34" w:name="_Toc31869"/>
      <w:r>
        <w:rPr>
          <w:rFonts w:hint="default" w:ascii="Times New Roman" w:hAnsi="Times New Roman" w:eastAsia="黑体" w:cs="Times New Roman"/>
          <w:b w:val="0"/>
          <w:bCs w:val="0"/>
          <w:color w:val="auto"/>
          <w:sz w:val="32"/>
          <w:szCs w:val="32"/>
          <w:highlight w:val="none"/>
          <w:lang w:val="en-US" w:eastAsia="zh-CN"/>
        </w:rPr>
        <w:t>构建生态保护格局</w:t>
      </w:r>
      <w:bookmarkEnd w:id="134"/>
    </w:p>
    <w:p w14:paraId="2E3D2F7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遵循山水林田湖草冰生命共同体理念，围绕</w:t>
      </w:r>
      <w:r>
        <w:rPr>
          <w:rFonts w:hint="eastAsia" w:ascii="Times New Roman" w:hAnsi="Times New Roman" w:eastAsia="仿宋_GB2312" w:cs="Times New Roman"/>
          <w:color w:val="auto"/>
          <w:sz w:val="32"/>
          <w:szCs w:val="32"/>
          <w:highlight w:val="none"/>
          <w:u w:val="none"/>
          <w:lang w:eastAsia="zh-CN"/>
        </w:rPr>
        <w:t>“</w:t>
      </w:r>
      <w:r>
        <w:rPr>
          <w:rFonts w:hint="default" w:ascii="Times New Roman" w:hAnsi="Times New Roman" w:eastAsia="仿宋_GB2312" w:cs="Times New Roman"/>
          <w:color w:val="auto"/>
          <w:sz w:val="32"/>
          <w:szCs w:val="32"/>
          <w:highlight w:val="none"/>
          <w:u w:val="none"/>
        </w:rPr>
        <w:t>人与自然和谐共生、人类社会永续发展</w:t>
      </w:r>
      <w:r>
        <w:rPr>
          <w:rFonts w:hint="eastAsia" w:ascii="Times New Roman" w:hAnsi="Times New Roman" w:eastAsia="仿宋_GB2312" w:cs="Times New Roman"/>
          <w:color w:val="auto"/>
          <w:sz w:val="32"/>
          <w:szCs w:val="32"/>
          <w:highlight w:val="none"/>
          <w:u w:val="none"/>
          <w:lang w:eastAsia="zh-CN"/>
        </w:rPr>
        <w:t>”</w:t>
      </w:r>
      <w:r>
        <w:rPr>
          <w:rFonts w:hint="default" w:ascii="Times New Roman" w:hAnsi="Times New Roman" w:eastAsia="仿宋_GB2312" w:cs="Times New Roman"/>
          <w:color w:val="auto"/>
          <w:sz w:val="32"/>
          <w:szCs w:val="32"/>
          <w:highlight w:val="none"/>
          <w:u w:val="none"/>
        </w:rPr>
        <w:t>的目标，构建</w:t>
      </w:r>
      <w:r>
        <w:rPr>
          <w:rFonts w:hint="eastAsia" w:ascii="Times New Roman" w:hAnsi="Times New Roman" w:eastAsia="仿宋_GB2312" w:cs="Times New Roman"/>
          <w:color w:val="auto"/>
          <w:sz w:val="32"/>
          <w:szCs w:val="32"/>
          <w:highlight w:val="none"/>
          <w:u w:val="none"/>
          <w:lang w:eastAsia="zh-CN"/>
        </w:rPr>
        <w:t>“</w:t>
      </w:r>
      <w:r>
        <w:rPr>
          <w:rFonts w:hint="default" w:ascii="Times New Roman" w:hAnsi="Times New Roman" w:eastAsia="仿宋_GB2312" w:cs="Times New Roman"/>
          <w:b w:val="0"/>
          <w:bCs w:val="0"/>
          <w:color w:val="auto"/>
          <w:sz w:val="32"/>
          <w:szCs w:val="32"/>
          <w:highlight w:val="none"/>
          <w:u w:val="none"/>
        </w:rPr>
        <w:t>两带、一网</w:t>
      </w:r>
      <w:r>
        <w:rPr>
          <w:rFonts w:hint="eastAsia" w:ascii="Times New Roman" w:hAnsi="Times New Roman" w:eastAsia="仿宋_GB2312" w:cs="Times New Roman"/>
          <w:color w:val="auto"/>
          <w:sz w:val="32"/>
          <w:szCs w:val="32"/>
          <w:highlight w:val="none"/>
          <w:u w:val="none"/>
          <w:lang w:eastAsia="zh-CN"/>
        </w:rPr>
        <w:t>”</w:t>
      </w:r>
      <w:r>
        <w:rPr>
          <w:rFonts w:hint="default" w:ascii="Times New Roman" w:hAnsi="Times New Roman" w:eastAsia="仿宋_GB2312" w:cs="Times New Roman"/>
          <w:color w:val="auto"/>
          <w:sz w:val="32"/>
          <w:szCs w:val="32"/>
          <w:highlight w:val="none"/>
          <w:u w:val="none"/>
        </w:rPr>
        <w:t>的生态安全格局，以提升生态系统功能、提高国土空间发展品质和资源利用效率为导向开展生态空间整治修复，落实重点生态修复区域和重大工程。</w:t>
      </w:r>
    </w:p>
    <w:p w14:paraId="75A4D7B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eastAsia" w:ascii="Times New Roman" w:hAnsi="Times New Roman" w:eastAsia="仿宋_GB2312" w:cs="Times New Roman"/>
          <w:b w:val="0"/>
          <w:bCs w:val="0"/>
          <w:color w:val="auto"/>
          <w:sz w:val="32"/>
          <w:szCs w:val="32"/>
          <w:highlight w:val="none"/>
          <w:u w:val="none"/>
          <w:lang w:eastAsia="zh-CN"/>
        </w:rPr>
        <w:t>“</w:t>
      </w:r>
      <w:r>
        <w:rPr>
          <w:rFonts w:hint="default" w:ascii="Times New Roman" w:hAnsi="Times New Roman" w:eastAsia="仿宋_GB2312" w:cs="Times New Roman"/>
          <w:b w:val="0"/>
          <w:bCs w:val="0"/>
          <w:color w:val="auto"/>
          <w:sz w:val="32"/>
          <w:szCs w:val="32"/>
          <w:highlight w:val="none"/>
          <w:u w:val="none"/>
        </w:rPr>
        <w:t>两带</w:t>
      </w:r>
      <w:r>
        <w:rPr>
          <w:rFonts w:hint="eastAsia" w:ascii="Times New Roman" w:hAnsi="Times New Roman" w:eastAsia="仿宋_GB2312" w:cs="Times New Roman"/>
          <w:b w:val="0"/>
          <w:bCs w:val="0"/>
          <w:color w:val="auto"/>
          <w:sz w:val="32"/>
          <w:szCs w:val="32"/>
          <w:highlight w:val="none"/>
          <w:u w:val="none"/>
          <w:lang w:eastAsia="zh-CN"/>
        </w:rPr>
        <w:t>”</w:t>
      </w:r>
      <w:r>
        <w:rPr>
          <w:rFonts w:hint="default" w:ascii="Times New Roman" w:hAnsi="Times New Roman" w:eastAsia="仿宋_GB2312" w:cs="Times New Roman"/>
          <w:b w:val="0"/>
          <w:bCs w:val="0"/>
          <w:color w:val="auto"/>
          <w:sz w:val="32"/>
          <w:szCs w:val="32"/>
          <w:highlight w:val="none"/>
          <w:u w:val="none"/>
        </w:rPr>
        <w:t>：</w:t>
      </w:r>
      <w:r>
        <w:rPr>
          <w:rFonts w:hint="eastAsia" w:ascii="Times New Roman" w:hAnsi="Times New Roman" w:eastAsia="仿宋_GB2312" w:cs="Times New Roman"/>
          <w:b w:val="0"/>
          <w:bCs w:val="0"/>
          <w:color w:val="auto"/>
          <w:sz w:val="32"/>
          <w:szCs w:val="32"/>
          <w:highlight w:val="none"/>
          <w:u w:val="none"/>
          <w:lang w:val="en-US" w:eastAsia="zh-CN"/>
        </w:rPr>
        <w:t>两条沿江生态保护带。一条为沿黑龙江生态保护带，另一条为沿松花江生态保护带，</w:t>
      </w:r>
      <w:r>
        <w:rPr>
          <w:rFonts w:hint="default" w:ascii="Times New Roman" w:hAnsi="Times New Roman" w:eastAsia="仿宋_GB2312" w:cs="Times New Roman"/>
          <w:color w:val="auto"/>
          <w:sz w:val="32"/>
          <w:szCs w:val="32"/>
          <w:highlight w:val="none"/>
          <w:u w:val="none"/>
        </w:rPr>
        <w:t>重点保护多样、独特的生态系统。</w:t>
      </w:r>
    </w:p>
    <w:p w14:paraId="2B347F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color w:val="auto"/>
          <w:highlight w:val="none"/>
          <w:u w:val="none"/>
          <w:lang w:val="en-US" w:eastAsia="zh-CN"/>
        </w:rPr>
      </w:pPr>
      <w:r>
        <w:rPr>
          <w:rFonts w:hint="eastAsia" w:ascii="Times New Roman" w:hAnsi="Times New Roman" w:eastAsia="仿宋_GB2312" w:cs="Times New Roman"/>
          <w:b w:val="0"/>
          <w:bCs w:val="0"/>
          <w:color w:val="auto"/>
          <w:sz w:val="32"/>
          <w:szCs w:val="32"/>
          <w:highlight w:val="none"/>
          <w:u w:val="none"/>
          <w:lang w:eastAsia="zh-CN"/>
        </w:rPr>
        <w:t>“</w:t>
      </w:r>
      <w:r>
        <w:rPr>
          <w:rFonts w:hint="default" w:ascii="Times New Roman" w:hAnsi="Times New Roman" w:eastAsia="仿宋_GB2312" w:cs="Times New Roman"/>
          <w:b w:val="0"/>
          <w:bCs w:val="0"/>
          <w:color w:val="auto"/>
          <w:sz w:val="32"/>
          <w:szCs w:val="32"/>
          <w:highlight w:val="none"/>
          <w:u w:val="none"/>
          <w:lang w:eastAsia="zh-CN"/>
        </w:rPr>
        <w:t>一网</w:t>
      </w:r>
      <w:r>
        <w:rPr>
          <w:rFonts w:hint="eastAsia" w:ascii="Times New Roman" w:hAnsi="Times New Roman" w:eastAsia="仿宋_GB2312" w:cs="Times New Roman"/>
          <w:b w:val="0"/>
          <w:bCs w:val="0"/>
          <w:color w:val="auto"/>
          <w:sz w:val="32"/>
          <w:szCs w:val="32"/>
          <w:highlight w:val="none"/>
          <w:u w:val="none"/>
          <w:lang w:eastAsia="zh-CN"/>
        </w:rPr>
        <w:t>”</w:t>
      </w:r>
      <w:r>
        <w:rPr>
          <w:rFonts w:hint="default" w:ascii="Times New Roman" w:hAnsi="Times New Roman" w:eastAsia="仿宋_GB2312" w:cs="Times New Roman"/>
          <w:b w:val="0"/>
          <w:bCs w:val="0"/>
          <w:color w:val="auto"/>
          <w:sz w:val="32"/>
          <w:szCs w:val="32"/>
          <w:highlight w:val="none"/>
          <w:u w:val="none"/>
          <w:lang w:eastAsia="zh-CN"/>
        </w:rPr>
        <w:t>：</w:t>
      </w:r>
      <w:r>
        <w:rPr>
          <w:rFonts w:hint="eastAsia" w:ascii="Times New Roman" w:hAnsi="Times New Roman" w:eastAsia="仿宋_GB2312" w:cs="Times New Roman"/>
          <w:b w:val="0"/>
          <w:bCs w:val="0"/>
          <w:color w:val="auto"/>
          <w:sz w:val="32"/>
          <w:szCs w:val="32"/>
          <w:highlight w:val="none"/>
          <w:u w:val="none"/>
          <w:lang w:val="en-US" w:eastAsia="zh-CN"/>
        </w:rPr>
        <w:t>包括主干廊道和主干河道。主干廊道为沿主要公路形成的防护林网格，主干河道为</w:t>
      </w:r>
      <w:r>
        <w:rPr>
          <w:rFonts w:hint="eastAsia" w:ascii="Times New Roman" w:hAnsi="Times New Roman" w:eastAsia="仿宋_GB2312" w:cs="Times New Roman"/>
          <w:color w:val="auto"/>
          <w:sz w:val="32"/>
          <w:szCs w:val="32"/>
          <w:highlight w:val="none"/>
          <w:u w:val="none"/>
          <w:lang w:val="en-US" w:eastAsia="zh-CN"/>
        </w:rPr>
        <w:t>河流</w:t>
      </w:r>
      <w:r>
        <w:rPr>
          <w:rFonts w:hint="default" w:ascii="Times New Roman" w:hAnsi="Times New Roman" w:eastAsia="仿宋_GB2312" w:cs="Times New Roman"/>
          <w:color w:val="auto"/>
          <w:sz w:val="32"/>
          <w:szCs w:val="32"/>
          <w:highlight w:val="none"/>
          <w:u w:val="none"/>
        </w:rPr>
        <w:t>及灌排沟渠形成的</w:t>
      </w:r>
      <w:r>
        <w:rPr>
          <w:rFonts w:hint="eastAsia" w:ascii="Times New Roman" w:hAnsi="Times New Roman" w:eastAsia="仿宋_GB2312" w:cs="Times New Roman"/>
          <w:color w:val="auto"/>
          <w:sz w:val="32"/>
          <w:szCs w:val="32"/>
          <w:highlight w:val="none"/>
          <w:u w:val="none"/>
          <w:lang w:val="en-US" w:eastAsia="zh-CN"/>
        </w:rPr>
        <w:t>水系</w:t>
      </w:r>
      <w:r>
        <w:rPr>
          <w:rFonts w:hint="default" w:ascii="Times New Roman" w:hAnsi="Times New Roman" w:eastAsia="仿宋_GB2312" w:cs="Times New Roman"/>
          <w:color w:val="auto"/>
          <w:sz w:val="32"/>
          <w:szCs w:val="32"/>
          <w:highlight w:val="none"/>
          <w:u w:val="none"/>
        </w:rPr>
        <w:t>网格</w:t>
      </w:r>
      <w:r>
        <w:rPr>
          <w:rFonts w:hint="eastAsia" w:ascii="Times New Roman" w:hAnsi="Times New Roman" w:eastAsia="仿宋_GB2312" w:cs="Times New Roman"/>
          <w:color w:val="auto"/>
          <w:sz w:val="32"/>
          <w:szCs w:val="32"/>
          <w:highlight w:val="none"/>
          <w:u w:val="none"/>
          <w:lang w:eastAsia="zh-CN"/>
        </w:rPr>
        <w:t>，</w:t>
      </w:r>
      <w:r>
        <w:rPr>
          <w:rFonts w:hint="eastAsia" w:ascii="Times New Roman" w:hAnsi="Times New Roman" w:eastAsia="仿宋_GB2312" w:cs="Times New Roman"/>
          <w:color w:val="auto"/>
          <w:sz w:val="32"/>
          <w:szCs w:val="32"/>
          <w:highlight w:val="none"/>
          <w:u w:val="none"/>
          <w:lang w:val="en-US" w:eastAsia="zh-CN"/>
        </w:rPr>
        <w:t>共同组成全县生态系统网络</w:t>
      </w:r>
      <w:r>
        <w:rPr>
          <w:rFonts w:hint="default" w:ascii="Times New Roman" w:hAnsi="Times New Roman" w:eastAsia="仿宋_GB2312" w:cs="Times New Roman"/>
          <w:color w:val="auto"/>
          <w:sz w:val="32"/>
          <w:szCs w:val="32"/>
          <w:highlight w:val="none"/>
          <w:u w:val="none"/>
        </w:rPr>
        <w:t>。</w:t>
      </w:r>
    </w:p>
    <w:p w14:paraId="0FBC0FEB">
      <w:pPr>
        <w:pStyle w:val="3"/>
        <w:keepNext/>
        <w:keepLines/>
        <w:pageBreakBefore w:val="0"/>
        <w:widowControl w:val="0"/>
        <w:numPr>
          <w:ilvl w:val="0"/>
          <w:numId w:val="6"/>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35" w:name="_Toc4385"/>
      <w:r>
        <w:rPr>
          <w:rFonts w:hint="default" w:ascii="Times New Roman" w:hAnsi="Times New Roman" w:eastAsia="黑体" w:cs="Times New Roman"/>
          <w:b w:val="0"/>
          <w:bCs w:val="0"/>
          <w:color w:val="auto"/>
          <w:sz w:val="32"/>
          <w:szCs w:val="32"/>
          <w:highlight w:val="none"/>
          <w:lang w:val="en-US" w:eastAsia="zh-CN"/>
        </w:rPr>
        <w:t>提升生态系统质量</w:t>
      </w:r>
      <w:bookmarkEnd w:id="135"/>
    </w:p>
    <w:p w14:paraId="1AA06F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重点维护县域生物多样性、水源涵养等生态服务功能；通过自然恢复为主，人为修复为辅，以黑龙江和松花江沿岸沼泽湿地生态系统及其珍稀动植物资源为主要保护对象，提高江河水系连通性，净化湿地水体，开展湿地植被恢复，提升湿地生态系统稳定性，恢复重要水生生物栖息地；强化珍稀候鸟迁徙停歇地、繁殖地、越冬地的保护，加强农田林网建设和老化防护林更新改造，改善水鸟等野生动物</w:t>
      </w:r>
      <w:r>
        <w:rPr>
          <w:rFonts w:hint="default" w:ascii="Times New Roman" w:hAnsi="Times New Roman" w:eastAsia="仿宋_GB2312" w:cs="Times New Roman"/>
          <w:color w:val="auto"/>
          <w:sz w:val="32"/>
          <w:szCs w:val="32"/>
          <w:highlight w:val="none"/>
          <w:lang w:eastAsia="zh-CN"/>
        </w:rPr>
        <w:t>栖息</w:t>
      </w:r>
      <w:r>
        <w:rPr>
          <w:rFonts w:hint="default" w:ascii="Times New Roman" w:hAnsi="Times New Roman" w:eastAsia="仿宋_GB2312" w:cs="Times New Roman"/>
          <w:color w:val="auto"/>
          <w:sz w:val="32"/>
          <w:szCs w:val="32"/>
          <w:highlight w:val="none"/>
        </w:rPr>
        <w:t>环境。</w:t>
      </w:r>
    </w:p>
    <w:p w14:paraId="73B7964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对具有水源涵养功能的重点生态区域进行建设与维护，保护和恢复湿地植被，加大湿地面积</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加强农田防护林、水源涵养防护林的建设力度，增加人工林的营建面积，积极培育珍稀树种，改善林分树种结构和布局，提升水源涵养林质量。</w:t>
      </w:r>
    </w:p>
    <w:p w14:paraId="03DBC4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推进中俄生物多样性网络建设，建立中俄黑龙江沿岸生态合作的协调机制和监督机制，以及建立跨境自然保护区措施；加强对水禽和兽类的监测，开展冬季留守动物群体痕迹调查，进而加强黑龙江流域的生态环境和生物多样性保护。</w:t>
      </w:r>
    </w:p>
    <w:p w14:paraId="39E66C91">
      <w:pPr>
        <w:pStyle w:val="3"/>
        <w:keepNext/>
        <w:keepLines/>
        <w:pageBreakBefore w:val="0"/>
        <w:widowControl w:val="0"/>
        <w:numPr>
          <w:ilvl w:val="0"/>
          <w:numId w:val="6"/>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36" w:name="_Toc16851"/>
      <w:r>
        <w:rPr>
          <w:rFonts w:hint="default" w:ascii="Times New Roman" w:hAnsi="Times New Roman" w:eastAsia="黑体" w:cs="Times New Roman"/>
          <w:b w:val="0"/>
          <w:bCs w:val="0"/>
          <w:color w:val="auto"/>
          <w:sz w:val="32"/>
          <w:szCs w:val="32"/>
          <w:highlight w:val="none"/>
          <w:lang w:val="en-US" w:eastAsia="zh-CN"/>
        </w:rPr>
        <w:t>分类推进生态资源保护与利用</w:t>
      </w:r>
      <w:bookmarkEnd w:id="136"/>
    </w:p>
    <w:p w14:paraId="7FF326BD">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sz w:val="32"/>
          <w:szCs w:val="32"/>
          <w:highlight w:val="none"/>
          <w:lang w:val="en-US" w:eastAsia="zh-CN"/>
        </w:rPr>
        <w:t>一、</w:t>
      </w:r>
      <w:r>
        <w:rPr>
          <w:rFonts w:hint="default" w:ascii="Times New Roman" w:hAnsi="Times New Roman" w:eastAsia="楷体_GB2312" w:cs="Times New Roman"/>
          <w:b w:val="0"/>
          <w:bCs w:val="0"/>
          <w:color w:val="auto"/>
          <w:sz w:val="32"/>
          <w:szCs w:val="32"/>
          <w:highlight w:val="none"/>
          <w:lang w:val="en-US" w:eastAsia="zh-CN"/>
        </w:rPr>
        <w:t>水资源保护与利用</w:t>
      </w:r>
    </w:p>
    <w:p w14:paraId="720E98B5">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 w:cs="Times New Roman"/>
          <w:b w:val="0"/>
          <w:bCs w:val="0"/>
          <w:color w:val="auto"/>
          <w:sz w:val="32"/>
          <w:szCs w:val="32"/>
          <w:highlight w:val="none"/>
          <w:lang w:val="en-US" w:eastAsia="zh-CN"/>
        </w:rPr>
        <w:t>加强河流水系和水源地管控。</w:t>
      </w:r>
      <w:r>
        <w:rPr>
          <w:rFonts w:hint="default" w:ascii="Times New Roman" w:hAnsi="Times New Roman" w:eastAsia="仿宋_GB2312" w:cs="Times New Roman"/>
          <w:color w:val="auto"/>
          <w:sz w:val="32"/>
          <w:szCs w:val="32"/>
          <w:highlight w:val="none"/>
          <w:lang w:val="en-US" w:eastAsia="zh-CN"/>
        </w:rPr>
        <w:t>保护自然水域、坑塘等蓝色空间，坚持保护与防治相结合，加强水域岸线生态空间管控，严禁非法侵占河道。加强饮用水水源保护，拆除一二级水源保护区范围内的建筑物和垃圾污染源，保障饮用水水源地安全。</w:t>
      </w:r>
    </w:p>
    <w:p w14:paraId="34D12202">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 w:cs="Times New Roman"/>
          <w:b w:val="0"/>
          <w:bCs w:val="0"/>
          <w:color w:val="auto"/>
          <w:sz w:val="32"/>
          <w:szCs w:val="32"/>
          <w:highlight w:val="none"/>
          <w:lang w:val="en-US" w:eastAsia="zh-CN"/>
        </w:rPr>
        <w:t>优化用水结构。</w:t>
      </w:r>
      <w:r>
        <w:rPr>
          <w:rFonts w:hint="default" w:ascii="Times New Roman" w:hAnsi="Times New Roman" w:eastAsia="仿宋_GB2312" w:cs="Times New Roman"/>
          <w:color w:val="auto"/>
          <w:sz w:val="32"/>
          <w:szCs w:val="32"/>
          <w:highlight w:val="none"/>
          <w:lang w:val="en-US" w:eastAsia="zh-CN"/>
        </w:rPr>
        <w:t>按照工农业用水负增长、生活用水控制增长、生态用水适度增长的原则，加强节水管控，适当合理开发利用过境水源，提高水资源综合利用效率和工业用水重复利用率，形成与社会、经济发展相匹配的用水结构。</w:t>
      </w:r>
    </w:p>
    <w:p w14:paraId="484469F0">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楷体" w:cs="Times New Roman"/>
          <w:b w:val="0"/>
          <w:bCs w:val="0"/>
          <w:color w:val="auto"/>
          <w:sz w:val="32"/>
          <w:szCs w:val="32"/>
          <w:highlight w:val="none"/>
          <w:lang w:val="en-US" w:eastAsia="zh-CN"/>
        </w:rPr>
        <w:t>强化水资源监测体系建设。</w:t>
      </w:r>
      <w:r>
        <w:rPr>
          <w:rFonts w:hint="default" w:ascii="Times New Roman" w:hAnsi="Times New Roman" w:eastAsia="仿宋_GB2312" w:cs="Times New Roman"/>
          <w:color w:val="auto"/>
          <w:sz w:val="32"/>
          <w:szCs w:val="32"/>
          <w:highlight w:val="none"/>
          <w:lang w:val="en-US" w:eastAsia="zh-CN"/>
        </w:rPr>
        <w:t>建立水质保护与排污总量控制实时监控管理系统，加强水功能区的水质监测和入河排污口污染物监测，优化监测布局，完善预警体系。加强工业用水、生活用水、农业用水的监测能力，提升用水效率。</w:t>
      </w:r>
    </w:p>
    <w:p w14:paraId="58D14CAA">
      <w:pPr>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黑体" w:cs="Times New Roman"/>
          <w:b w:val="0"/>
          <w:bCs w:val="0"/>
          <w:color w:val="auto"/>
          <w:sz w:val="32"/>
          <w:szCs w:val="32"/>
          <w:highlight w:val="none"/>
          <w:lang w:val="en-US" w:eastAsia="zh-CN"/>
        </w:rPr>
      </w:pPr>
      <w:r>
        <w:rPr>
          <w:rFonts w:hint="default" w:ascii="Times New Roman" w:hAnsi="Times New Roman" w:eastAsia="楷体" w:cs="Times New Roman"/>
          <w:b w:val="0"/>
          <w:bCs w:val="0"/>
          <w:color w:val="auto"/>
          <w:sz w:val="32"/>
          <w:szCs w:val="32"/>
          <w:highlight w:val="none"/>
          <w:lang w:val="en-US" w:eastAsia="zh-CN"/>
        </w:rPr>
        <w:t>全面落实河长制。</w:t>
      </w:r>
      <w:r>
        <w:rPr>
          <w:rFonts w:hint="default" w:ascii="Times New Roman" w:hAnsi="Times New Roman" w:eastAsia="仿宋_GB2312" w:cs="Times New Roman"/>
          <w:color w:val="auto"/>
          <w:sz w:val="32"/>
          <w:szCs w:val="32"/>
          <w:highlight w:val="none"/>
          <w:lang w:val="en-US" w:eastAsia="zh-CN"/>
        </w:rPr>
        <w:t>强化目标考核和责任追究制，将落实水资源保护利用措施纳入年度绩效考核范围；持续推进河流系统保护和水生态环境整体改善，维护河流健康生命。</w:t>
      </w:r>
    </w:p>
    <w:p w14:paraId="36189178">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137" w:name="_Toc20627"/>
      <w:bookmarkStart w:id="138" w:name="_Toc32596"/>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森林资源保护与利用</w:t>
      </w:r>
      <w:bookmarkEnd w:id="137"/>
      <w:bookmarkEnd w:id="138"/>
    </w:p>
    <w:p w14:paraId="52FD76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开展国土绿化活动，科学安排造林用地。规划明确适宜造林绿化范围，有序开展年度造林绿化任务，完成国家和省下达的造林绿化目标。国土绿化主要集中分布在绥滨镇、忠仁镇、富强乡、福兴满族乡、二九〇农场；绥滨县国土绿化时序主要集中在规划近期，主要对沟底、路边、河岸的绿化，远期主要对符合国家有关规定并适宜造林绿化的土地进行国土绿化。</w:t>
      </w:r>
    </w:p>
    <w:p w14:paraId="65B91D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深入实施人工造林、公益林保护、中幼林抚育、退化林分修复等措施，推进水源养林、沟底防护林、路边生态林和河岸防护林建设，增加森林蓄积量，提高森林覆盖率，构建稳定的森林生态系统。</w:t>
      </w:r>
    </w:p>
    <w:p w14:paraId="1D6482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规范林地保护，除必需的工程建设外，严格控制占用森林，不得以其他任何方式改变林地用途。推行集约经营，农林复合经营，在法律允许范围内合理安排各类生产活动，最大限度挖掘林地生产力。严禁毁林开垦，农业综合开发、土地整理时不得挤占林地。推进森林资源监测体系及林地、候鸟栖息地等监测体系建设，准确掌握森林资源数量、质量及动态变化情况。</w:t>
      </w:r>
    </w:p>
    <w:p w14:paraId="6F14658F">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139" w:name="_Toc8120"/>
      <w:bookmarkStart w:id="140" w:name="_Toc5845"/>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草地资源保护与利用</w:t>
      </w:r>
      <w:bookmarkEnd w:id="139"/>
      <w:bookmarkEnd w:id="140"/>
    </w:p>
    <w:p w14:paraId="573381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加大</w:t>
      </w:r>
      <w:r>
        <w:rPr>
          <w:rFonts w:hint="default" w:ascii="Times New Roman" w:hAnsi="Times New Roman" w:eastAsia="仿宋_GB2312" w:cs="Times New Roman"/>
          <w:color w:val="auto"/>
          <w:sz w:val="32"/>
          <w:szCs w:val="32"/>
          <w:highlight w:val="none"/>
          <w:lang w:val="en-US" w:eastAsia="zh-CN"/>
        </w:rPr>
        <w:t>草地资源保护力度，强化草原生态功能，提升草原植被覆盖度。</w:t>
      </w:r>
    </w:p>
    <w:p w14:paraId="6E57285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草地退化程度、环境条件，对天然草原采取技术措施，调节和改善草原生态环境中水、土、肥、植被等自然因素，促进植被生长，提高草原植被水源涵养能力。严格控制建设占用基本草原，加大草原生态保护和修复力度，推动绥滨县草原高质量发展。</w:t>
      </w:r>
    </w:p>
    <w:p w14:paraId="169B369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湿地生态系统保护</w:t>
      </w:r>
    </w:p>
    <w:p w14:paraId="0E6354C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加强湿地中水体、地形地貌、野生动物、植物等的保护，维护湿地生态功能和生物多样性；隔离人为因素，以促进湿地生态系统的自我维持和自然修复。</w:t>
      </w:r>
    </w:p>
    <w:p w14:paraId="6300B46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加强对湿地生物多样性的管理，实施湿地生物多样性重点保护工程；加强对国家重点保护动植物物种及其栖息地保护，实施濒危野生动植物物种拯救工程，建立救护繁育基地，扩大野生种群。</w:t>
      </w:r>
    </w:p>
    <w:p w14:paraId="35F450E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坚持开发中保护，保护中开发的原则，根据湿地生态系统的特点，做到宜农则农，宜渔则渔，提高湿地生产力。</w:t>
      </w:r>
    </w:p>
    <w:p w14:paraId="38F4AD1E">
      <w:pPr>
        <w:pStyle w:val="3"/>
        <w:keepNext/>
        <w:keepLines/>
        <w:pageBreakBefore w:val="0"/>
        <w:widowControl w:val="0"/>
        <w:numPr>
          <w:ilvl w:val="0"/>
          <w:numId w:val="6"/>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41" w:name="_Toc26195"/>
      <w:r>
        <w:rPr>
          <w:rFonts w:hint="default" w:ascii="Times New Roman" w:hAnsi="Times New Roman" w:eastAsia="黑体" w:cs="Times New Roman"/>
          <w:b w:val="0"/>
          <w:bCs w:val="0"/>
          <w:color w:val="auto"/>
          <w:sz w:val="32"/>
          <w:szCs w:val="32"/>
          <w:highlight w:val="none"/>
          <w:lang w:val="en-US" w:eastAsia="zh-CN"/>
        </w:rPr>
        <w:t>推进山水林田湖草沙系统修复</w:t>
      </w:r>
      <w:bookmarkEnd w:id="141"/>
    </w:p>
    <w:p w14:paraId="6C097E9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生态修复总体目标</w:t>
      </w:r>
    </w:p>
    <w:p w14:paraId="405940CB">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规划期内</w:t>
      </w:r>
      <w:r>
        <w:rPr>
          <w:rFonts w:hint="default" w:ascii="Times New Roman" w:hAnsi="Times New Roman" w:eastAsia="仿宋_GB2312" w:cs="Times New Roman"/>
          <w:color w:val="auto"/>
          <w:sz w:val="32"/>
          <w:szCs w:val="32"/>
          <w:highlight w:val="none"/>
        </w:rPr>
        <w:t>，通过实施生态系统保护、修复工程，森林、河流、湿地等自然生态系统状况实现根本好转，生态系统质量明显改善，生态服务功能显著提高，生态稳定性明显增强，自然生态系统基本实现良性循环，全县生态安全屏障体系基本建成，优质生态产品供给能力基本满足人民群众需求，人与自然和谐共生的美丽画卷基本绘就。</w:t>
      </w:r>
    </w:p>
    <w:p w14:paraId="5D0B04A4">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水资源保护与修复</w:t>
      </w:r>
    </w:p>
    <w:p w14:paraId="71873CAB">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坚持</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保护优先、适度修复、综合治理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的原则，切实保护水资源，防护水污染，改善水环境，修复水生态。以流域为单元，从上游到下游，采取河岸带修复、污染源控制等措施，重点做好松花江、黑龙江流域的污染防治工作。</w:t>
      </w:r>
    </w:p>
    <w:p w14:paraId="400340AA">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加强水源地的生态环境保护。对饮用水水源地实行重点封育保护，促进植被修复。加强水源保护安全，建设完善保护区管护设施，加强对保护区的管理，严控破坏水源保护区内各类保护工作设施的行为，保证保护区内水质满足规定的水质标准。</w:t>
      </w:r>
    </w:p>
    <w:p w14:paraId="369BA79F">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林草资源保护与修复</w:t>
      </w:r>
    </w:p>
    <w:p w14:paraId="147ABEE0">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严格控制林区天然林采伐，严厉打击乱砍盗伐行为，切实保障森林资源不受破坏。大力开展造林绿化工程，</w:t>
      </w:r>
      <w:r>
        <w:rPr>
          <w:rFonts w:hint="default" w:ascii="Times New Roman" w:hAnsi="Times New Roman" w:eastAsia="仿宋_GB2312" w:cs="Times New Roman"/>
          <w:color w:val="auto"/>
          <w:kern w:val="2"/>
          <w:sz w:val="32"/>
          <w:szCs w:val="32"/>
          <w:highlight w:val="none"/>
          <w:lang w:val="en-US" w:eastAsia="zh-CN" w:bidi="ar-SA"/>
        </w:rPr>
        <w:t>加强新造林地管理和中幼林抚育。</w:t>
      </w:r>
      <w:r>
        <w:rPr>
          <w:rFonts w:hint="default" w:ascii="Times New Roman" w:hAnsi="Times New Roman" w:eastAsia="仿宋_GB2312" w:cs="Times New Roman"/>
          <w:color w:val="auto"/>
          <w:sz w:val="32"/>
          <w:szCs w:val="32"/>
          <w:highlight w:val="none"/>
          <w:lang w:val="en-US" w:eastAsia="zh-CN"/>
        </w:rPr>
        <w:t>健全森林资源管护体制，加强森林防火，提升森林防灾减灾能力，促进森林系统健康发展，恢复和增强森林生态功能。</w:t>
      </w:r>
    </w:p>
    <w:p w14:paraId="04969119">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坚持节约优先、保护优先、自然恢复为主的基本方针，全面落实禁牧、休牧等利用制度，加强对生态红线内草原、基本草原征占用管理。有序保护、科学评价、合理利用，加大草原生态保护修复力度，促进非基本草原修复，使绥滨县草原达到高质量发展。</w:t>
      </w:r>
    </w:p>
    <w:p w14:paraId="62222717">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湿地资源保护与修复</w:t>
      </w:r>
    </w:p>
    <w:p w14:paraId="7AC202AA">
      <w:pPr>
        <w:pStyle w:val="29"/>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全面推进两江湿地自然保护区和黑龙江绥滨月牙湖国家湿地公园的保护提升项目，恢复湿地，增加绿化面积。坚持自然恢复与工程措施相结合，加大保护力度，推进重要自然生态系统、野生动植物保护；实施湿地生态修复工程、生物多样性保护等工程，建设鸟类救助站、隔离带建设、围栏建设等工程，加快退化和萎缩湿地生态系统恢复，提升湿地生态功能。构建湿地生态廊道和保护网络，以松花江水系和黑龙江水系为依托，对自然保护区、重要湿地及湿地公园、水产种质资源等形成多点式的生态保护与治理。</w:t>
      </w:r>
    </w:p>
    <w:p w14:paraId="6EF8CF3C">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五、</w:t>
      </w:r>
      <w:r>
        <w:rPr>
          <w:rFonts w:hint="default" w:ascii="Times New Roman" w:hAnsi="Times New Roman" w:eastAsia="楷体_GB2312" w:cs="Times New Roman"/>
          <w:b w:val="0"/>
          <w:bCs w:val="0"/>
          <w:color w:val="auto"/>
          <w:sz w:val="32"/>
          <w:szCs w:val="32"/>
          <w:highlight w:val="none"/>
          <w:lang w:val="en-US" w:eastAsia="zh-CN"/>
        </w:rPr>
        <w:t>矿山生态修复</w:t>
      </w:r>
    </w:p>
    <w:p w14:paraId="0714C40B">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加强废弃矿山地质环境治理和监测工作，建立规划实施监测和动态评估机制，</w:t>
      </w:r>
      <w:r>
        <w:rPr>
          <w:rFonts w:hint="default" w:ascii="Times New Roman" w:hAnsi="Times New Roman" w:eastAsia="仿宋_GB2312" w:cs="Times New Roman"/>
          <w:color w:val="auto"/>
          <w:kern w:val="0"/>
          <w:sz w:val="32"/>
          <w:szCs w:val="32"/>
          <w:highlight w:val="none"/>
          <w:lang w:val="en-US" w:eastAsia="zh-CN" w:bidi="ar"/>
        </w:rPr>
        <w:t>严格执行矿产资源开发利用的监督检查制度，</w:t>
      </w:r>
      <w:r>
        <w:rPr>
          <w:rFonts w:hint="default" w:ascii="Times New Roman" w:hAnsi="Times New Roman" w:eastAsia="仿宋_GB2312" w:cs="Times New Roman"/>
          <w:color w:val="auto"/>
          <w:kern w:val="2"/>
          <w:sz w:val="32"/>
          <w:szCs w:val="32"/>
          <w:highlight w:val="none"/>
          <w:lang w:val="en-US" w:eastAsia="zh-CN" w:bidi="ar-SA"/>
        </w:rPr>
        <w:t>建立社会公众监督制度，</w:t>
      </w:r>
      <w:r>
        <w:rPr>
          <w:rFonts w:hint="default" w:ascii="Times New Roman" w:hAnsi="Times New Roman" w:eastAsia="仿宋_GB2312" w:cs="Times New Roman"/>
          <w:color w:val="auto"/>
          <w:kern w:val="0"/>
          <w:sz w:val="32"/>
          <w:szCs w:val="32"/>
          <w:highlight w:val="none"/>
          <w:lang w:val="en-US" w:eastAsia="zh-CN" w:bidi="ar"/>
        </w:rPr>
        <w:t>提高规划管理信息化建设水平。规划期内，矿山基本达到绿色矿山标</w:t>
      </w:r>
      <w:r>
        <w:rPr>
          <w:rFonts w:hint="default" w:ascii="Times New Roman" w:hAnsi="Times New Roman" w:eastAsia="仿宋_GB2312" w:cs="Times New Roman"/>
          <w:color w:val="auto"/>
          <w:kern w:val="2"/>
          <w:sz w:val="32"/>
          <w:szCs w:val="32"/>
          <w:highlight w:val="none"/>
          <w:lang w:val="en-US" w:eastAsia="zh-CN" w:bidi="ar-SA"/>
        </w:rPr>
        <w:t>准，形成符合生态文明建设要求的节约高效、环境友好、矿地和谐的绿色矿业发展新模式。</w:t>
      </w:r>
    </w:p>
    <w:p w14:paraId="4DBD1801">
      <w:pPr>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br w:type="page"/>
      </w:r>
    </w:p>
    <w:p w14:paraId="1F75F508">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方正小标宋简体" w:cs="Times New Roman"/>
          <w:b w:val="0"/>
          <w:bCs w:val="0"/>
          <w:color w:val="auto"/>
          <w:sz w:val="36"/>
          <w:szCs w:val="36"/>
          <w:highlight w:val="none"/>
          <w:lang w:val="en-US" w:eastAsia="zh-CN"/>
        </w:rPr>
      </w:pPr>
      <w:bookmarkStart w:id="142" w:name="_Toc3518"/>
      <w:r>
        <w:rPr>
          <w:rFonts w:hint="default" w:ascii="Times New Roman" w:hAnsi="Times New Roman" w:eastAsia="方正小标宋简体" w:cs="Times New Roman"/>
          <w:b w:val="0"/>
          <w:bCs w:val="0"/>
          <w:color w:val="auto"/>
          <w:sz w:val="36"/>
          <w:szCs w:val="36"/>
          <w:highlight w:val="none"/>
          <w:lang w:val="en-US" w:eastAsia="zh-CN"/>
        </w:rPr>
        <w:t>建设宜居宜业城镇空间</w:t>
      </w:r>
      <w:bookmarkEnd w:id="142"/>
    </w:p>
    <w:p w14:paraId="5BD54A51">
      <w:pPr>
        <w:pStyle w:val="3"/>
        <w:keepNext/>
        <w:keepLines/>
        <w:pageBreakBefore w:val="0"/>
        <w:widowControl w:val="0"/>
        <w:numPr>
          <w:ilvl w:val="0"/>
          <w:numId w:val="7"/>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43" w:name="_Toc28326"/>
      <w:r>
        <w:rPr>
          <w:rFonts w:hint="eastAsia" w:ascii="Times New Roman" w:hAnsi="Times New Roman" w:eastAsia="黑体" w:cs="Times New Roman"/>
          <w:b w:val="0"/>
          <w:bCs w:val="0"/>
          <w:color w:val="auto"/>
          <w:sz w:val="32"/>
          <w:szCs w:val="32"/>
          <w:highlight w:val="none"/>
          <w:lang w:val="en-US" w:eastAsia="zh-CN"/>
        </w:rPr>
        <w:t>优化</w:t>
      </w:r>
      <w:r>
        <w:rPr>
          <w:rFonts w:hint="default" w:ascii="Times New Roman" w:hAnsi="Times New Roman" w:eastAsia="黑体" w:cs="Times New Roman"/>
          <w:b w:val="0"/>
          <w:bCs w:val="0"/>
          <w:color w:val="auto"/>
          <w:sz w:val="32"/>
          <w:szCs w:val="32"/>
          <w:highlight w:val="none"/>
          <w:lang w:val="en-US" w:eastAsia="zh-CN"/>
        </w:rPr>
        <w:t>城镇空间开发格局</w:t>
      </w:r>
      <w:bookmarkEnd w:id="143"/>
    </w:p>
    <w:p w14:paraId="3582BFF5">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立足城乡融合发展，以城带乡、以工促农，提升</w:t>
      </w:r>
      <w:r>
        <w:rPr>
          <w:rFonts w:hint="default" w:ascii="Times New Roman" w:hAnsi="Times New Roman" w:eastAsia="仿宋_GB2312" w:cs="Times New Roman"/>
          <w:color w:val="auto"/>
          <w:sz w:val="32"/>
          <w:szCs w:val="32"/>
          <w:highlight w:val="none"/>
          <w:lang w:val="en-US" w:eastAsia="zh-CN"/>
        </w:rPr>
        <w:t>绥滨县整体</w:t>
      </w:r>
      <w:r>
        <w:rPr>
          <w:rFonts w:hint="default" w:ascii="Times New Roman" w:hAnsi="Times New Roman" w:eastAsia="仿宋_GB2312" w:cs="Times New Roman"/>
          <w:color w:val="auto"/>
          <w:sz w:val="32"/>
          <w:szCs w:val="32"/>
          <w:highlight w:val="none"/>
        </w:rPr>
        <w:t>发展水平、提高经济集聚度、强化区域连接性和政策协同性，构建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一主、两副、两轴、三区</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多点</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w:t>
      </w:r>
      <w:r>
        <w:rPr>
          <w:rFonts w:hint="default" w:ascii="Times New Roman" w:hAnsi="Times New Roman" w:eastAsia="仿宋_GB2312" w:cs="Times New Roman"/>
          <w:color w:val="auto"/>
          <w:sz w:val="32"/>
          <w:szCs w:val="32"/>
          <w:highlight w:val="none"/>
          <w:lang w:val="en-US" w:eastAsia="zh-CN"/>
        </w:rPr>
        <w:t>城乡发展格局</w:t>
      </w:r>
      <w:r>
        <w:rPr>
          <w:rFonts w:hint="default" w:ascii="Times New Roman" w:hAnsi="Times New Roman" w:eastAsia="仿宋_GB2312" w:cs="Times New Roman"/>
          <w:color w:val="auto"/>
          <w:sz w:val="32"/>
          <w:szCs w:val="32"/>
          <w:highlight w:val="none"/>
        </w:rPr>
        <w:t>。</w:t>
      </w:r>
    </w:p>
    <w:p w14:paraId="62B176C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一主</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以绥滨镇为全域主核心，带动全域乡镇、农场协同发展。</w:t>
      </w:r>
    </w:p>
    <w:p w14:paraId="56E6767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两副</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以绥东镇为区域东部副核心，打造绥滨东部地区滨江生态特色小镇；以忠仁镇为区域北部副核心，打造绥滨北部多元文化之乡、特色产业强镇。</w:t>
      </w:r>
    </w:p>
    <w:p w14:paraId="3E34ADE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两轴</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：一是</w:t>
      </w:r>
      <w:r>
        <w:rPr>
          <w:rFonts w:hint="default" w:ascii="Times New Roman" w:hAnsi="Times New Roman" w:eastAsia="仿宋_GB2312" w:cs="Times New Roman"/>
          <w:color w:val="auto"/>
          <w:sz w:val="32"/>
          <w:szCs w:val="32"/>
          <w:highlight w:val="none"/>
          <w:lang w:val="en-US" w:eastAsia="zh-CN"/>
        </w:rPr>
        <w:t>G331公路</w:t>
      </w:r>
      <w:r>
        <w:rPr>
          <w:rFonts w:hint="default" w:ascii="Times New Roman" w:hAnsi="Times New Roman" w:eastAsia="仿宋_GB2312" w:cs="Times New Roman"/>
          <w:color w:val="auto"/>
          <w:sz w:val="32"/>
          <w:szCs w:val="32"/>
          <w:highlight w:val="none"/>
        </w:rPr>
        <w:t>南北段</w:t>
      </w:r>
      <w:r>
        <w:rPr>
          <w:rFonts w:hint="default" w:ascii="Times New Roman" w:hAnsi="Times New Roman" w:eastAsia="仿宋_GB2312" w:cs="Times New Roman"/>
          <w:color w:val="auto"/>
          <w:sz w:val="32"/>
          <w:szCs w:val="32"/>
          <w:highlight w:val="none"/>
          <w:lang w:val="en-US" w:eastAsia="zh-CN"/>
        </w:rPr>
        <w:t>城乡发展轴，以绥滨镇为核心，通过G331公路</w:t>
      </w:r>
      <w:r>
        <w:rPr>
          <w:rFonts w:hint="default" w:ascii="Times New Roman" w:hAnsi="Times New Roman" w:eastAsia="仿宋_GB2312" w:cs="Times New Roman"/>
          <w:color w:val="auto"/>
          <w:sz w:val="32"/>
          <w:szCs w:val="32"/>
          <w:highlight w:val="none"/>
        </w:rPr>
        <w:t>南北段</w:t>
      </w:r>
      <w:r>
        <w:rPr>
          <w:rFonts w:hint="default" w:ascii="Times New Roman" w:hAnsi="Times New Roman" w:eastAsia="仿宋_GB2312" w:cs="Times New Roman"/>
          <w:color w:val="auto"/>
          <w:sz w:val="32"/>
          <w:szCs w:val="32"/>
          <w:highlight w:val="none"/>
          <w:lang w:val="en-US" w:eastAsia="zh-CN"/>
        </w:rPr>
        <w:t>，串联沿线绥滨镇、连生乡、忠仁镇、绥滨农场、福兴满族乡，该轴线南联富锦市、西至萝北县，是省内重要边境公路，同时也是绥滨县最为重要的对外联系通道。二是沿江发展轴，以G331公路东西段和小佳河至亮子河公路，形成沿江发展轴。</w:t>
      </w:r>
    </w:p>
    <w:p w14:paraId="685C889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三区</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西南部经济发展区，以中心城区为基础，小佳河至亮子河东西段为纽带，加强区域经济互动，带动区域经济协同发展，形成绥滨县经济发展龙头区域。北部经济发展区，以整体发展与局部开发相结合，进一步拓展</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产</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销</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通道；发挥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醉美331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边境公路旅游资源优势，打造以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界江观光</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月牙湖景区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龙江第一渠</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福兴满族风情</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中兴特色小镇</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等优势资源为主的绥滨县重点旅游线路，形成绥滨县极具优势的北部经济发展区。东部经济发展区，进一步巩固现代农业经济地位，同时充分挖掘以特色民食民宿为主的乡村主题游、以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大成号</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为主的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红色</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教育游和以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东胜古墓群</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为主的历史文化主题游等全方位旅游，形成绥滨县具有鲜明特色的东部经济发展区。</w:t>
      </w:r>
    </w:p>
    <w:p w14:paraId="031FC573">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多点</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二九〇农场、普阳农场、绥滨农场、新富乡、富强乡、北山乡、北岗乡、连生乡等乡镇根据各自的产业基础，明确发展方向，强化分工协作，同步发展，逐步实现共同富裕。</w:t>
      </w:r>
    </w:p>
    <w:p w14:paraId="031A5D3D">
      <w:pPr>
        <w:pStyle w:val="3"/>
        <w:keepNext/>
        <w:keepLines/>
        <w:pageBreakBefore w:val="0"/>
        <w:widowControl w:val="0"/>
        <w:numPr>
          <w:ilvl w:val="0"/>
          <w:numId w:val="7"/>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44" w:name="_Toc17569"/>
      <w:r>
        <w:rPr>
          <w:rFonts w:hint="default" w:ascii="Times New Roman" w:hAnsi="Times New Roman" w:eastAsia="黑体" w:cs="Times New Roman"/>
          <w:b w:val="0"/>
          <w:bCs w:val="0"/>
          <w:color w:val="auto"/>
          <w:sz w:val="32"/>
          <w:szCs w:val="32"/>
          <w:highlight w:val="none"/>
          <w:lang w:val="en-US" w:eastAsia="zh-CN"/>
        </w:rPr>
        <w:t>统筹多级城镇协调发展</w:t>
      </w:r>
      <w:bookmarkEnd w:id="144"/>
    </w:p>
    <w:p w14:paraId="444B85A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bookmarkStart w:id="145" w:name="_Toc525867776"/>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城镇等级结构</w:t>
      </w:r>
    </w:p>
    <w:p w14:paraId="002CB0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规划形成</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中心城镇</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重点镇</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一般镇</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三级协同、城镇村联动发展的城镇化发展布局。具体为：1个中心城镇（绥滨镇）</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2个重点镇（绥东镇、忠仁镇）</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9个一般镇（绥滨农场、普阳农场、二九〇农场、北山乡、北岗乡、连生乡、新富乡、富强乡、福兴满族乡）。</w:t>
      </w:r>
    </w:p>
    <w:bookmarkEnd w:id="145"/>
    <w:p w14:paraId="2650FC17">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sz w:val="32"/>
          <w:szCs w:val="32"/>
          <w:highlight w:val="none"/>
          <w:lang w:val="en-US" w:eastAsia="zh-CN"/>
        </w:rPr>
        <w:t>二、</w:t>
      </w:r>
      <w:r>
        <w:rPr>
          <w:rFonts w:hint="default" w:ascii="Times New Roman" w:hAnsi="Times New Roman" w:eastAsia="楷体_GB2312" w:cs="Times New Roman"/>
          <w:b w:val="0"/>
          <w:bCs w:val="0"/>
          <w:color w:val="auto"/>
          <w:sz w:val="32"/>
          <w:szCs w:val="32"/>
          <w:highlight w:val="none"/>
          <w:lang w:val="en-US" w:eastAsia="zh-CN"/>
        </w:rPr>
        <w:t>城镇规模结构</w:t>
      </w:r>
    </w:p>
    <w:p w14:paraId="512024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规划四级城镇规模结构：一级城镇规划人口规模</w:t>
      </w:r>
      <w:r>
        <w:rPr>
          <w:rFonts w:hint="eastAsia" w:ascii="Times New Roman" w:hAnsi="Times New Roman" w:eastAsia="仿宋_GB2312" w:cs="Times New Roman"/>
          <w:color w:val="auto"/>
          <w:kern w:val="2"/>
          <w:sz w:val="32"/>
          <w:szCs w:val="32"/>
          <w:highlight w:val="none"/>
          <w:lang w:val="en-US" w:eastAsia="zh-CN" w:bidi="ar-SA"/>
        </w:rPr>
        <w:t>5万—10万</w:t>
      </w:r>
      <w:r>
        <w:rPr>
          <w:rFonts w:hint="default" w:ascii="Times New Roman" w:hAnsi="Times New Roman" w:eastAsia="仿宋_GB2312" w:cs="Times New Roman"/>
          <w:color w:val="auto"/>
          <w:kern w:val="2"/>
          <w:sz w:val="32"/>
          <w:szCs w:val="32"/>
          <w:highlight w:val="none"/>
          <w:lang w:val="en-US" w:eastAsia="zh-CN" w:bidi="ar-SA"/>
        </w:rPr>
        <w:t>人，即中心城镇绥滨镇；二级城镇规划人口规模为</w:t>
      </w:r>
      <w:r>
        <w:rPr>
          <w:rFonts w:hint="eastAsia" w:ascii="Times New Roman" w:hAnsi="Times New Roman" w:eastAsia="仿宋_GB2312" w:cs="Times New Roman"/>
          <w:color w:val="auto"/>
          <w:kern w:val="2"/>
          <w:sz w:val="32"/>
          <w:szCs w:val="32"/>
          <w:highlight w:val="none"/>
          <w:lang w:val="en-US" w:eastAsia="zh-CN" w:bidi="ar-SA"/>
        </w:rPr>
        <w:t>1万—5万</w:t>
      </w:r>
      <w:r>
        <w:rPr>
          <w:rFonts w:hint="default" w:ascii="Times New Roman" w:hAnsi="Times New Roman" w:eastAsia="仿宋_GB2312" w:cs="Times New Roman"/>
          <w:color w:val="auto"/>
          <w:kern w:val="2"/>
          <w:sz w:val="32"/>
          <w:szCs w:val="32"/>
          <w:highlight w:val="none"/>
          <w:lang w:val="en-US" w:eastAsia="zh-CN" w:bidi="ar-SA"/>
        </w:rPr>
        <w:t>人，即绥滨农场和二九〇农场；三级城镇规划人口规模为</w:t>
      </w:r>
      <w:r>
        <w:rPr>
          <w:rFonts w:hint="eastAsia" w:ascii="Times New Roman" w:hAnsi="Times New Roman" w:eastAsia="仿宋_GB2312" w:cs="Times New Roman"/>
          <w:color w:val="auto"/>
          <w:kern w:val="2"/>
          <w:sz w:val="32"/>
          <w:szCs w:val="32"/>
          <w:highlight w:val="none"/>
          <w:lang w:val="en-US" w:eastAsia="zh-CN" w:bidi="ar-SA"/>
        </w:rPr>
        <w:t>0.5万—1万</w:t>
      </w:r>
      <w:r>
        <w:rPr>
          <w:rFonts w:hint="default" w:ascii="Times New Roman" w:hAnsi="Times New Roman" w:eastAsia="仿宋_GB2312" w:cs="Times New Roman"/>
          <w:color w:val="auto"/>
          <w:kern w:val="2"/>
          <w:sz w:val="32"/>
          <w:szCs w:val="32"/>
          <w:highlight w:val="none"/>
          <w:lang w:val="en-US" w:eastAsia="zh-CN" w:bidi="ar-SA"/>
        </w:rPr>
        <w:t>人，即绥东镇、忠仁镇、普阳农场；四级城镇规划人口规模为</w:t>
      </w:r>
      <w:r>
        <w:rPr>
          <w:rFonts w:hint="eastAsia" w:ascii="Times New Roman" w:hAnsi="Times New Roman" w:eastAsia="仿宋_GB2312" w:cs="Times New Roman"/>
          <w:color w:val="auto"/>
          <w:kern w:val="2"/>
          <w:sz w:val="32"/>
          <w:szCs w:val="32"/>
          <w:highlight w:val="none"/>
          <w:lang w:val="en-US" w:eastAsia="zh-CN" w:bidi="ar-SA"/>
        </w:rPr>
        <w:t>0.1万—0.5万</w:t>
      </w:r>
      <w:r>
        <w:rPr>
          <w:rFonts w:hint="default" w:ascii="Times New Roman" w:hAnsi="Times New Roman" w:eastAsia="仿宋_GB2312" w:cs="Times New Roman"/>
          <w:color w:val="auto"/>
          <w:kern w:val="2"/>
          <w:sz w:val="32"/>
          <w:szCs w:val="32"/>
          <w:highlight w:val="none"/>
          <w:lang w:val="en-US" w:eastAsia="zh-CN" w:bidi="ar-SA"/>
        </w:rPr>
        <w:t>人，即连生乡、北岗乡、富强乡、北山乡、福兴满族乡、新富乡。</w:t>
      </w:r>
    </w:p>
    <w:p w14:paraId="34D0B1C1">
      <w:pPr>
        <w:pStyle w:val="3"/>
        <w:keepNext/>
        <w:keepLines/>
        <w:pageBreakBefore w:val="0"/>
        <w:widowControl w:val="0"/>
        <w:numPr>
          <w:ilvl w:val="0"/>
          <w:numId w:val="7"/>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46" w:name="_Toc7689"/>
      <w:r>
        <w:rPr>
          <w:rFonts w:hint="default" w:ascii="Times New Roman" w:hAnsi="Times New Roman" w:eastAsia="黑体" w:cs="Times New Roman"/>
          <w:b w:val="0"/>
          <w:bCs w:val="0"/>
          <w:color w:val="auto"/>
          <w:sz w:val="32"/>
          <w:szCs w:val="32"/>
          <w:highlight w:val="none"/>
          <w:lang w:val="en-US" w:eastAsia="zh-CN"/>
        </w:rPr>
        <w:t>优化产业空间布局</w:t>
      </w:r>
      <w:bookmarkEnd w:id="146"/>
    </w:p>
    <w:p w14:paraId="4E94A5D8">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产业体系优化</w:t>
      </w:r>
    </w:p>
    <w:p w14:paraId="776B6995">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绥滨县需加快构建以提高优势产业创新力为核心，以科技含量高、附加值高、环境污染少的现代产业体系，把握发展规律、顺应国际国内产业发展趋势和现实需求，努力打造</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3+4+N</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的全域产业体系。</w:t>
      </w:r>
    </w:p>
    <w:p w14:paraId="169FE3AC">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打造农业及农产品加工业、生态及文化旅游业、新能源产业三大主导产业；打造对俄进出口贸易、中草药种植加工、酒饮业、商贸物流四大优势产业；打造信息产业、平台经济、生命科学、康养服务、文旅艺术等多种面向未来的新型产业。</w:t>
      </w:r>
    </w:p>
    <w:p w14:paraId="53D63FC1">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产业空间布局</w:t>
      </w:r>
    </w:p>
    <w:p w14:paraId="06A5831E">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规划将绥滨县划分为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三轴四区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的产业空间布局模式。</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三轴</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指的是一级产业发展轴、二级产业发展轴、两江流域旅游发展轴；</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四区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指的南部产业区、北部产业区、东部产业区、西部产业区。</w:t>
      </w:r>
    </w:p>
    <w:p w14:paraId="623625D5">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南部产业区：以绥滨镇及绥滨产业园区为依托，大力发展农副产品加工，酒饮产业、新能源产业以及新型产业，利用完善的基础设施和服务设施推进产城融合，打造全域旅游服务中心；连生乡、北岗乡推进特色果蔬种植、菌类养殖，积极发展光伏发电等新能源产业，打造城市</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菜篮子</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的同时探索农村地区经济新增长点。</w:t>
      </w:r>
    </w:p>
    <w:p w14:paraId="3A7BB7AC">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北部产业区：以绥滨农场、福兴满族乡、北山乡为主体，以现代化种植、</w:t>
      </w:r>
      <w:r>
        <w:rPr>
          <w:rFonts w:hint="eastAsia" w:ascii="Times New Roman" w:hAnsi="Times New Roman" w:eastAsia="仿宋_GB2312" w:cs="Times New Roman"/>
          <w:color w:val="auto"/>
          <w:sz w:val="32"/>
          <w:szCs w:val="32"/>
          <w:highlight w:val="none"/>
          <w:lang w:eastAsia="zh-CN"/>
        </w:rPr>
        <w:t>畜禽</w:t>
      </w:r>
      <w:r>
        <w:rPr>
          <w:rFonts w:hint="default" w:ascii="Times New Roman" w:hAnsi="Times New Roman" w:eastAsia="仿宋_GB2312" w:cs="Times New Roman"/>
          <w:color w:val="auto"/>
          <w:sz w:val="32"/>
          <w:szCs w:val="32"/>
          <w:highlight w:val="none"/>
        </w:rPr>
        <w:t>养殖为优势产业，鱼稻鸭稻为特色，利用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龙门福地</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系列品牌影响力继续拓展农副产品产业链条；大力发展福兴满族文化游、边境文化游、界江文化游等旅游业态。</w:t>
      </w:r>
    </w:p>
    <w:p w14:paraId="030ABD3D">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东部产业区：忠仁镇、绥东镇、二九〇农场为主体，以月牙湖湿地、荣边大滩、两江交汇、红色文化等旅游资源特色，大力发展旅游观光产业，构建绥滨全域旅游核心；</w:t>
      </w:r>
      <w:r>
        <w:rPr>
          <w:rFonts w:hint="default" w:ascii="Times New Roman" w:hAnsi="Times New Roman" w:eastAsia="仿宋_GB2312" w:cs="Times New Roman"/>
          <w:color w:val="auto"/>
          <w:sz w:val="32"/>
          <w:szCs w:val="32"/>
          <w:highlight w:val="none"/>
          <w:lang w:eastAsia="zh-CN"/>
        </w:rPr>
        <w:t>充分</w:t>
      </w:r>
      <w:r>
        <w:rPr>
          <w:rFonts w:hint="default" w:ascii="Times New Roman" w:hAnsi="Times New Roman" w:eastAsia="仿宋_GB2312" w:cs="Times New Roman"/>
          <w:color w:val="auto"/>
          <w:sz w:val="32"/>
          <w:szCs w:val="32"/>
          <w:highlight w:val="none"/>
        </w:rPr>
        <w:t>利用忠仁旱地淡水鱼养殖基地、肉牛规模养殖与二九</w:t>
      </w:r>
      <w:r>
        <w:rPr>
          <w:rFonts w:hint="default" w:ascii="Times New Roman" w:hAnsi="Times New Roman" w:eastAsia="微软雅黑" w:cs="Times New Roman"/>
          <w:color w:val="auto"/>
          <w:sz w:val="32"/>
          <w:szCs w:val="32"/>
          <w:highlight w:val="none"/>
        </w:rPr>
        <w:t>〇</w:t>
      </w:r>
      <w:r>
        <w:rPr>
          <w:rFonts w:hint="default" w:ascii="Times New Roman" w:hAnsi="Times New Roman" w:eastAsia="仿宋_GB2312" w:cs="Times New Roman"/>
          <w:color w:val="auto"/>
          <w:sz w:val="32"/>
          <w:szCs w:val="32"/>
          <w:highlight w:val="none"/>
        </w:rPr>
        <w:t>农场大农业优势，做强优势产业，从规模农业迈向精品农业，同时完善旅游区及城镇旅游服务设施，推进现代农业小镇旅游康养产业发展。</w:t>
      </w:r>
    </w:p>
    <w:p w14:paraId="7C373A75">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西部产业区：以普阳农场、富强乡、新富乡为主体，以优势农业为基础，养殖基地为依托，大力发展肉牛、香猪养殖，加强中草药特色种植和加工基地建设，推进农副产品加工业持续发展；同时以普阳农场为重点，打造乡村田园游、休闲康养游等乡村旅游，打造绥滨全域旅游重要节点。</w:t>
      </w:r>
    </w:p>
    <w:p w14:paraId="301D6691">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园区规划</w:t>
      </w:r>
    </w:p>
    <w:p w14:paraId="5313348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1.园区定位</w:t>
      </w:r>
    </w:p>
    <w:p w14:paraId="6E16FF7F">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园区重点发展农副产品精深加工、特色酒饮、新能源、生物医药、循环产业、高技术产业、现代物流七大主导产业，形成</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经开区研发试验，绥滨县全域加工推广</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的局面，打造绥滨产业发展引领区，联动富锦、同江、萝北，发展对俄贸易，引导进出口贸易在经开区集聚，打造中俄边境经济合作高地。</w:t>
      </w:r>
    </w:p>
    <w:p w14:paraId="1A0AAA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2.园区布局</w:t>
      </w:r>
    </w:p>
    <w:p w14:paraId="7DA463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构建</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一核、一带、三轴、七区</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rPr>
        <w:t>的空间布局。</w:t>
      </w:r>
    </w:p>
    <w:p w14:paraId="176C28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一核</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rPr>
        <w:t>，突出创新、试验、推广等</w:t>
      </w:r>
      <w:r>
        <w:rPr>
          <w:rFonts w:hint="default" w:ascii="Times New Roman" w:hAnsi="Times New Roman" w:eastAsia="仿宋_GB2312" w:cs="Times New Roman"/>
          <w:color w:val="auto"/>
          <w:sz w:val="32"/>
          <w:szCs w:val="32"/>
          <w:highlight w:val="none"/>
          <w:lang w:eastAsia="zh-CN"/>
        </w:rPr>
        <w:t>综合</w:t>
      </w:r>
      <w:r>
        <w:rPr>
          <w:rFonts w:hint="default" w:ascii="Times New Roman" w:hAnsi="Times New Roman" w:eastAsia="仿宋_GB2312" w:cs="Times New Roman"/>
          <w:color w:val="auto"/>
          <w:sz w:val="32"/>
          <w:szCs w:val="32"/>
          <w:highlight w:val="none"/>
        </w:rPr>
        <w:t>服务职能，大力发展第三产业。布局综合服务中心。</w:t>
      </w:r>
    </w:p>
    <w:p w14:paraId="1BCF19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一带</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rPr>
        <w:t>指沿江景观带。沿开发区南部，结合现状松花江水系，规划带状公园绿地，打造贯穿开发区视线通廊的沿江景观带。</w:t>
      </w:r>
    </w:p>
    <w:p w14:paraId="6079D0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三轴</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rPr>
        <w:t>以振荣街和松滨大街为横轴，充分利用这两条道路与绥滨主城区相互贯通、互动发展，打造开发区发展主轴。以东辉路、东环路和渡口路为发展纵轴，连通开发区南北片区，加强开发区对外的交通联系，形成开发区发展次轴。</w:t>
      </w:r>
    </w:p>
    <w:p w14:paraId="781588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七区</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rPr>
        <w:t>布局特色酒饮建设区、农副产品精深加工建设区、新能源产业建设区、生物医药产业建设区、循环产业建设区、高技术产业建设区、现代物流功能区。打破经济开发区地理空间范围限制，与县域全面合作。</w:t>
      </w:r>
    </w:p>
    <w:p w14:paraId="6DC870C3">
      <w:pPr>
        <w:pStyle w:val="3"/>
        <w:keepNext/>
        <w:keepLines/>
        <w:pageBreakBefore w:val="0"/>
        <w:widowControl w:val="0"/>
        <w:numPr>
          <w:ilvl w:val="0"/>
          <w:numId w:val="7"/>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47" w:name="_Toc28537"/>
      <w:r>
        <w:rPr>
          <w:rFonts w:hint="default" w:ascii="Times New Roman" w:hAnsi="Times New Roman" w:eastAsia="黑体" w:cs="Times New Roman"/>
          <w:b w:val="0"/>
          <w:bCs w:val="0"/>
          <w:color w:val="auto"/>
          <w:sz w:val="32"/>
          <w:szCs w:val="32"/>
          <w:highlight w:val="none"/>
          <w:lang w:val="en-US" w:eastAsia="zh-CN"/>
        </w:rPr>
        <w:t>完善公共服务</w:t>
      </w:r>
      <w:r>
        <w:rPr>
          <w:rFonts w:hint="eastAsia" w:ascii="Times New Roman" w:hAnsi="Times New Roman" w:eastAsia="黑体" w:cs="Times New Roman"/>
          <w:b w:val="0"/>
          <w:bCs w:val="0"/>
          <w:color w:val="auto"/>
          <w:sz w:val="32"/>
          <w:szCs w:val="32"/>
          <w:highlight w:val="none"/>
          <w:lang w:val="en-US" w:eastAsia="zh-CN"/>
        </w:rPr>
        <w:t>设施</w:t>
      </w:r>
      <w:r>
        <w:rPr>
          <w:rFonts w:hint="default" w:ascii="Times New Roman" w:hAnsi="Times New Roman" w:eastAsia="黑体" w:cs="Times New Roman"/>
          <w:b w:val="0"/>
          <w:bCs w:val="0"/>
          <w:color w:val="auto"/>
          <w:sz w:val="32"/>
          <w:szCs w:val="32"/>
          <w:highlight w:val="none"/>
          <w:lang w:val="en-US" w:eastAsia="zh-CN"/>
        </w:rPr>
        <w:t>体系</w:t>
      </w:r>
      <w:bookmarkEnd w:id="147"/>
    </w:p>
    <w:p w14:paraId="24EBF9DC">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城乡生活圈层级划分</w:t>
      </w:r>
    </w:p>
    <w:p w14:paraId="1C2424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u w:val="none"/>
          <w:lang w:val="en-US" w:eastAsia="zh-CN"/>
        </w:rPr>
        <w:t>根据常住人口总量和结构，考虑实际服务管理人口规模和特征，基于生活圈理念分级配置公服设施，县域公共服务设施配置形成</w:t>
      </w:r>
      <w:r>
        <w:rPr>
          <w:rFonts w:hint="eastAsia" w:ascii="Times New Roman" w:hAnsi="Times New Roman" w:eastAsia="仿宋_GB2312" w:cs="Times New Roman"/>
          <w:color w:val="auto"/>
          <w:sz w:val="32"/>
          <w:szCs w:val="32"/>
          <w:highlight w:val="none"/>
          <w:u w:val="none"/>
          <w:lang w:val="en-US" w:eastAsia="zh-CN"/>
        </w:rPr>
        <w:t>“</w:t>
      </w:r>
      <w:r>
        <w:rPr>
          <w:rFonts w:hint="default" w:ascii="Times New Roman" w:hAnsi="Times New Roman" w:eastAsia="仿宋_GB2312" w:cs="Times New Roman"/>
          <w:color w:val="auto"/>
          <w:sz w:val="32"/>
          <w:szCs w:val="32"/>
          <w:highlight w:val="none"/>
          <w:u w:val="none"/>
          <w:lang w:val="en-US" w:eastAsia="zh-CN"/>
        </w:rPr>
        <w:t>县级</w:t>
      </w:r>
      <w:r>
        <w:rPr>
          <w:rFonts w:hint="eastAsia" w:ascii="Times New Roman" w:hAnsi="Times New Roman" w:eastAsia="仿宋_GB2312" w:cs="Times New Roman"/>
          <w:color w:val="auto"/>
          <w:kern w:val="2"/>
          <w:sz w:val="32"/>
          <w:szCs w:val="32"/>
          <w:highlight w:val="none"/>
          <w:u w:val="none"/>
          <w:lang w:val="en-US" w:eastAsia="zh-CN" w:bidi="ar-SA"/>
        </w:rPr>
        <w:t>—</w:t>
      </w:r>
      <w:r>
        <w:rPr>
          <w:rFonts w:hint="default" w:ascii="Times New Roman" w:hAnsi="Times New Roman" w:eastAsia="仿宋_GB2312" w:cs="Times New Roman"/>
          <w:color w:val="auto"/>
          <w:sz w:val="32"/>
          <w:szCs w:val="32"/>
          <w:highlight w:val="none"/>
          <w:u w:val="none"/>
          <w:lang w:val="en-US" w:eastAsia="zh-CN"/>
        </w:rPr>
        <w:t>乡镇级</w:t>
      </w:r>
      <w:r>
        <w:rPr>
          <w:rFonts w:hint="eastAsia" w:ascii="Times New Roman" w:hAnsi="Times New Roman" w:eastAsia="仿宋_GB2312" w:cs="Times New Roman"/>
          <w:color w:val="auto"/>
          <w:kern w:val="2"/>
          <w:sz w:val="32"/>
          <w:szCs w:val="32"/>
          <w:highlight w:val="none"/>
          <w:u w:val="none"/>
          <w:lang w:val="en-US" w:eastAsia="zh-CN" w:bidi="ar-SA"/>
        </w:rPr>
        <w:t>—</w:t>
      </w:r>
      <w:r>
        <w:rPr>
          <w:rFonts w:hint="default" w:ascii="Times New Roman" w:hAnsi="Times New Roman" w:eastAsia="仿宋_GB2312" w:cs="Times New Roman"/>
          <w:color w:val="auto"/>
          <w:sz w:val="32"/>
          <w:szCs w:val="32"/>
          <w:highlight w:val="none"/>
          <w:u w:val="none"/>
          <w:lang w:val="en-US" w:eastAsia="zh-CN"/>
        </w:rPr>
        <w:t>村级</w:t>
      </w:r>
      <w:r>
        <w:rPr>
          <w:rFonts w:hint="eastAsia" w:ascii="Times New Roman" w:hAnsi="Times New Roman" w:eastAsia="仿宋_GB2312" w:cs="Times New Roman"/>
          <w:color w:val="auto"/>
          <w:sz w:val="32"/>
          <w:szCs w:val="32"/>
          <w:highlight w:val="none"/>
          <w:u w:val="none"/>
          <w:lang w:val="en-US" w:eastAsia="zh-CN"/>
        </w:rPr>
        <w:t>”</w:t>
      </w:r>
      <w:r>
        <w:rPr>
          <w:rFonts w:hint="default" w:ascii="Times New Roman" w:hAnsi="Times New Roman" w:eastAsia="仿宋_GB2312" w:cs="Times New Roman"/>
          <w:color w:val="auto"/>
          <w:sz w:val="32"/>
          <w:szCs w:val="32"/>
          <w:highlight w:val="none"/>
          <w:u w:val="none"/>
          <w:lang w:val="en-US" w:eastAsia="zh-CN"/>
        </w:rPr>
        <w:t>三级体系，</w:t>
      </w:r>
      <w:r>
        <w:rPr>
          <w:rFonts w:hint="default" w:ascii="Times New Roman" w:hAnsi="Times New Roman" w:eastAsia="仿宋_GB2312" w:cs="Times New Roman"/>
          <w:color w:val="auto"/>
          <w:sz w:val="32"/>
          <w:szCs w:val="32"/>
          <w:highlight w:val="none"/>
          <w:lang w:val="en-US" w:eastAsia="zh-CN"/>
        </w:rPr>
        <w:t>加强城区</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乡镇一体化联动发展。</w:t>
      </w:r>
    </w:p>
    <w:p w14:paraId="07AD322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县级公共服务设施配置</w:t>
      </w:r>
    </w:p>
    <w:p w14:paraId="24B7F4D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1.文化设施</w:t>
      </w:r>
    </w:p>
    <w:p w14:paraId="3BDF617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z w:val="32"/>
          <w:szCs w:val="32"/>
          <w:highlight w:val="none"/>
          <w:lang w:val="en-US" w:eastAsia="zh-CN"/>
        </w:rPr>
        <w:t>县级主要在中心城区建设一个县级文化中心，以图书馆、档案馆为载体，进一步开发馆藏文献资源，围绕工业、农业、招商引资工作做好信息服务；以青少年活动中心为载体的群众业余艺术教育基地，进一步完善少儿艺术基地的各项设施，加强培训和辅导工作；以科技馆、影剧院为载体，与教育部门积极协作，使之成为中小学生科技教育的重要场所。</w:t>
      </w:r>
    </w:p>
    <w:p w14:paraId="07824EB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2.教育设施</w:t>
      </w:r>
    </w:p>
    <w:p w14:paraId="637562F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z w:val="32"/>
          <w:szCs w:val="32"/>
          <w:highlight w:val="none"/>
          <w:lang w:val="en-US" w:eastAsia="zh-CN"/>
        </w:rPr>
        <w:t>完善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老年大学</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职业教育</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高中</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初中</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小学</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幼儿园</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的教育体系，规划新建一所老年大学、迁建一所小学、新建三所幼儿园，加大初中、小学、幼儿园网络覆盖面，形成较大规模和区域影响力的教育体系。</w:t>
      </w:r>
    </w:p>
    <w:p w14:paraId="159B92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3.体育设施</w:t>
      </w:r>
    </w:p>
    <w:p w14:paraId="4FE7C3E3">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规划在现有体育活动场地基础上，新建一处县级公共体育设施，包括公共滑冰馆、公共游泳馆、健身中心，形成绥滨县体育中心。</w:t>
      </w:r>
    </w:p>
    <w:p w14:paraId="46574A52">
      <w:pPr>
        <w:keepNext/>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4.医疗卫生设施</w:t>
      </w:r>
    </w:p>
    <w:p w14:paraId="31D60C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构建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大型综合医院</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专科医院</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专业公共卫生机构</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基层医疗卫生设施</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的分级诊疗医疗体系，中心城区有县级综合医院、中医院、妇幼保健院、疾病预防控制中心等设施，补充完善基层医疗卫生服务设施，实现中心城区全覆盖。</w:t>
      </w:r>
    </w:p>
    <w:p w14:paraId="6D8F0C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5.社会福利设施</w:t>
      </w:r>
    </w:p>
    <w:p w14:paraId="4546EAF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建设功能复合、配套完善的县级老年人社会福利设施，推进养老服务市场化，吸引周边乡镇人群在绥滨县养老。完善慈惠康宁养老院和绥滨县社会综合福利院设施配置。</w:t>
      </w:r>
    </w:p>
    <w:p w14:paraId="52F19EF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乡镇级公共服务设施配置</w:t>
      </w:r>
    </w:p>
    <w:p w14:paraId="60DADAA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乡镇级包括重点镇（忠仁镇、绥东镇）和一般乡镇（6乡3农场）。重点镇按要求配置，一般乡镇根据实际区位情况，共建共享公服设施体系，节约资源。</w:t>
      </w:r>
    </w:p>
    <w:p w14:paraId="4C869D5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文化设施：</w:t>
      </w:r>
      <w:r>
        <w:rPr>
          <w:rFonts w:hint="default" w:ascii="Times New Roman" w:hAnsi="Times New Roman" w:eastAsia="仿宋_GB2312" w:cs="Times New Roman"/>
          <w:color w:val="auto"/>
          <w:sz w:val="32"/>
          <w:szCs w:val="32"/>
          <w:highlight w:val="none"/>
          <w:lang w:val="en-US" w:eastAsia="zh-CN"/>
        </w:rPr>
        <w:t>保留现状各乡镇文化站，完善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五室</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（图书室、展览室、阅览室、游艺室、科技咨询室）建设，各乡镇文化活动室和图书室可结合乡镇文化站设置。</w:t>
      </w:r>
    </w:p>
    <w:p w14:paraId="149B89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教育设施：</w:t>
      </w:r>
      <w:r>
        <w:rPr>
          <w:rFonts w:hint="default" w:ascii="Times New Roman" w:hAnsi="Times New Roman" w:eastAsia="仿宋_GB2312" w:cs="Times New Roman"/>
          <w:color w:val="auto"/>
          <w:sz w:val="32"/>
          <w:szCs w:val="32"/>
          <w:highlight w:val="none"/>
          <w:lang w:val="en-US" w:eastAsia="zh-CN"/>
        </w:rPr>
        <w:t>中学、小学和幼儿园根据实际需要进行建设。按照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小学就近入学，初中相对集中</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的原则，各乡镇共建共享，减少教育资源浪费。</w:t>
      </w:r>
    </w:p>
    <w:p w14:paraId="0FA2910C">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体育设施：</w:t>
      </w:r>
      <w:r>
        <w:rPr>
          <w:rFonts w:hint="default" w:ascii="Times New Roman" w:hAnsi="Times New Roman" w:eastAsia="仿宋_GB2312" w:cs="Times New Roman"/>
          <w:color w:val="auto"/>
          <w:sz w:val="32"/>
          <w:szCs w:val="32"/>
          <w:highlight w:val="none"/>
          <w:lang w:val="en-US" w:eastAsia="zh-CN"/>
        </w:rPr>
        <w:t>在完善现状篮球场、健身广场的基础上，结合中学建设标准田径场、羽毛球场和乒乓球场等，各种级别的体育设施都可以结合单位建设，提倡单位内部应配备较完善的篮球场、乒乓球、棋牌类活动室。</w:t>
      </w:r>
    </w:p>
    <w:p w14:paraId="0F12CA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医疗设施：</w:t>
      </w:r>
      <w:r>
        <w:rPr>
          <w:rFonts w:hint="default" w:ascii="Times New Roman" w:hAnsi="Times New Roman" w:eastAsia="仿宋_GB2312" w:cs="Times New Roman"/>
          <w:color w:val="auto"/>
          <w:sz w:val="32"/>
          <w:szCs w:val="32"/>
          <w:highlight w:val="none"/>
          <w:lang w:val="en-US" w:eastAsia="zh-CN"/>
        </w:rPr>
        <w:t>加强乡镇卫生院基础设施建设，达到房屋设备配套、医疗设备齐全、人员配备合理、基本功能完善，具备提供急救、常见病诊治和一般预防保健服务的条件，完善社区医疗机构。</w:t>
      </w:r>
    </w:p>
    <w:p w14:paraId="4F4B27EE">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楷体_GB2312" w:cs="Times New Roman"/>
          <w:b/>
          <w:bCs/>
          <w:color w:val="auto"/>
          <w:kern w:val="2"/>
          <w:sz w:val="21"/>
          <w:szCs w:val="21"/>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养老设施：</w:t>
      </w:r>
      <w:r>
        <w:rPr>
          <w:rFonts w:hint="default" w:ascii="Times New Roman" w:hAnsi="Times New Roman" w:eastAsia="仿宋_GB2312" w:cs="Times New Roman"/>
          <w:color w:val="auto"/>
          <w:sz w:val="32"/>
          <w:szCs w:val="32"/>
          <w:highlight w:val="none"/>
          <w:lang w:val="en-US" w:eastAsia="zh-CN"/>
        </w:rPr>
        <w:t>着力加强养老体系建设，构建以社区为中心，社区养老综合服务和公共卫生服务体系紧密衔接、融合发展的养老格局。敬老院、孤儿院、各类福利院等设施采取</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城乡统筹、镇区布点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的原则进行布局。</w:t>
      </w:r>
    </w:p>
    <w:p w14:paraId="0E01CCA8">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村级公共服务设施配置</w:t>
      </w:r>
    </w:p>
    <w:p w14:paraId="32821256">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保障乡村基本公共服务水平，实现生产生活设施的便利化；各村结合实际情况，完善各类公共服务，布局幼儿园、文化站、室外运动场地、卫生室、幸福院等，加强人居环境整治和公共空间品质提升。</w:t>
      </w:r>
    </w:p>
    <w:p w14:paraId="559972FC">
      <w:pPr>
        <w:pStyle w:val="3"/>
        <w:keepNext/>
        <w:keepLines/>
        <w:pageBreakBefore w:val="0"/>
        <w:widowControl w:val="0"/>
        <w:numPr>
          <w:ilvl w:val="0"/>
          <w:numId w:val="7"/>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48" w:name="_Toc21283"/>
      <w:r>
        <w:rPr>
          <w:rFonts w:hint="default" w:ascii="Times New Roman" w:hAnsi="Times New Roman" w:eastAsia="黑体" w:cs="Times New Roman"/>
          <w:b w:val="0"/>
          <w:bCs w:val="0"/>
          <w:color w:val="auto"/>
          <w:sz w:val="32"/>
          <w:szCs w:val="32"/>
          <w:highlight w:val="none"/>
          <w:lang w:val="en-US" w:eastAsia="zh-CN"/>
        </w:rPr>
        <w:t>推进</w:t>
      </w:r>
      <w:r>
        <w:rPr>
          <w:rFonts w:hint="eastAsia" w:ascii="Times New Roman" w:hAnsi="Times New Roman" w:eastAsia="黑体" w:cs="Times New Roman"/>
          <w:b w:val="0"/>
          <w:bCs w:val="0"/>
          <w:color w:val="auto"/>
          <w:sz w:val="32"/>
          <w:szCs w:val="32"/>
          <w:highlight w:val="none"/>
          <w:lang w:val="en-US" w:eastAsia="zh-CN"/>
        </w:rPr>
        <w:t>城镇</w:t>
      </w:r>
      <w:r>
        <w:rPr>
          <w:rFonts w:hint="default" w:ascii="Times New Roman" w:hAnsi="Times New Roman" w:eastAsia="黑体" w:cs="Times New Roman"/>
          <w:b w:val="0"/>
          <w:bCs w:val="0"/>
          <w:color w:val="auto"/>
          <w:sz w:val="32"/>
          <w:szCs w:val="32"/>
          <w:highlight w:val="none"/>
          <w:lang w:val="en-US" w:eastAsia="zh-CN"/>
        </w:rPr>
        <w:t>用地节约集约利用</w:t>
      </w:r>
      <w:bookmarkEnd w:id="148"/>
    </w:p>
    <w:p w14:paraId="32A547C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优化城</w:t>
      </w:r>
      <w:r>
        <w:rPr>
          <w:rFonts w:hint="eastAsia" w:ascii="Times New Roman" w:hAnsi="Times New Roman" w:eastAsia="楷体_GB2312" w:cs="Times New Roman"/>
          <w:b w:val="0"/>
          <w:bCs w:val="0"/>
          <w:color w:val="auto"/>
          <w:sz w:val="32"/>
          <w:szCs w:val="32"/>
          <w:highlight w:val="none"/>
          <w:lang w:val="en-US" w:eastAsia="zh-CN"/>
        </w:rPr>
        <w:t>镇</w:t>
      </w:r>
      <w:r>
        <w:rPr>
          <w:rFonts w:hint="default" w:ascii="Times New Roman" w:hAnsi="Times New Roman" w:eastAsia="楷体_GB2312" w:cs="Times New Roman"/>
          <w:b w:val="0"/>
          <w:bCs w:val="0"/>
          <w:color w:val="auto"/>
          <w:sz w:val="32"/>
          <w:szCs w:val="32"/>
          <w:highlight w:val="none"/>
          <w:lang w:val="en-US" w:eastAsia="zh-CN"/>
        </w:rPr>
        <w:t>用地结构</w:t>
      </w:r>
    </w:p>
    <w:p w14:paraId="3E934239">
      <w:pPr>
        <w:pageBreakBefore w:val="0"/>
        <w:widowControl w:val="0"/>
        <w:kinsoku/>
        <w:wordWrap/>
        <w:overflowPunct/>
        <w:topLinePunct w:val="0"/>
        <w:autoSpaceDE/>
        <w:autoSpaceDN/>
        <w:bidi w:val="0"/>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统筹城乡居住生活、基础设施、公共服务、产业发展、生态环境保护等建设要求，引导城镇用地内部结构优化，优先保障基础设施、公共服务设施等民生用地。</w:t>
      </w:r>
    </w:p>
    <w:p w14:paraId="69A3554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建设用地盘活方案</w:t>
      </w:r>
    </w:p>
    <w:p w14:paraId="4364E1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sz w:val="32"/>
          <w:szCs w:val="32"/>
          <w:highlight w:val="none"/>
          <w:lang w:val="en-US" w:eastAsia="zh-CN"/>
        </w:rPr>
        <w:t>结合产业结构调整、土地综合整治等，加大低效用地盘活，拓宽再利用路径，增加优质空间供给，实现重要基础设施、重大项目、民生项目等精准供给，逐步完善和提升城镇功能。严厉打击违法建设行为，坚决抑制新增违法用地，从源头遏制违法建设，实现违法建设</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零增长</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，对现有的违法建设用地，采取腾退整治的方式，实现既有违法用地清零。</w:t>
      </w:r>
    </w:p>
    <w:p w14:paraId="72E92F3D">
      <w:pPr>
        <w:rPr>
          <w:rFonts w:hint="default" w:ascii="Times New Roman" w:hAnsi="Times New Roman" w:eastAsia="方正小标宋简体" w:cs="Times New Roman"/>
          <w:b w:val="0"/>
          <w:bCs w:val="0"/>
          <w:color w:val="auto"/>
          <w:sz w:val="36"/>
          <w:szCs w:val="36"/>
          <w:highlight w:val="none"/>
          <w:lang w:val="en-US" w:eastAsia="zh-CN"/>
        </w:rPr>
      </w:pPr>
      <w:r>
        <w:rPr>
          <w:rFonts w:hint="default" w:ascii="Times New Roman" w:hAnsi="Times New Roman" w:eastAsia="方正小标宋简体" w:cs="Times New Roman"/>
          <w:b w:val="0"/>
          <w:bCs w:val="0"/>
          <w:color w:val="auto"/>
          <w:sz w:val="36"/>
          <w:szCs w:val="36"/>
          <w:highlight w:val="none"/>
          <w:lang w:val="en-US" w:eastAsia="zh-CN"/>
        </w:rPr>
        <w:br w:type="page"/>
      </w:r>
    </w:p>
    <w:p w14:paraId="45C9F439">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方正小标宋简体" w:cs="Times New Roman"/>
          <w:b w:val="0"/>
          <w:bCs w:val="0"/>
          <w:color w:val="auto"/>
          <w:sz w:val="36"/>
          <w:szCs w:val="36"/>
          <w:highlight w:val="none"/>
          <w:lang w:val="en-US" w:eastAsia="zh-CN"/>
        </w:rPr>
      </w:pPr>
      <w:bookmarkStart w:id="149" w:name="_Toc3431"/>
      <w:r>
        <w:rPr>
          <w:rFonts w:hint="eastAsia" w:ascii="Times New Roman" w:hAnsi="Times New Roman" w:eastAsia="方正小标宋简体" w:cs="Times New Roman"/>
          <w:b w:val="0"/>
          <w:bCs w:val="0"/>
          <w:color w:val="auto"/>
          <w:sz w:val="36"/>
          <w:szCs w:val="36"/>
          <w:highlight w:val="none"/>
          <w:lang w:val="en-US" w:eastAsia="zh-CN"/>
        </w:rPr>
        <w:t>建设</w:t>
      </w:r>
      <w:r>
        <w:rPr>
          <w:rFonts w:hint="default" w:ascii="Times New Roman" w:hAnsi="Times New Roman" w:eastAsia="方正小标宋简体" w:cs="Times New Roman"/>
          <w:b w:val="0"/>
          <w:bCs w:val="0"/>
          <w:color w:val="auto"/>
          <w:sz w:val="36"/>
          <w:szCs w:val="36"/>
          <w:highlight w:val="none"/>
          <w:lang w:val="en-US" w:eastAsia="zh-CN"/>
        </w:rPr>
        <w:t>高品质中心城镇</w:t>
      </w:r>
      <w:bookmarkEnd w:id="149"/>
    </w:p>
    <w:p w14:paraId="282B9C85">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50" w:name="_Toc16812"/>
      <w:bookmarkStart w:id="151" w:name="_Toc30490"/>
      <w:bookmarkStart w:id="152" w:name="_Toc10049"/>
      <w:r>
        <w:rPr>
          <w:rFonts w:hint="eastAsia" w:ascii="Times New Roman" w:hAnsi="Times New Roman" w:eastAsia="黑体" w:cs="Times New Roman"/>
          <w:b w:val="0"/>
          <w:bCs w:val="0"/>
          <w:color w:val="auto"/>
          <w:sz w:val="32"/>
          <w:szCs w:val="32"/>
          <w:highlight w:val="none"/>
          <w:lang w:val="en-US" w:eastAsia="zh-CN"/>
        </w:rPr>
        <w:t>中心城镇</w:t>
      </w:r>
      <w:r>
        <w:rPr>
          <w:rFonts w:hint="default" w:ascii="Times New Roman" w:hAnsi="Times New Roman" w:eastAsia="黑体" w:cs="Times New Roman"/>
          <w:b w:val="0"/>
          <w:bCs w:val="0"/>
          <w:color w:val="auto"/>
          <w:sz w:val="32"/>
          <w:szCs w:val="32"/>
          <w:highlight w:val="none"/>
          <w:lang w:val="en-US" w:eastAsia="zh-CN"/>
        </w:rPr>
        <w:t>范围</w:t>
      </w:r>
      <w:bookmarkEnd w:id="150"/>
      <w:bookmarkEnd w:id="151"/>
      <w:bookmarkEnd w:id="152"/>
    </w:p>
    <w:p w14:paraId="7BE62F8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bookmarkStart w:id="153" w:name="_Toc10939"/>
      <w:r>
        <w:rPr>
          <w:rFonts w:hint="default" w:ascii="Times New Roman" w:hAnsi="Times New Roman" w:eastAsia="仿宋_GB2312" w:cs="Times New Roman"/>
          <w:color w:val="auto"/>
          <w:sz w:val="32"/>
          <w:szCs w:val="32"/>
          <w:highlight w:val="none"/>
          <w:lang w:val="en-US" w:eastAsia="zh-CN"/>
        </w:rPr>
        <w:t>以现有城镇建成区为依托，以城市用地综合评定和城市现状发展条件为基础，结合绥滨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十四五</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发展战略，按照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集约紧凑、优化用地、宜居宜业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的总体布局原则，确定绥滨县城区空间发展方向。</w:t>
      </w:r>
    </w:p>
    <w:p w14:paraId="5E15767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本次规划在优化上版城市总体规划空间发展方向的基础上，根据绥滨城区的自身特点（南侧受松花江的制约），规划确定绥滨城区空间发展方向：</w:t>
      </w:r>
      <w:r>
        <w:rPr>
          <w:rFonts w:hint="default" w:ascii="Times New Roman" w:hAnsi="Times New Roman" w:eastAsia="仿宋_GB2312" w:cs="Times New Roman"/>
          <w:b w:val="0"/>
          <w:bCs w:val="0"/>
          <w:color w:val="auto"/>
          <w:sz w:val="32"/>
          <w:szCs w:val="32"/>
          <w:highlight w:val="none"/>
          <w:lang w:val="en-US" w:eastAsia="zh-CN"/>
        </w:rPr>
        <w:t>生产向东，生活向北、向西发展。</w:t>
      </w:r>
      <w:r>
        <w:rPr>
          <w:rFonts w:hint="default" w:ascii="Times New Roman" w:hAnsi="Times New Roman" w:eastAsia="仿宋_GB2312" w:cs="Times New Roman"/>
          <w:color w:val="auto"/>
          <w:sz w:val="32"/>
          <w:szCs w:val="32"/>
          <w:highlight w:val="none"/>
          <w:lang w:val="en-US" w:eastAsia="zh-CN"/>
        </w:rPr>
        <w:t>重点向东发展，拓展产业空间，打造东部工业园区，形成工业中心；并且与主城区密切联系，实现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产城融合</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。向北、向西发展，整合现状村屯用地。</w:t>
      </w:r>
    </w:p>
    <w:bookmarkEnd w:id="153"/>
    <w:p w14:paraId="41A0B71E">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54" w:name="_Toc22131"/>
      <w:bookmarkEnd w:id="154"/>
    </w:p>
    <w:p w14:paraId="62F876B3">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55" w:name="_Toc3729"/>
      <w:r>
        <w:rPr>
          <w:rFonts w:hint="default" w:ascii="Times New Roman" w:hAnsi="Times New Roman" w:eastAsia="黑体" w:cs="Times New Roman"/>
          <w:b w:val="0"/>
          <w:bCs w:val="0"/>
          <w:color w:val="auto"/>
          <w:sz w:val="32"/>
          <w:szCs w:val="32"/>
          <w:highlight w:val="none"/>
          <w:lang w:val="en-US" w:eastAsia="zh-CN"/>
        </w:rPr>
        <w:t>优化空间结构和功能布局</w:t>
      </w:r>
      <w:bookmarkEnd w:id="155"/>
    </w:p>
    <w:p w14:paraId="4B7E892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依据现状布局特点、地形地貌和城市发展目标，优化配置各类资源要素，规划形成</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一带三轴，两心两区</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的空间结构。</w:t>
      </w:r>
    </w:p>
    <w:p w14:paraId="08A455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1.一带三轴</w:t>
      </w:r>
    </w:p>
    <w:p w14:paraId="708136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生态景观带：</w:t>
      </w:r>
      <w:r>
        <w:rPr>
          <w:rFonts w:hint="default" w:ascii="Times New Roman" w:hAnsi="Times New Roman" w:eastAsia="仿宋_GB2312" w:cs="Times New Roman"/>
          <w:color w:val="auto"/>
          <w:sz w:val="32"/>
          <w:szCs w:val="32"/>
          <w:highlight w:val="none"/>
          <w:lang w:val="en-US" w:eastAsia="zh-CN"/>
        </w:rPr>
        <w:t>依托松花江沿岸打造松花江生态景观带，形成滨水生态绿地。</w:t>
      </w:r>
    </w:p>
    <w:p w14:paraId="7C69D1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城市发展轴：</w:t>
      </w:r>
      <w:r>
        <w:rPr>
          <w:rFonts w:hint="default" w:ascii="Times New Roman" w:hAnsi="Times New Roman" w:eastAsia="仿宋_GB2312" w:cs="Times New Roman"/>
          <w:color w:val="auto"/>
          <w:sz w:val="32"/>
          <w:szCs w:val="32"/>
          <w:highlight w:val="none"/>
          <w:lang w:val="en-US" w:eastAsia="zh-CN"/>
        </w:rPr>
        <w:t>松滨大街两侧公共服务设施形成城市发展轴，该轴是连接老城与新城的重要横向服务发展轴</w:t>
      </w:r>
      <w:r>
        <w:rPr>
          <w:rFonts w:hint="eastAsia" w:ascii="Times New Roman" w:hAnsi="Times New Roman" w:eastAsia="仿宋_GB2312" w:cs="Times New Roman"/>
          <w:color w:val="auto"/>
          <w:sz w:val="32"/>
          <w:szCs w:val="32"/>
          <w:highlight w:val="none"/>
          <w:lang w:val="en-US" w:eastAsia="zh-CN"/>
        </w:rPr>
        <w:t>。</w:t>
      </w:r>
    </w:p>
    <w:p w14:paraId="0C854F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城市交通发展轴：</w:t>
      </w:r>
      <w:r>
        <w:rPr>
          <w:rFonts w:hint="default" w:ascii="Times New Roman" w:hAnsi="Times New Roman" w:eastAsia="仿宋_GB2312" w:cs="Times New Roman"/>
          <w:color w:val="auto"/>
          <w:sz w:val="32"/>
          <w:szCs w:val="32"/>
          <w:highlight w:val="none"/>
          <w:lang w:val="en-US" w:eastAsia="zh-CN"/>
        </w:rPr>
        <w:t>依托通达路</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通江路形成城市交通轴，该轴与城市对外交通相连，构成城市对外展示的形象窗口</w:t>
      </w:r>
      <w:r>
        <w:rPr>
          <w:rFonts w:hint="eastAsia" w:ascii="Times New Roman" w:hAnsi="Times New Roman" w:eastAsia="仿宋_GB2312" w:cs="Times New Roman"/>
          <w:color w:val="auto"/>
          <w:sz w:val="32"/>
          <w:szCs w:val="32"/>
          <w:highlight w:val="none"/>
          <w:lang w:val="en-US" w:eastAsia="zh-CN"/>
        </w:rPr>
        <w:t>。</w:t>
      </w:r>
    </w:p>
    <w:p w14:paraId="718463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纵向服务发展轴：</w:t>
      </w:r>
      <w:r>
        <w:rPr>
          <w:rFonts w:hint="default" w:ascii="Times New Roman" w:hAnsi="Times New Roman" w:eastAsia="仿宋_GB2312" w:cs="Times New Roman"/>
          <w:color w:val="auto"/>
          <w:sz w:val="32"/>
          <w:szCs w:val="32"/>
          <w:highlight w:val="none"/>
          <w:lang w:val="en-US" w:eastAsia="zh-CN"/>
        </w:rPr>
        <w:t>依托奋斗路两侧的公共空间及服务设施，形成中心城区纵向服务发展轴。</w:t>
      </w:r>
    </w:p>
    <w:p w14:paraId="55AFFB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2.两心两区</w:t>
      </w:r>
    </w:p>
    <w:p w14:paraId="2DA8F5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商业服务中心：</w:t>
      </w:r>
      <w:r>
        <w:rPr>
          <w:rFonts w:hint="default" w:ascii="Times New Roman" w:hAnsi="Times New Roman" w:eastAsia="仿宋_GB2312" w:cs="Times New Roman"/>
          <w:color w:val="auto"/>
          <w:sz w:val="32"/>
          <w:szCs w:val="32"/>
          <w:highlight w:val="none"/>
          <w:lang w:val="en-US" w:eastAsia="zh-CN"/>
        </w:rPr>
        <w:t>车流和人流的高度集中区域，也是老城区商业活动集中区，结合已有的商业服务设施形成县级商业服务中心。</w:t>
      </w:r>
    </w:p>
    <w:p w14:paraId="5B5B03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文化科研中心：</w:t>
      </w:r>
      <w:r>
        <w:rPr>
          <w:rFonts w:hint="default" w:ascii="Times New Roman" w:hAnsi="Times New Roman" w:eastAsia="仿宋_GB2312" w:cs="Times New Roman"/>
          <w:color w:val="auto"/>
          <w:sz w:val="32"/>
          <w:szCs w:val="32"/>
          <w:highlight w:val="none"/>
          <w:lang w:val="en-US" w:eastAsia="zh-CN"/>
        </w:rPr>
        <w:t>位于通江路与松滨大街交叉口，以一中为核心，依托老啤酒厂改造，结合公园绿地，规划文体娱乐设施及科研用地，积极发展休闲旅游服务，强化公共服务能力，增强城市经济活力。</w:t>
      </w:r>
    </w:p>
    <w:p w14:paraId="1CB880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生活区：</w:t>
      </w:r>
      <w:r>
        <w:rPr>
          <w:rFonts w:hint="default" w:ascii="Times New Roman" w:hAnsi="Times New Roman" w:eastAsia="仿宋_GB2312" w:cs="Times New Roman"/>
          <w:color w:val="auto"/>
          <w:sz w:val="32"/>
          <w:szCs w:val="32"/>
          <w:highlight w:val="none"/>
          <w:lang w:val="en-US" w:eastAsia="zh-CN"/>
        </w:rPr>
        <w:t>位于通达路</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通江路以西区域。规划依托老城区更新改造建设，重点打造以商业金融、商务办公、休闲娱乐、文化教育、生态居住为一体的现代生活区。</w:t>
      </w:r>
    </w:p>
    <w:p w14:paraId="00BF063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生产区：</w:t>
      </w:r>
      <w:r>
        <w:rPr>
          <w:rFonts w:hint="default" w:ascii="Times New Roman" w:hAnsi="Times New Roman" w:eastAsia="仿宋_GB2312" w:cs="Times New Roman"/>
          <w:color w:val="auto"/>
          <w:sz w:val="32"/>
          <w:szCs w:val="32"/>
          <w:highlight w:val="none"/>
          <w:lang w:val="en-US" w:eastAsia="zh-CN"/>
        </w:rPr>
        <w:t>位于通达路</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通江路以东区域。该片区现状发展条件较好，尤其是工业园区的建设，为其产业发展提供了有利的机遇。该区以工业企业、仓储物流功能为主，是集生活居住、公共服务等多功能于一体的现代化产业新区。</w:t>
      </w:r>
    </w:p>
    <w:p w14:paraId="4D58B46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p>
    <w:p w14:paraId="35ABEBFA">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56" w:name="_Toc14298"/>
      <w:bookmarkStart w:id="157" w:name="_Toc16490"/>
      <w:bookmarkStart w:id="158" w:name="_Toc8519"/>
      <w:r>
        <w:rPr>
          <w:rFonts w:hint="eastAsia" w:ascii="Times New Roman" w:hAnsi="Times New Roman" w:eastAsia="黑体" w:cs="Times New Roman"/>
          <w:b w:val="0"/>
          <w:bCs w:val="0"/>
          <w:color w:val="auto"/>
          <w:sz w:val="32"/>
          <w:szCs w:val="32"/>
          <w:highlight w:val="none"/>
          <w:lang w:val="en-US" w:eastAsia="zh-CN"/>
        </w:rPr>
        <w:t>完善</w:t>
      </w:r>
      <w:r>
        <w:rPr>
          <w:rFonts w:hint="default" w:ascii="Times New Roman" w:hAnsi="Times New Roman" w:eastAsia="黑体" w:cs="Times New Roman"/>
          <w:b w:val="0"/>
          <w:bCs w:val="0"/>
          <w:color w:val="auto"/>
          <w:sz w:val="32"/>
          <w:szCs w:val="32"/>
          <w:highlight w:val="none"/>
          <w:lang w:val="en-US" w:eastAsia="zh-CN"/>
        </w:rPr>
        <w:t>住房保障</w:t>
      </w:r>
      <w:bookmarkEnd w:id="156"/>
      <w:bookmarkEnd w:id="157"/>
      <w:bookmarkEnd w:id="158"/>
    </w:p>
    <w:p w14:paraId="1C2C357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切实调整住房供应结构，重点发展中低价位、中小套型普通商品住房、经济适用住房和廉租住房。加快城市廉租住房制度建设，规范发展经济适用住房，积极发展住房二级市场和租赁市场，有步骤地解决低收入家庭的住房困难。集中紧凑地组织生活居住用地，根据居民生活的不同层次要求，分级配套各级公共服务设施，使生活居住区功能明确、建设</w:t>
      </w:r>
      <w:r>
        <w:rPr>
          <w:rFonts w:hint="eastAsia" w:ascii="Times New Roman" w:hAnsi="Times New Roman" w:eastAsia="仿宋_GB2312" w:cs="Times New Roman"/>
          <w:color w:val="auto"/>
          <w:sz w:val="32"/>
          <w:szCs w:val="32"/>
          <w:highlight w:val="none"/>
          <w:lang w:val="en-US" w:eastAsia="zh-CN"/>
        </w:rPr>
        <w:t>有序</w:t>
      </w:r>
      <w:r>
        <w:rPr>
          <w:rFonts w:hint="default" w:ascii="Times New Roman" w:hAnsi="Times New Roman" w:eastAsia="仿宋_GB2312" w:cs="Times New Roman"/>
          <w:color w:val="auto"/>
          <w:sz w:val="32"/>
          <w:szCs w:val="32"/>
          <w:highlight w:val="none"/>
          <w:lang w:val="en-US" w:eastAsia="zh-CN"/>
        </w:rPr>
        <w:t>、方便生活、便于管理。适应当地气候环境，突出地方多元文化特色。</w:t>
      </w:r>
    </w:p>
    <w:p w14:paraId="2D1D7DA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完善保障性安居工程建设；有序开展老旧小区改造；坚持职居平衡，构建产城融合社区融合住房空间格局；以打造</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宜居社区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为目标，构建15分钟宜居生活圈。</w:t>
      </w:r>
    </w:p>
    <w:p w14:paraId="5D8D6849">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59" w:name="_Toc21348"/>
      <w:bookmarkStart w:id="160" w:name="_Toc9130"/>
      <w:bookmarkStart w:id="161" w:name="_Toc30362"/>
      <w:bookmarkStart w:id="162" w:name="_Toc11471"/>
      <w:bookmarkStart w:id="163" w:name="_Toc7429"/>
      <w:r>
        <w:rPr>
          <w:rFonts w:hint="eastAsia" w:ascii="Times New Roman" w:hAnsi="Times New Roman" w:eastAsia="黑体" w:cs="Times New Roman"/>
          <w:b w:val="0"/>
          <w:bCs w:val="0"/>
          <w:color w:val="auto"/>
          <w:sz w:val="32"/>
          <w:szCs w:val="32"/>
          <w:highlight w:val="none"/>
          <w:lang w:val="en-US" w:eastAsia="zh-CN"/>
        </w:rPr>
        <w:t>保障</w:t>
      </w:r>
      <w:r>
        <w:rPr>
          <w:rFonts w:hint="default" w:ascii="Times New Roman" w:hAnsi="Times New Roman" w:eastAsia="黑体" w:cs="Times New Roman"/>
          <w:b w:val="0"/>
          <w:bCs w:val="0"/>
          <w:color w:val="auto"/>
          <w:sz w:val="32"/>
          <w:szCs w:val="32"/>
          <w:highlight w:val="none"/>
          <w:lang w:val="en-US" w:eastAsia="zh-CN"/>
        </w:rPr>
        <w:t>公共服务设施</w:t>
      </w:r>
      <w:r>
        <w:rPr>
          <w:rFonts w:hint="eastAsia" w:ascii="Times New Roman" w:hAnsi="Times New Roman" w:eastAsia="黑体" w:cs="Times New Roman"/>
          <w:b w:val="0"/>
          <w:bCs w:val="0"/>
          <w:color w:val="auto"/>
          <w:sz w:val="32"/>
          <w:szCs w:val="32"/>
          <w:highlight w:val="none"/>
          <w:lang w:val="en-US" w:eastAsia="zh-CN"/>
        </w:rPr>
        <w:t>建设</w:t>
      </w:r>
      <w:bookmarkEnd w:id="159"/>
    </w:p>
    <w:p w14:paraId="7303F6C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机关团体用地</w:t>
      </w:r>
    </w:p>
    <w:p w14:paraId="73B8802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保留现状位于松滨大街、振兴大街旁的县人民政府、自然资源局、财政局、公安局、粮食局、盐务局等机关团体。并在城西新增光明路派出所、公安局执法办案中心等，提高办公效率，满足未来发展需求。</w:t>
      </w:r>
    </w:p>
    <w:p w14:paraId="304EC627">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科研用地</w:t>
      </w:r>
    </w:p>
    <w:p w14:paraId="7A137F1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保留位于松滨大街与东环路交叉口东南侧的绥滨同康医药有限公司，规划在一中南侧新建一处科技研发中心预留用地。</w:t>
      </w:r>
    </w:p>
    <w:p w14:paraId="721B3C4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文化用地</w:t>
      </w:r>
    </w:p>
    <w:p w14:paraId="4BED0C8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保留现状滨北路旁的青少年活动中心，并在林茂街南侧，滨北路西侧新建一处县级图书馆，满足人民需求；规划在一中东侧新建一中图书馆，满足学生文化需求。基层文化设施（文化活动站等）与社区居委会等公共服务设施合并设置，形成社区综合服务中心，在现有基础上完善设施建设。</w:t>
      </w:r>
    </w:p>
    <w:p w14:paraId="4DB7C04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教育用地</w:t>
      </w:r>
    </w:p>
    <w:p w14:paraId="0DD6F4E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sz w:val="32"/>
          <w:szCs w:val="32"/>
          <w:highlight w:val="none"/>
          <w:lang w:val="en-US" w:eastAsia="zh-CN"/>
        </w:rPr>
        <w:t>规划保留中心城区现有教育用地，并逐步完善相关配套设施。同时，按照服务半径，规划新建三所幼儿园，在西部新建一所老年大学。规划完善位于通达路和学子街交口的职业学校，满足教学需要、扩大办学规模。</w:t>
      </w:r>
    </w:p>
    <w:p w14:paraId="38BD7921">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五、</w:t>
      </w:r>
      <w:r>
        <w:rPr>
          <w:rFonts w:hint="default" w:ascii="Times New Roman" w:hAnsi="Times New Roman" w:eastAsia="楷体_GB2312" w:cs="Times New Roman"/>
          <w:b w:val="0"/>
          <w:bCs w:val="0"/>
          <w:color w:val="auto"/>
          <w:sz w:val="32"/>
          <w:szCs w:val="32"/>
          <w:highlight w:val="none"/>
          <w:lang w:val="en-US" w:eastAsia="zh-CN"/>
        </w:rPr>
        <w:t>体育用地</w:t>
      </w:r>
    </w:p>
    <w:p w14:paraId="44A135C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color w:val="auto"/>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保留现状城区北侧以及沿江体育用地，逐步完善配套设施，并在振兴大街西段南侧新建一处集滑冰馆、游泳馆、健身中心于一体的活动场地以及新建一处足球场；沿江公园内新建一处集足球场、篮球场、网球场于一体的体育健身场地。根据社区生活圈标准，结合公园绿地统筹布置多功能运动场地，实现体育设施全覆盖，丰富人民日常健身需求。</w:t>
      </w:r>
    </w:p>
    <w:p w14:paraId="2488DC1D">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六、</w:t>
      </w:r>
      <w:r>
        <w:rPr>
          <w:rFonts w:hint="default" w:ascii="Times New Roman" w:hAnsi="Times New Roman" w:eastAsia="楷体_GB2312" w:cs="Times New Roman"/>
          <w:b w:val="0"/>
          <w:bCs w:val="0"/>
          <w:color w:val="auto"/>
          <w:sz w:val="32"/>
          <w:szCs w:val="32"/>
          <w:highlight w:val="none"/>
          <w:lang w:val="en-US" w:eastAsia="zh-CN"/>
        </w:rPr>
        <w:t>医疗卫生用地</w:t>
      </w:r>
    </w:p>
    <w:p w14:paraId="3B7BF60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保留现状绥滨县人民医院、绥滨县中医院、绥滨镇卫生院、绥滨县妇幼保健院、疾病预防控制中心等用地，新建一处方舱医院位于红星大街南侧、奋斗路东侧。规划构建以社区为中心，社区养老综合服务和公共卫生服务体系紧密衔接、融合发展的养老格局。规划在西部外事办北侧新建绥滨县社区卫生智能化接种中心综合楼和绥滨县疾病预防控制中心检验检测综合楼。</w:t>
      </w:r>
    </w:p>
    <w:p w14:paraId="39FFE85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七、</w:t>
      </w:r>
      <w:r>
        <w:rPr>
          <w:rFonts w:hint="default" w:ascii="Times New Roman" w:hAnsi="Times New Roman" w:eastAsia="楷体_GB2312" w:cs="Times New Roman"/>
          <w:b w:val="0"/>
          <w:bCs w:val="0"/>
          <w:color w:val="auto"/>
          <w:sz w:val="32"/>
          <w:szCs w:val="32"/>
          <w:highlight w:val="none"/>
          <w:lang w:val="en-US" w:eastAsia="zh-CN"/>
        </w:rPr>
        <w:t>社会福利用地</w:t>
      </w:r>
    </w:p>
    <w:p w14:paraId="120A5C0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规划扩建慈惠康宁养老机构养老护理楼并完善相应配套设施；维修改造绥滨县社会综合福利院，在其院内新建流浪乞讨救助站项目、儿童福利院建设项目。规划四个社区各新建一处老年人日间照料服务中心，与社区居委会等社区级设施合并设置且不独立占地，形成社区综合服务中心，在现有基础上完善设施建设。</w:t>
      </w:r>
    </w:p>
    <w:p w14:paraId="6C8D58E1">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sz w:val="32"/>
          <w:szCs w:val="32"/>
          <w:highlight w:val="none"/>
          <w:lang w:val="en-US" w:eastAsia="zh-CN"/>
        </w:rPr>
        <w:t>八、</w:t>
      </w:r>
      <w:r>
        <w:rPr>
          <w:rFonts w:hint="default" w:ascii="Times New Roman" w:hAnsi="Times New Roman" w:eastAsia="楷体_GB2312" w:cs="Times New Roman"/>
          <w:b w:val="0"/>
          <w:bCs w:val="0"/>
          <w:color w:val="auto"/>
          <w:sz w:val="32"/>
          <w:szCs w:val="32"/>
          <w:highlight w:val="none"/>
          <w:lang w:val="en-US" w:eastAsia="zh-CN"/>
        </w:rPr>
        <w:t>社区生活圈规划</w:t>
      </w:r>
    </w:p>
    <w:p w14:paraId="552C3BD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u w:val="none"/>
          <w:lang w:val="en-US" w:eastAsia="zh-CN"/>
        </w:rPr>
        <w:t>中心城区构建</w:t>
      </w:r>
      <w:r>
        <w:rPr>
          <w:rFonts w:hint="eastAsia" w:ascii="Times New Roman" w:hAnsi="Times New Roman" w:eastAsia="仿宋_GB2312" w:cs="Times New Roman"/>
          <w:color w:val="auto"/>
          <w:sz w:val="32"/>
          <w:szCs w:val="32"/>
          <w:highlight w:val="none"/>
          <w:u w:val="none"/>
          <w:lang w:val="en-US" w:eastAsia="zh-CN"/>
        </w:rPr>
        <w:t>“</w:t>
      </w:r>
      <w:r>
        <w:rPr>
          <w:rFonts w:hint="default" w:ascii="Times New Roman" w:hAnsi="Times New Roman" w:eastAsia="仿宋_GB2312" w:cs="Times New Roman"/>
          <w:color w:val="auto"/>
          <w:sz w:val="32"/>
          <w:szCs w:val="32"/>
          <w:highlight w:val="none"/>
          <w:u w:val="none"/>
          <w:lang w:val="en-US" w:eastAsia="zh-CN"/>
        </w:rPr>
        <w:t>县级</w:t>
      </w:r>
      <w:r>
        <w:rPr>
          <w:rFonts w:hint="eastAsia" w:ascii="Times New Roman" w:hAnsi="Times New Roman" w:eastAsia="仿宋_GB2312" w:cs="Times New Roman"/>
          <w:color w:val="auto"/>
          <w:sz w:val="32"/>
          <w:szCs w:val="32"/>
          <w:highlight w:val="none"/>
          <w:u w:val="none"/>
          <w:lang w:val="en-US" w:eastAsia="zh-CN"/>
        </w:rPr>
        <w:t>—</w:t>
      </w:r>
      <w:r>
        <w:rPr>
          <w:rFonts w:hint="default" w:ascii="Times New Roman" w:hAnsi="Times New Roman" w:eastAsia="仿宋_GB2312" w:cs="Times New Roman"/>
          <w:color w:val="auto"/>
          <w:sz w:val="32"/>
          <w:szCs w:val="32"/>
          <w:highlight w:val="none"/>
          <w:u w:val="none"/>
          <w:lang w:val="en-US" w:eastAsia="zh-CN"/>
        </w:rPr>
        <w:t>社区级</w:t>
      </w:r>
      <w:r>
        <w:rPr>
          <w:rFonts w:hint="eastAsia" w:ascii="Times New Roman" w:hAnsi="Times New Roman" w:eastAsia="仿宋_GB2312" w:cs="Times New Roman"/>
          <w:color w:val="auto"/>
          <w:sz w:val="32"/>
          <w:szCs w:val="32"/>
          <w:highlight w:val="none"/>
          <w:u w:val="none"/>
          <w:lang w:val="en-US" w:eastAsia="zh-CN"/>
        </w:rPr>
        <w:t>”</w:t>
      </w:r>
      <w:r>
        <w:rPr>
          <w:rFonts w:hint="default" w:ascii="Times New Roman" w:hAnsi="Times New Roman" w:eastAsia="仿宋_GB2312" w:cs="Times New Roman"/>
          <w:color w:val="auto"/>
          <w:sz w:val="32"/>
          <w:szCs w:val="32"/>
          <w:highlight w:val="none"/>
          <w:u w:val="none"/>
          <w:lang w:val="en-US" w:eastAsia="zh-CN"/>
        </w:rPr>
        <w:t>二级公共服务设施体系</w:t>
      </w:r>
      <w:r>
        <w:rPr>
          <w:rFonts w:hint="default" w:ascii="Times New Roman" w:hAnsi="Times New Roman" w:eastAsia="仿宋_GB2312" w:cs="Times New Roman"/>
          <w:color w:val="auto"/>
          <w:sz w:val="32"/>
          <w:szCs w:val="32"/>
          <w:highlight w:val="none"/>
          <w:lang w:val="en-US" w:eastAsia="zh-CN"/>
        </w:rPr>
        <w:t>，构建全民共享、便捷实用的优质公共服务体系，引入一批高品质公共服务设施，提升全县公共服务水平，增强对人才的吸引力。基于常住人口的空间分布，形成</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15分钟</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10分钟</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5分钟</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三级社区生活圈完善社区公共服务体系。围绕三级社区生活圈建立服务设施配置标准，并明确服务内容和设置要求，满足居民在社区内获得多种类型的</w:t>
      </w:r>
      <w:r>
        <w:rPr>
          <w:rFonts w:hint="eastAsia" w:ascii="Times New Roman" w:hAnsi="Times New Roman" w:eastAsia="仿宋_GB2312" w:cs="Times New Roman"/>
          <w:color w:val="auto"/>
          <w:sz w:val="32"/>
          <w:szCs w:val="32"/>
          <w:highlight w:val="none"/>
          <w:lang w:val="en-US" w:eastAsia="zh-CN"/>
        </w:rPr>
        <w:t>基本公共服务</w:t>
      </w:r>
      <w:r>
        <w:rPr>
          <w:rFonts w:hint="default" w:ascii="Times New Roman" w:hAnsi="Times New Roman" w:eastAsia="仿宋_GB2312" w:cs="Times New Roman"/>
          <w:color w:val="auto"/>
          <w:sz w:val="32"/>
          <w:szCs w:val="32"/>
          <w:highlight w:val="none"/>
          <w:lang w:val="en-US" w:eastAsia="zh-CN"/>
        </w:rPr>
        <w:t>。</w:t>
      </w:r>
    </w:p>
    <w:p w14:paraId="547CF5E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规划期末，构建覆盖中心城区的15分钟社区生活圈2个，服务人口5万人以上；每个15分钟生活圈内形成2个10分钟生活圈，服务人口2万人左右；5分钟生活圈为中小型居住区，以街坊为单位划定。</w:t>
      </w:r>
    </w:p>
    <w:p w14:paraId="67E40A3A">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64" w:name="_Toc27647"/>
      <w:bookmarkStart w:id="165" w:name="_Toc6002"/>
      <w:r>
        <w:rPr>
          <w:rFonts w:hint="eastAsia" w:ascii="Times New Roman" w:hAnsi="Times New Roman" w:eastAsia="黑体" w:cs="Times New Roman"/>
          <w:b w:val="0"/>
          <w:bCs w:val="0"/>
          <w:color w:val="auto"/>
          <w:sz w:val="32"/>
          <w:szCs w:val="32"/>
          <w:highlight w:val="none"/>
          <w:lang w:val="en-US" w:eastAsia="zh-CN"/>
        </w:rPr>
        <w:t>优化</w:t>
      </w:r>
      <w:r>
        <w:rPr>
          <w:rFonts w:hint="default" w:ascii="Times New Roman" w:hAnsi="Times New Roman" w:eastAsia="黑体" w:cs="Times New Roman"/>
          <w:b w:val="0"/>
          <w:bCs w:val="0"/>
          <w:color w:val="auto"/>
          <w:sz w:val="32"/>
          <w:szCs w:val="32"/>
          <w:highlight w:val="none"/>
          <w:lang w:val="en-US" w:eastAsia="zh-CN"/>
        </w:rPr>
        <w:t>公共绿地与开敞空间</w:t>
      </w:r>
      <w:bookmarkEnd w:id="164"/>
      <w:bookmarkEnd w:id="165"/>
    </w:p>
    <w:p w14:paraId="4BBDFBAD">
      <w:pPr>
        <w:pStyle w:val="29"/>
        <w:pageBreakBefore w:val="0"/>
        <w:kinsoku/>
        <w:wordWrap/>
        <w:overflowPunct/>
        <w:topLinePunct w:val="0"/>
        <w:autoSpaceDE/>
        <w:autoSpaceDN/>
        <w:bidi w:val="0"/>
        <w:adjustRightInd/>
        <w:snapToGrid/>
        <w:spacing w:line="600" w:lineRule="exact"/>
        <w:ind w:firstLine="56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规划在绥滨县中心城区内构建</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一带、一环、多节点</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的绿地景观系统。</w:t>
      </w:r>
    </w:p>
    <w:p w14:paraId="20140EB6">
      <w:pPr>
        <w:pStyle w:val="29"/>
        <w:pageBreakBefore w:val="0"/>
        <w:kinsoku/>
        <w:wordWrap/>
        <w:overflowPunct/>
        <w:topLinePunct w:val="0"/>
        <w:autoSpaceDE/>
        <w:autoSpaceDN/>
        <w:bidi w:val="0"/>
        <w:adjustRightInd/>
        <w:snapToGrid/>
        <w:spacing w:line="600" w:lineRule="exact"/>
        <w:ind w:firstLine="56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一带：</w:t>
      </w:r>
      <w:r>
        <w:rPr>
          <w:rFonts w:hint="default" w:ascii="Times New Roman" w:hAnsi="Times New Roman" w:eastAsia="仿宋_GB2312" w:cs="Times New Roman"/>
          <w:color w:val="auto"/>
          <w:sz w:val="32"/>
          <w:szCs w:val="32"/>
          <w:highlight w:val="none"/>
          <w:lang w:val="en-US" w:eastAsia="zh-CN"/>
        </w:rPr>
        <w:t>松花江沿江景观带，是区域重要的绿地系统，规划沿松花江景观带建设（扩建）儿童公园、沿江公园、阳光公园、东辉公园及盆景园，实施严格的景观保护措施。</w:t>
      </w:r>
    </w:p>
    <w:p w14:paraId="541D3608">
      <w:pPr>
        <w:pStyle w:val="29"/>
        <w:pageBreakBefore w:val="0"/>
        <w:kinsoku/>
        <w:wordWrap/>
        <w:overflowPunct/>
        <w:topLinePunct w:val="0"/>
        <w:autoSpaceDE/>
        <w:autoSpaceDN/>
        <w:bidi w:val="0"/>
        <w:adjustRightInd/>
        <w:snapToGrid/>
        <w:spacing w:line="600" w:lineRule="exact"/>
        <w:ind w:firstLine="56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一环：</w:t>
      </w:r>
      <w:r>
        <w:rPr>
          <w:rFonts w:hint="default" w:ascii="Times New Roman" w:hAnsi="Times New Roman" w:eastAsia="仿宋_GB2312" w:cs="Times New Roman"/>
          <w:color w:val="auto"/>
          <w:sz w:val="32"/>
          <w:szCs w:val="32"/>
          <w:highlight w:val="none"/>
          <w:lang w:val="en-US" w:eastAsia="zh-CN"/>
        </w:rPr>
        <w:t>沿红星大街、东环路、西环路和沿江街规划形成环形景观系统。</w:t>
      </w:r>
    </w:p>
    <w:p w14:paraId="45C32BC7">
      <w:pPr>
        <w:pStyle w:val="29"/>
        <w:pageBreakBefore w:val="0"/>
        <w:kinsoku/>
        <w:wordWrap/>
        <w:overflowPunct/>
        <w:topLinePunct w:val="0"/>
        <w:autoSpaceDE/>
        <w:autoSpaceDN/>
        <w:bidi w:val="0"/>
        <w:adjustRightInd/>
        <w:snapToGrid/>
        <w:spacing w:line="600" w:lineRule="exact"/>
        <w:ind w:firstLine="56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多节点：</w:t>
      </w:r>
      <w:r>
        <w:rPr>
          <w:rFonts w:hint="default" w:ascii="Times New Roman" w:hAnsi="Times New Roman" w:eastAsia="仿宋_GB2312" w:cs="Times New Roman"/>
          <w:color w:val="auto"/>
          <w:sz w:val="32"/>
          <w:szCs w:val="32"/>
          <w:highlight w:val="none"/>
          <w:lang w:val="en-US" w:eastAsia="zh-CN"/>
        </w:rPr>
        <w:t>规划结合城区用地布局设置综合公园、社区级公园、街旁绿地与滨水及街头绿地，为居民提供便利的日常活动空间。</w:t>
      </w:r>
    </w:p>
    <w:p w14:paraId="47E11A08">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66" w:name="_Toc3147"/>
      <w:r>
        <w:rPr>
          <w:rFonts w:hint="eastAsia" w:ascii="Times New Roman" w:hAnsi="Times New Roman" w:eastAsia="黑体" w:cs="Times New Roman"/>
          <w:b w:val="0"/>
          <w:bCs w:val="0"/>
          <w:color w:val="auto"/>
          <w:sz w:val="32"/>
          <w:szCs w:val="32"/>
          <w:highlight w:val="none"/>
          <w:lang w:val="en-US" w:eastAsia="zh-CN"/>
        </w:rPr>
        <w:t>构建</w:t>
      </w:r>
      <w:r>
        <w:rPr>
          <w:rFonts w:hint="default" w:ascii="Times New Roman" w:hAnsi="Times New Roman" w:eastAsia="黑体" w:cs="Times New Roman"/>
          <w:b w:val="0"/>
          <w:bCs w:val="0"/>
          <w:color w:val="auto"/>
          <w:sz w:val="32"/>
          <w:szCs w:val="32"/>
          <w:highlight w:val="none"/>
          <w:lang w:val="en-US" w:eastAsia="zh-CN"/>
        </w:rPr>
        <w:t>综合交通</w:t>
      </w:r>
      <w:bookmarkEnd w:id="160"/>
      <w:bookmarkEnd w:id="161"/>
      <w:r>
        <w:rPr>
          <w:rFonts w:hint="eastAsia" w:ascii="Times New Roman" w:hAnsi="Times New Roman" w:eastAsia="黑体" w:cs="Times New Roman"/>
          <w:b w:val="0"/>
          <w:bCs w:val="0"/>
          <w:color w:val="auto"/>
          <w:sz w:val="32"/>
          <w:szCs w:val="32"/>
          <w:highlight w:val="none"/>
          <w:lang w:val="en-US" w:eastAsia="zh-CN"/>
        </w:rPr>
        <w:t>体系</w:t>
      </w:r>
      <w:bookmarkEnd w:id="166"/>
    </w:p>
    <w:p w14:paraId="56F45B4D">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路网规划</w:t>
      </w:r>
    </w:p>
    <w:p w14:paraId="3780CB5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规划形成</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环形+方格网状</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道路网结构。主干路红线宽30</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40米，是以满足交通运输和生活性客运要求为主要功能的道路，承担城市内部与边缘地区之间以及各功能片区之间的交通流量。次干路红线宽25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40米，是以满足交通疏散兼以服务功能为主要的道路。支路红线宽为10</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30米，作为到达性道路，是进出街坊、居住区和承担短距离交通的主要道路，是城市道路系统的重要组成部分。</w:t>
      </w:r>
    </w:p>
    <w:p w14:paraId="0CACC7A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停车场规划</w:t>
      </w:r>
    </w:p>
    <w:p w14:paraId="149C8B7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公共停车场重点考虑的地段是商业中心和城市出入口部位以及重点开发地区。自行车公共停车场宜利用零星用地分散分布，并在详细规划中予以落实，分摊在各开发地块之中。</w:t>
      </w:r>
    </w:p>
    <w:p w14:paraId="182DEF37">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公共交通规划</w:t>
      </w:r>
    </w:p>
    <w:p w14:paraId="6D0DBD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依托城镇发展方向，</w:t>
      </w:r>
      <w:r>
        <w:rPr>
          <w:rFonts w:hint="eastAsia" w:ascii="Times New Roman" w:hAnsi="Times New Roman" w:eastAsia="仿宋_GB2312" w:cs="Times New Roman"/>
          <w:color w:val="auto"/>
          <w:sz w:val="32"/>
          <w:szCs w:val="32"/>
          <w:highlight w:val="none"/>
          <w:lang w:val="en-US" w:eastAsia="zh-CN"/>
        </w:rPr>
        <w:t>以</w:t>
      </w:r>
      <w:r>
        <w:rPr>
          <w:rFonts w:hint="default" w:ascii="Times New Roman" w:hAnsi="Times New Roman" w:eastAsia="仿宋_GB2312" w:cs="Times New Roman"/>
          <w:color w:val="auto"/>
          <w:sz w:val="32"/>
          <w:szCs w:val="32"/>
          <w:highlight w:val="none"/>
          <w:lang w:val="en-US" w:eastAsia="zh-CN"/>
        </w:rPr>
        <w:t>行政文化和商贸金融为中心，以大世界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大市场和工业园区城市发展轴，连接中心片区、城南片区、城东片区这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一心、一轴、两片区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的布局结构发展优化公交线网。</w:t>
      </w:r>
    </w:p>
    <w:bookmarkEnd w:id="162"/>
    <w:bookmarkEnd w:id="163"/>
    <w:p w14:paraId="44A5111B">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67" w:name="_Toc11455"/>
      <w:bookmarkStart w:id="168" w:name="_Toc4881"/>
      <w:bookmarkStart w:id="169" w:name="_Toc18495"/>
      <w:bookmarkStart w:id="170" w:name="_Toc26698"/>
      <w:r>
        <w:rPr>
          <w:rFonts w:hint="eastAsia" w:ascii="Times New Roman" w:hAnsi="Times New Roman" w:eastAsia="黑体" w:cs="Times New Roman"/>
          <w:b w:val="0"/>
          <w:bCs w:val="0"/>
          <w:color w:val="auto"/>
          <w:sz w:val="32"/>
          <w:szCs w:val="32"/>
          <w:highlight w:val="none"/>
          <w:lang w:val="en-US" w:eastAsia="zh-CN"/>
        </w:rPr>
        <w:t>完善</w:t>
      </w:r>
      <w:r>
        <w:rPr>
          <w:rFonts w:hint="default" w:ascii="Times New Roman" w:hAnsi="Times New Roman" w:eastAsia="黑体" w:cs="Times New Roman"/>
          <w:b w:val="0"/>
          <w:bCs w:val="0"/>
          <w:color w:val="auto"/>
          <w:sz w:val="32"/>
          <w:szCs w:val="32"/>
          <w:highlight w:val="none"/>
          <w:lang w:val="en-US" w:eastAsia="zh-CN"/>
        </w:rPr>
        <w:t>市政</w:t>
      </w:r>
      <w:r>
        <w:rPr>
          <w:rFonts w:hint="eastAsia" w:ascii="Times New Roman" w:hAnsi="Times New Roman" w:eastAsia="黑体" w:cs="Times New Roman"/>
          <w:b w:val="0"/>
          <w:bCs w:val="0"/>
          <w:color w:val="auto"/>
          <w:sz w:val="32"/>
          <w:szCs w:val="32"/>
          <w:highlight w:val="none"/>
          <w:lang w:val="en-US" w:eastAsia="zh-CN"/>
        </w:rPr>
        <w:t>公用</w:t>
      </w:r>
      <w:r>
        <w:rPr>
          <w:rFonts w:hint="default" w:ascii="Times New Roman" w:hAnsi="Times New Roman" w:eastAsia="黑体" w:cs="Times New Roman"/>
          <w:b w:val="0"/>
          <w:bCs w:val="0"/>
          <w:color w:val="auto"/>
          <w:sz w:val="32"/>
          <w:szCs w:val="32"/>
          <w:highlight w:val="none"/>
          <w:lang w:val="en-US" w:eastAsia="zh-CN"/>
        </w:rPr>
        <w:t>设施</w:t>
      </w:r>
      <w:bookmarkEnd w:id="167"/>
      <w:bookmarkEnd w:id="168"/>
      <w:bookmarkEnd w:id="169"/>
    </w:p>
    <w:bookmarkEnd w:id="170"/>
    <w:p w14:paraId="64CFA46F">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给水工程规划</w:t>
      </w:r>
    </w:p>
    <w:p w14:paraId="5D1FBBBB">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以建立资源节约型城市为目标，开源与节流并重，合理利用水资源，改善城市人居环境。完善城区供水设施和供水管网，实现水资源高效利用，为中心城区经济社会可持续发展提供供水保障。</w:t>
      </w:r>
    </w:p>
    <w:p w14:paraId="104EBBE9">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规划中心城区采用环状给水管网，新建道路随道路修建敷设给水管道，对新建道路，根据用水需求情况，随道路修建敷设给水管道；对中心城区内比较陈旧的管道按计划更新改造，并完善消防供水给水管网，以保证供水安全可靠。</w:t>
      </w:r>
    </w:p>
    <w:p w14:paraId="4F25415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排水工程规划</w:t>
      </w:r>
    </w:p>
    <w:p w14:paraId="4200AC18">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规划新区采用雨污分流排水体制；老城区由截流式合流制排水系统逐步改造为雨污分流制排水系统。按照排水分区，充分利用现有主干管系统，充分利用地形的自然坡度布置污水干管。主干管按照远期流量进行规划建设，并考虑留有适当余地。除个别管线综合工程难以协调</w:t>
      </w:r>
      <w:r>
        <w:rPr>
          <w:rFonts w:hint="eastAsia" w:ascii="Times New Roman" w:hAnsi="Times New Roman" w:eastAsia="仿宋_GB2312" w:cs="Times New Roman"/>
          <w:color w:val="auto"/>
          <w:sz w:val="32"/>
          <w:szCs w:val="32"/>
          <w:highlight w:val="none"/>
          <w:lang w:val="en-US" w:eastAsia="zh-CN"/>
        </w:rPr>
        <w:t>外</w:t>
      </w:r>
      <w:r>
        <w:rPr>
          <w:rFonts w:hint="default" w:ascii="Times New Roman" w:hAnsi="Times New Roman" w:eastAsia="仿宋_GB2312" w:cs="Times New Roman"/>
          <w:color w:val="auto"/>
          <w:sz w:val="32"/>
          <w:szCs w:val="32"/>
          <w:highlight w:val="none"/>
          <w:lang w:val="en-US" w:eastAsia="zh-CN"/>
        </w:rPr>
        <w:t>，12米以上市政道路均要求设置污水支管。</w:t>
      </w:r>
    </w:p>
    <w:p w14:paraId="70E8B666">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雨水管网系统充分利用地形条件，雨水排放以分散就近排放为原则，雨水管渠布置满足重力流要求。规划沿中心城区光明路、滨北路、向阳路、建设路、松滨大街、东环路、渡口路等敷设雨水主干管。雨水管线主要采用原有污水管线，广场及草坪下方修建城市蓄水池，解决喷泉和绿化用水，以减轻城市雨水管网的运行负载。</w:t>
      </w:r>
    </w:p>
    <w:p w14:paraId="6B259ECF">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电力工程规划</w:t>
      </w:r>
    </w:p>
    <w:p w14:paraId="3E31B4B3">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构建高效节能、安全可靠电力供应体系。由110千伏绥县变和城东变电站作为电源。逐步实现城区配电网自动化、环网化及绝缘化建设，实行手拉手环式供电，低压线路尽量不穿越主要街道，在小区内部，低压线路埋地敷设，并积极发展太阳能、生物质能等绿色能源，不断提高综合自动化水平，提高电网的管理水平，确保电网安全可靠稳定运行。</w:t>
      </w:r>
    </w:p>
    <w:p w14:paraId="7101AAD7">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通信工程规划</w:t>
      </w:r>
    </w:p>
    <w:p w14:paraId="28A42903">
      <w:pPr>
        <w:pStyle w:val="29"/>
        <w:pageBreakBefore w:val="0"/>
        <w:widowControl w:val="0"/>
        <w:kinsoku/>
        <w:wordWrap/>
        <w:overflowPunct/>
        <w:topLinePunct w:val="0"/>
        <w:autoSpaceDE/>
        <w:autoSpaceDN/>
        <w:bidi w:val="0"/>
        <w:adjustRightInd/>
        <w:snapToGrid/>
        <w:spacing w:line="600" w:lineRule="exact"/>
        <w:ind w:firstLine="56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统筹和合理布局中心城区通信系统，加强基础通信管线、通信机房的集约化建设，加快5G网络建设，实现全网交换机数字化，广泛实现FTTC（光纤到小区）、重要用户实现FTTH（光纤入户）</w:t>
      </w:r>
      <w:r>
        <w:rPr>
          <w:rFonts w:hint="eastAsia" w:ascii="Times New Roman" w:hAnsi="Times New Roman" w:eastAsia="仿宋_GB2312" w:cs="Times New Roman"/>
          <w:color w:val="auto"/>
          <w:sz w:val="32"/>
          <w:szCs w:val="32"/>
          <w:highlight w:val="none"/>
          <w:lang w:val="en-US" w:eastAsia="zh-CN"/>
        </w:rPr>
        <w:t>。</w:t>
      </w:r>
    </w:p>
    <w:p w14:paraId="5693131D">
      <w:pPr>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扩建现状邮政支局、电信局，优化现有邮政设施网点分布，以满足中心城区的通信需求。规划光缆采用综合管沟敷设方式，根据容量预测及局所的布局，确定通信骨干网络的布局及管道规模。</w:t>
      </w:r>
    </w:p>
    <w:p w14:paraId="4170490C">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五、</w:t>
      </w:r>
      <w:r>
        <w:rPr>
          <w:rFonts w:hint="default" w:ascii="Times New Roman" w:hAnsi="Times New Roman" w:eastAsia="楷体_GB2312" w:cs="Times New Roman"/>
          <w:b w:val="0"/>
          <w:bCs w:val="0"/>
          <w:color w:val="auto"/>
          <w:sz w:val="32"/>
          <w:szCs w:val="32"/>
          <w:highlight w:val="none"/>
          <w:lang w:val="en-US" w:eastAsia="zh-CN"/>
        </w:rPr>
        <w:t>供热工程规划</w:t>
      </w:r>
    </w:p>
    <w:p w14:paraId="633C6E73">
      <w:pPr>
        <w:pStyle w:val="12"/>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城镇内由绥滨县盛蕴热电有限责任公司热源进行供热，供热能力能够满足未来发展的需要，而且多种热源共同发展的方针发展集中供热，规划机组供热时，电厂满足供热安全的要求，所以不需要再增设热源厂，但对其进行清洁改造。</w:t>
      </w:r>
    </w:p>
    <w:p w14:paraId="78D420F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六、</w:t>
      </w:r>
      <w:r>
        <w:rPr>
          <w:rFonts w:hint="default" w:ascii="Times New Roman" w:hAnsi="Times New Roman" w:eastAsia="楷体_GB2312" w:cs="Times New Roman"/>
          <w:b w:val="0"/>
          <w:bCs w:val="0"/>
          <w:color w:val="auto"/>
          <w:sz w:val="32"/>
          <w:szCs w:val="32"/>
          <w:highlight w:val="none"/>
          <w:lang w:val="en-US" w:eastAsia="zh-CN"/>
        </w:rPr>
        <w:t>燃气工程规划</w:t>
      </w:r>
    </w:p>
    <w:p w14:paraId="14B4C1F5">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鼓励使用清洁能源，加快推进资源节约型、环境友好型城市建设，统筹规划燃气输配系统，提高天然气等清洁能源利用比例。管网敷设采用直埋敷设，管道材质采用无缝钢管，主干管尽量避免敷设在主街道上，且为保证城市供气可靠性，中压干管布置成环状；在规划管位时尽量放在非机动车道、人行道或绿化带中，妥善处理好与道路及绿化的关系。</w:t>
      </w:r>
    </w:p>
    <w:p w14:paraId="7F2E528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七、</w:t>
      </w:r>
      <w:r>
        <w:rPr>
          <w:rFonts w:hint="default" w:ascii="Times New Roman" w:hAnsi="Times New Roman" w:eastAsia="楷体_GB2312" w:cs="Times New Roman"/>
          <w:b w:val="0"/>
          <w:bCs w:val="0"/>
          <w:color w:val="auto"/>
          <w:sz w:val="32"/>
          <w:szCs w:val="32"/>
          <w:highlight w:val="none"/>
          <w:lang w:val="en-US" w:eastAsia="zh-CN"/>
        </w:rPr>
        <w:t>环卫工程规划</w:t>
      </w:r>
    </w:p>
    <w:p w14:paraId="1A3B4DE7">
      <w:pPr>
        <w:pageBreakBefore w:val="0"/>
        <w:widowControl w:val="0"/>
        <w:kinsoku/>
        <w:wordWrap/>
        <w:overflowPunct/>
        <w:topLinePunct w:val="0"/>
        <w:autoSpaceDE/>
        <w:autoSpaceDN/>
        <w:bidi w:val="0"/>
        <w:adjustRightInd/>
        <w:snapToGrid w:val="0"/>
        <w:spacing w:line="600" w:lineRule="exact"/>
        <w:ind w:firstLine="640" w:firstLineChars="200"/>
        <w:jc w:val="lef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构建绿色可持续的生活垃圾收运体系。</w:t>
      </w:r>
      <w:r>
        <w:rPr>
          <w:rFonts w:hint="default" w:ascii="Times New Roman" w:hAnsi="Times New Roman" w:eastAsia="仿宋_GB2312" w:cs="Times New Roman"/>
          <w:color w:val="auto"/>
          <w:kern w:val="2"/>
          <w:sz w:val="32"/>
          <w:szCs w:val="32"/>
          <w:highlight w:val="none"/>
          <w:lang w:val="en-US" w:eastAsia="zh-CN" w:bidi="ar-SA"/>
        </w:rPr>
        <w:t>采用卫生填埋工艺处理，在规划期内仍满足处理需求。建筑垃圾、餐厨垃圾转至县域内建筑及餐厨垃圾处理厂处理。</w:t>
      </w:r>
    </w:p>
    <w:p w14:paraId="768E64A7">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71" w:name="_Toc27721"/>
      <w:bookmarkStart w:id="172" w:name="_Toc18660"/>
      <w:bookmarkStart w:id="173" w:name="_Toc13791"/>
      <w:bookmarkStart w:id="174" w:name="_Toc21237"/>
      <w:bookmarkStart w:id="175" w:name="_Toc25531"/>
      <w:r>
        <w:rPr>
          <w:rFonts w:hint="eastAsia" w:ascii="Times New Roman" w:hAnsi="Times New Roman" w:eastAsia="黑体" w:cs="Times New Roman"/>
          <w:b w:val="0"/>
          <w:bCs w:val="0"/>
          <w:color w:val="auto"/>
          <w:sz w:val="32"/>
          <w:szCs w:val="32"/>
          <w:highlight w:val="none"/>
          <w:lang w:val="en-US" w:eastAsia="zh-CN"/>
        </w:rPr>
        <w:t>塑造景观风貌与</w:t>
      </w:r>
      <w:r>
        <w:rPr>
          <w:rFonts w:hint="default" w:ascii="Times New Roman" w:hAnsi="Times New Roman" w:eastAsia="黑体" w:cs="Times New Roman"/>
          <w:b w:val="0"/>
          <w:bCs w:val="0"/>
          <w:color w:val="auto"/>
          <w:sz w:val="32"/>
          <w:szCs w:val="32"/>
          <w:highlight w:val="none"/>
          <w:lang w:val="en-US" w:eastAsia="zh-CN"/>
        </w:rPr>
        <w:t>城市设计</w:t>
      </w:r>
      <w:bookmarkEnd w:id="171"/>
      <w:bookmarkEnd w:id="172"/>
      <w:bookmarkEnd w:id="173"/>
    </w:p>
    <w:p w14:paraId="08C121B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中心城区景观风貌规划</w:t>
      </w:r>
    </w:p>
    <w:p w14:paraId="55768EA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1.风貌定位</w:t>
      </w:r>
    </w:p>
    <w:p w14:paraId="0A9C3838">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规划绥滨县城风貌定位为：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滨江古都，宜居新城</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w:t>
      </w:r>
    </w:p>
    <w:p w14:paraId="13FE61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2.建筑定位</w:t>
      </w:r>
    </w:p>
    <w:p w14:paraId="4B6C8372">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建筑结构应当符合城市文脉，绥滨县的城市建筑创作应融合寒地气候、时代文化、时代特点，在保留和升华现有建筑形态特征的基础上，将新兴文化思想有机融入动态发展的城市建筑文脉之中，形成独特的地域主义建筑观。规划采取简欧与现代两种主要建筑风格，实现文化融合，居有所属。建筑色彩通过提取现状建筑及环境的颜色，形成暖且绿、柔和温馨，舒适宜人的城市形象。</w:t>
      </w:r>
    </w:p>
    <w:p w14:paraId="12EC78D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3.中心城区总体景观框架</w:t>
      </w:r>
    </w:p>
    <w:p w14:paraId="2B878A39">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规划基于城市总体规划所确定的城市规模与格局，结合城市功能、空间格局特色，形成</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两轴、两带、四相城</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的景观结构。</w:t>
      </w:r>
    </w:p>
    <w:p w14:paraId="3669889D">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两轴</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指极核景观轴和商业景观轴。</w:t>
      </w:r>
    </w:p>
    <w:p w14:paraId="7D2DAB2F">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其中，极核景观轴沿松滨大街，是绥滨县东西向主要街道，街边建筑主要为现代化行政办公及商业服务功能，应体现温馨、亲切的活力氛围。商业景观轴沿奋斗路，是城区商业主街，大型商业服务功能建筑聚集于此。设计应考虑街道东侧一层平房建筑更新，以欧式建筑体系为主；此外，两侧人行街道应与小吃街有隔离设计，保证人行街道的通畅、整洁。</w:t>
      </w:r>
    </w:p>
    <w:p w14:paraId="0069B4F9">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两带</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指滨江景观带和生态景观带。</w:t>
      </w:r>
    </w:p>
    <w:p w14:paraId="30BEC318">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其中，滨江景观带主要依托松花江和沿江公园进行设计，结合江北用地性质，兼具自然地景和人工景观，充分考虑建筑和道路、绿化、水面等环境因素，形成各种空间序列，相互汇合、渗透、转换、交叉，有机地结合在一起，构成以人的景观感知为中心的体验空间序列。生态景观带主要依托室内小河流及路边绿地形成城市分块化生态边带，构筑起带状的沿河绿色开放空间的整体城市出入口风貌。</w:t>
      </w:r>
    </w:p>
    <w:p w14:paraId="687D199E">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四相城</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指商业极核景观风貌区、工业园区景观风貌区、沿江宜居景观风貌区、生态田园景观风貌区。</w:t>
      </w:r>
    </w:p>
    <w:p w14:paraId="4F8CF3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4.中心城区风貌分区</w:t>
      </w:r>
    </w:p>
    <w:p w14:paraId="7ACCE5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（1）商业极核景观风貌区</w:t>
      </w:r>
    </w:p>
    <w:p w14:paraId="6C42DAF7">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商业极核景观风貌区由松滨大街、东辉路、振兴大街、西环路围合而成。其中多为公共服务建筑、商业服务建筑及多层住宅，建筑风格应以简欧为主，色彩偏重于暖色，建筑色彩的基调色应选用米黄色、淡褐色等色彩。</w:t>
      </w:r>
    </w:p>
    <w:p w14:paraId="6C5A94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（2）工业园区景观风貌区</w:t>
      </w:r>
    </w:p>
    <w:p w14:paraId="644ADF09">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工业园区景观风貌区由通达路、东辉路、松滨东街、振荣街围合而成。其中多为工业用地，以新能源产业、酒业、粮食储备、物流园区为主。其建筑风格应简约大方，体现生态工业特征。</w:t>
      </w:r>
    </w:p>
    <w:p w14:paraId="62C3A9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（3）沿江宜居景观风貌区</w:t>
      </w:r>
    </w:p>
    <w:p w14:paraId="5B5EE6D1">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沿江宜居景观风貌区由沿江街、通江路、松滨大街、傲来村围合而成。其中建筑多为多层住宅，辅以小型商业服务建筑。建筑应结合滨水的优异环境，以与自然和谐的低层建筑为主，体现城市与自然、人文景观的共生。</w:t>
      </w:r>
    </w:p>
    <w:p w14:paraId="6407FC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（4）现代宜居景观风貌区</w:t>
      </w:r>
    </w:p>
    <w:p w14:paraId="12BBC57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现代田园景观风貌区由东辉路、振兴大街、滨北路、红星大街围合而成。建筑风格主要延续老城风貌，同时展示现代社区建设风貌，居住建筑宜采用坡顶，形式活泼，分组分团，个性鲜明。</w:t>
      </w:r>
    </w:p>
    <w:p w14:paraId="034B306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分区管控</w:t>
      </w:r>
    </w:p>
    <w:p w14:paraId="5E4DBD54">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根据空间结构与组团功能，将中心城区分为四个色彩控制分区，分别为：东部产业区、西部综合区、中部休闲区、村庄发展区。</w:t>
      </w:r>
    </w:p>
    <w:p w14:paraId="19B6F83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重点控制区及控制要求</w:t>
      </w:r>
    </w:p>
    <w:p w14:paraId="48B55C6C">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对城市重要地段编制城市设计，提出地块的引导性指标，内容包括形式、色彩、体量、风格。根据各地段在城市景观中所处的位置及其重要性，将中心城区划分为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重点控制区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和</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一般控制区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重点控制区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为行政文化区、商业金融区和居住区的核心地段，规划中将对其建筑形式、色彩、体量和风格提出引导性控制要求。</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一般控制区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为工业用地、仓储用地等，将其作为城市形象的肌理，以统一的风格塑造特性鲜明的城市基调。</w:t>
      </w:r>
    </w:p>
    <w:p w14:paraId="416894F2">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重点控制区以紧凑高效发展、提升公共活力、彰显空间特色为主要设计目标。明确中心区的职能定位，鼓励功能混合与空间高效紧凑利用。构建以人为本、富有特色的公共空间系统。加强建筑高度、形体和界面的设计引导，鼓励建筑底层与街道空间的互动。建立功能与交通组织的有机联系，充分利用地下空间进行建设。</w:t>
      </w:r>
    </w:p>
    <w:p w14:paraId="6CBE07B5">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76" w:name="_Toc11564"/>
      <w:r>
        <w:rPr>
          <w:rFonts w:hint="default" w:ascii="Times New Roman" w:hAnsi="Times New Roman" w:eastAsia="黑体" w:cs="Times New Roman"/>
          <w:b w:val="0"/>
          <w:bCs w:val="0"/>
          <w:color w:val="auto"/>
          <w:sz w:val="32"/>
          <w:szCs w:val="32"/>
          <w:highlight w:val="none"/>
          <w:lang w:val="en-US" w:eastAsia="zh-CN"/>
        </w:rPr>
        <w:t>公共安全与综合防灾</w:t>
      </w:r>
      <w:bookmarkEnd w:id="174"/>
      <w:bookmarkEnd w:id="175"/>
      <w:bookmarkEnd w:id="176"/>
    </w:p>
    <w:p w14:paraId="6F8C3A6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公共安全</w:t>
      </w:r>
    </w:p>
    <w:p w14:paraId="14D70C2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color w:val="auto"/>
          <w:sz w:val="32"/>
          <w:szCs w:val="32"/>
          <w:highlight w:val="none"/>
          <w:lang w:val="en-US" w:eastAsia="zh-CN"/>
        </w:rPr>
        <w:t>建立社会公共应急管理机制，确立全社会安全管理总体目标，综合运用工程技术及法律、经济、教育等手段，全面提高城市的安全应急管理能力。</w:t>
      </w:r>
    </w:p>
    <w:p w14:paraId="74E493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1.从城市社区抓起，建立多层次的城市安全管理和救援体系，制定应对各种极端事件</w:t>
      </w:r>
      <w:r>
        <w:rPr>
          <w:rFonts w:hint="eastAsia" w:ascii="Times New Roman" w:hAnsi="Times New Roman" w:eastAsia="仿宋_GB2312" w:cs="Times New Roman"/>
          <w:b w:val="0"/>
          <w:bCs w:val="0"/>
          <w:color w:val="auto"/>
          <w:sz w:val="32"/>
          <w:szCs w:val="32"/>
          <w:highlight w:val="none"/>
          <w:lang w:val="en-US" w:eastAsia="zh-CN"/>
        </w:rPr>
        <w:t>科学</w:t>
      </w:r>
      <w:r>
        <w:rPr>
          <w:rFonts w:hint="default" w:ascii="Times New Roman" w:hAnsi="Times New Roman" w:eastAsia="仿宋_GB2312" w:cs="Times New Roman"/>
          <w:b w:val="0"/>
          <w:bCs w:val="0"/>
          <w:color w:val="auto"/>
          <w:sz w:val="32"/>
          <w:szCs w:val="32"/>
          <w:highlight w:val="none"/>
          <w:lang w:val="en-US" w:eastAsia="zh-CN"/>
        </w:rPr>
        <w:t>的紧急预案。</w:t>
      </w:r>
    </w:p>
    <w:p w14:paraId="1E0D67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2.强化城市紧急事件的管理，在关注以往发生过的地质灾害、气象灾害、恐怖袭击、经济恐慌等新灾害源的同时，重点放在综合公共安全的防治上。</w:t>
      </w:r>
    </w:p>
    <w:p w14:paraId="011AC8A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3.政府建立应对突发事件的应急中心和协调机构，组建抢险救灾的专业队伍。应对各种灾害和突发事件，有各种相应的预案，并建立相应的救援体系，平时训练和演习，做好必要的物资准备。</w:t>
      </w:r>
    </w:p>
    <w:p w14:paraId="5F7A73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4.对居民进行安全教育，通过各种媒体普及救灾和自救知识，增强抗灾救灾的意识，一旦碰到突发事件，做到听从指挥，临危不乱。对一些特大突发事件，经群众举报到应急指挥中心，由应急指挥中心统一指挥，各部门各司其职。</w:t>
      </w:r>
    </w:p>
    <w:p w14:paraId="38FF0E9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重大危险源</w:t>
      </w:r>
    </w:p>
    <w:p w14:paraId="4749753A">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color w:val="auto"/>
          <w:highlight w:val="none"/>
          <w:lang w:val="en-US" w:eastAsia="zh-CN"/>
        </w:rPr>
      </w:pPr>
      <w:r>
        <w:rPr>
          <w:rFonts w:hint="default" w:ascii="Times New Roman" w:hAnsi="Times New Roman" w:eastAsia="仿宋_GB2312" w:cs="Times New Roman"/>
          <w:color w:val="auto"/>
          <w:sz w:val="32"/>
          <w:szCs w:val="32"/>
          <w:highlight w:val="none"/>
          <w:lang w:val="en-US" w:eastAsia="zh-CN"/>
        </w:rPr>
        <w:t>绥滨现状无重大危险源。规划县人民政府安全生产监督管理部门加强对拟存在重大危险源的危险化学品单位的监督检查，督促危险化学品单位做好重大危险源的辨识、安全评估及分级、登记建档、备案、监测监控、事故应急预案编制、核销和安全管理工作。在监督检查中发现重大危险源存在事故隐患的，责令排除；重大事故隐患排除前或者排除过程中无法保证安全的，责令从危险区域内撤出作业人员，暂时停产停业或者停止使用；重大事故隐患排除后，经安全生产监督管理部门审查同意，方可恢复生产经营和使用。加强对工业园区等重大危险源集中区域的监督检查，确保重大危险源与周边单位、居民区、人员密集场所等重要目标和敏感场所之间保持适当的安全距离。</w:t>
      </w:r>
    </w:p>
    <w:p w14:paraId="522EE5C8">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防洪</w:t>
      </w:r>
    </w:p>
    <w:p w14:paraId="0660770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b w:val="0"/>
          <w:bCs w:val="0"/>
          <w:color w:val="auto"/>
          <w:kern w:val="2"/>
          <w:sz w:val="32"/>
          <w:szCs w:val="32"/>
          <w:highlight w:val="none"/>
          <w:u w:val="none"/>
          <w:lang w:val="en-US" w:eastAsia="zh-CN" w:bidi="ar-SA"/>
        </w:rPr>
      </w:pPr>
      <w:r>
        <w:rPr>
          <w:rFonts w:hint="default" w:ascii="Times New Roman" w:hAnsi="Times New Roman" w:eastAsia="仿宋_GB2312" w:cs="Times New Roman"/>
          <w:b w:val="0"/>
          <w:bCs w:val="0"/>
          <w:color w:val="auto"/>
          <w:kern w:val="2"/>
          <w:sz w:val="32"/>
          <w:szCs w:val="32"/>
          <w:highlight w:val="none"/>
          <w:u w:val="none"/>
          <w:lang w:val="en-US" w:eastAsia="zh-CN" w:bidi="ar-SA"/>
        </w:rPr>
        <w:t>根据中心城区现有堤防建设情况，中心城区松花江防洪标准采用50年一遇。</w:t>
      </w:r>
    </w:p>
    <w:p w14:paraId="772249B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采取工程措施和非工程措施相结合、防洪排涝设施建设与美化城镇、保护环境相结合，在汇水区结合实际</w:t>
      </w:r>
      <w:r>
        <w:rPr>
          <w:rFonts w:hint="default" w:ascii="Times New Roman" w:hAnsi="Times New Roman" w:eastAsia="仿宋_GB2312" w:cs="Times New Roman"/>
          <w:color w:val="auto"/>
          <w:kern w:val="2"/>
          <w:sz w:val="32"/>
          <w:szCs w:val="32"/>
          <w:highlight w:val="none"/>
          <w:lang w:val="en-US" w:eastAsia="zh-CN" w:bidi="ar-SA"/>
        </w:rPr>
        <w:t>情况设截洪沟，因防洪设计影响造成的内涝，应采取必要的排涝设施；中心城区应完善排水系统；对冻胀的影响采取相应的防治措施。</w:t>
      </w:r>
    </w:p>
    <w:p w14:paraId="6DA7A7A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消防</w:t>
      </w:r>
    </w:p>
    <w:p w14:paraId="050779E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b w:val="0"/>
          <w:bCs w:val="0"/>
          <w:i w:val="0"/>
          <w:iCs w:val="0"/>
          <w:color w:val="auto"/>
          <w:kern w:val="2"/>
          <w:sz w:val="32"/>
          <w:szCs w:val="32"/>
          <w:highlight w:val="none"/>
          <w:u w:val="none"/>
          <w:lang w:val="en-US" w:eastAsia="zh-CN" w:bidi="ar-SA"/>
        </w:rPr>
        <w:t>中心城区现状保留一座消防站。规划一座一级消防站。</w:t>
      </w:r>
      <w:r>
        <w:rPr>
          <w:rFonts w:hint="default" w:ascii="Times New Roman" w:hAnsi="Times New Roman" w:eastAsia="仿宋_GB2312" w:cs="Times New Roman"/>
          <w:b w:val="0"/>
          <w:bCs w:val="0"/>
          <w:i w:val="0"/>
          <w:iCs w:val="0"/>
          <w:color w:val="auto"/>
          <w:kern w:val="2"/>
          <w:sz w:val="32"/>
          <w:szCs w:val="32"/>
          <w:highlight w:val="none"/>
          <w:lang w:val="en-US" w:eastAsia="zh-CN" w:bidi="ar-SA"/>
        </w:rPr>
        <w:t>消防车通道可依托于城市道路网络系统，规划干路为消防车的主要通道，消防通道应满足抗灾救灾疏散的要求，其宽度应</w:t>
      </w:r>
      <w:r>
        <w:rPr>
          <w:rFonts w:hint="default" w:ascii="Times New Roman" w:hAnsi="Times New Roman" w:eastAsia="仿宋_GB2312" w:cs="Times New Roman"/>
          <w:color w:val="auto"/>
          <w:kern w:val="2"/>
          <w:sz w:val="32"/>
          <w:szCs w:val="32"/>
          <w:highlight w:val="none"/>
          <w:lang w:val="en-US" w:eastAsia="zh-CN" w:bidi="ar-SA"/>
        </w:rPr>
        <w:t>保持在通道两侧房屋倒塌后剩余的车行道能够满足消防车通行。</w:t>
      </w:r>
    </w:p>
    <w:p w14:paraId="6162952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充分利用城市各类公园、广场、绿地、体育场及学校、单位内的广场、运动场作为城市防灾的紧急疏散、避难用地。</w:t>
      </w:r>
      <w:r>
        <w:rPr>
          <w:rFonts w:hint="default" w:ascii="Times New Roman" w:hAnsi="Times New Roman" w:eastAsia="仿宋_GB2312" w:cs="Times New Roman"/>
          <w:b w:val="0"/>
          <w:bCs w:val="0"/>
          <w:color w:val="auto"/>
          <w:kern w:val="2"/>
          <w:sz w:val="32"/>
          <w:szCs w:val="32"/>
          <w:highlight w:val="none"/>
          <w:lang w:val="en-US" w:eastAsia="zh-CN" w:bidi="ar-SA"/>
        </w:rPr>
        <w:t>规划消防供水水源以城市供水网为</w:t>
      </w:r>
      <w:r>
        <w:rPr>
          <w:rFonts w:hint="default" w:ascii="Times New Roman" w:hAnsi="Times New Roman" w:eastAsia="仿宋_GB2312" w:cs="Times New Roman"/>
          <w:color w:val="auto"/>
          <w:kern w:val="2"/>
          <w:sz w:val="32"/>
          <w:szCs w:val="32"/>
          <w:highlight w:val="none"/>
          <w:lang w:val="en-US" w:eastAsia="zh-CN" w:bidi="ar-SA"/>
        </w:rPr>
        <w:t>主，天然水为辅。</w:t>
      </w:r>
    </w:p>
    <w:p w14:paraId="048B8454">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五、</w:t>
      </w:r>
      <w:r>
        <w:rPr>
          <w:rFonts w:hint="default" w:ascii="Times New Roman" w:hAnsi="Times New Roman" w:eastAsia="楷体_GB2312" w:cs="Times New Roman"/>
          <w:b w:val="0"/>
          <w:bCs w:val="0"/>
          <w:color w:val="auto"/>
          <w:sz w:val="32"/>
          <w:szCs w:val="32"/>
          <w:highlight w:val="none"/>
          <w:lang w:val="en-US" w:eastAsia="zh-CN"/>
        </w:rPr>
        <w:t>人防</w:t>
      </w:r>
    </w:p>
    <w:p w14:paraId="253E1D3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考虑到平时防灾、战时疏散的要求，确定设立两级疏散通道，一级为主要干路，二级为次要干路。同时城市</w:t>
      </w:r>
      <w:r>
        <w:rPr>
          <w:rFonts w:hint="default" w:ascii="Times New Roman" w:hAnsi="Times New Roman" w:eastAsia="仿宋_GB2312" w:cs="Times New Roman"/>
          <w:color w:val="auto"/>
          <w:kern w:val="2"/>
          <w:sz w:val="32"/>
          <w:szCs w:val="32"/>
          <w:highlight w:val="none"/>
          <w:lang w:val="en-US" w:eastAsia="zh-CN" w:bidi="ar-SA"/>
        </w:rPr>
        <w:t>对外交通每个方向应至少有两条干路，以保证救灾与疏散交通的畅通。</w:t>
      </w:r>
    </w:p>
    <w:p w14:paraId="5997C3F1">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六、</w:t>
      </w:r>
      <w:r>
        <w:rPr>
          <w:rFonts w:hint="default" w:ascii="Times New Roman" w:hAnsi="Times New Roman" w:eastAsia="楷体_GB2312" w:cs="Times New Roman"/>
          <w:b w:val="0"/>
          <w:bCs w:val="0"/>
          <w:color w:val="auto"/>
          <w:sz w:val="32"/>
          <w:szCs w:val="32"/>
          <w:highlight w:val="none"/>
          <w:lang w:val="en-US" w:eastAsia="zh-CN"/>
        </w:rPr>
        <w:t>防震</w:t>
      </w:r>
    </w:p>
    <w:p w14:paraId="2F92F6B3">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kern w:val="2"/>
          <w:sz w:val="32"/>
          <w:szCs w:val="32"/>
          <w:highlight w:val="none"/>
          <w:u w:val="none"/>
          <w:lang w:val="en-US" w:eastAsia="zh-CN" w:bidi="ar-SA"/>
        </w:rPr>
      </w:pPr>
      <w:r>
        <w:rPr>
          <w:rFonts w:hint="default" w:ascii="Times New Roman" w:hAnsi="Times New Roman" w:eastAsia="仿宋_GB2312" w:cs="Times New Roman"/>
          <w:color w:val="auto"/>
          <w:kern w:val="2"/>
          <w:sz w:val="32"/>
          <w:szCs w:val="32"/>
          <w:highlight w:val="none"/>
          <w:u w:val="none"/>
          <w:lang w:val="en-US" w:eastAsia="zh-CN" w:bidi="ar-SA"/>
        </w:rPr>
        <w:t>根据《中国地震动参数区划图》（GB18306-2015）及其技术要素和使用规定，绥滨县地震动参数为0.05g（相当于烈度VI度区），按地震烈度VI度设防，生命线工程提高一度设防。</w:t>
      </w:r>
    </w:p>
    <w:p w14:paraId="4FC0352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规划将城市干路定为震时居民疏散和救灾货物运输的主通道。在发生破坏性地震时，保证疏散通道畅通，并彼此构成环路及有两个以上出入口与居民区连接。对通向避震场所的道路设置明显路标。</w:t>
      </w:r>
    </w:p>
    <w:p w14:paraId="75185FD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七、</w:t>
      </w:r>
      <w:r>
        <w:rPr>
          <w:rFonts w:hint="default" w:ascii="Times New Roman" w:hAnsi="Times New Roman" w:eastAsia="楷体_GB2312" w:cs="Times New Roman"/>
          <w:b w:val="0"/>
          <w:bCs w:val="0"/>
          <w:color w:val="auto"/>
          <w:sz w:val="32"/>
          <w:szCs w:val="32"/>
          <w:highlight w:val="none"/>
          <w:lang w:val="en-US" w:eastAsia="zh-CN"/>
        </w:rPr>
        <w:t>应急救援场所</w:t>
      </w:r>
    </w:p>
    <w:p w14:paraId="302513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sz w:val="32"/>
          <w:szCs w:val="32"/>
          <w:highlight w:val="none"/>
          <w:lang w:val="en-US" w:eastAsia="zh-CN"/>
        </w:rPr>
        <w:t>规划绥滨县应急指挥中心为绥滨县人民政府。</w:t>
      </w:r>
      <w:r>
        <w:rPr>
          <w:rFonts w:hint="default" w:ascii="Times New Roman" w:hAnsi="Times New Roman" w:eastAsia="仿宋_GB2312" w:cs="Times New Roman"/>
          <w:b w:val="0"/>
          <w:bCs w:val="0"/>
          <w:color w:val="auto"/>
          <w:kern w:val="2"/>
          <w:sz w:val="32"/>
          <w:szCs w:val="32"/>
          <w:highlight w:val="none"/>
          <w:lang w:val="en-US" w:eastAsia="zh-CN" w:bidi="ar-SA"/>
        </w:rPr>
        <w:t>应急避难场所应优先选择地形平坦、地势较高、有利排水、交通便利，且具备一定市政基础设施的场址。可选作应急避难场所的有：公园、绿地、广场、体育场、大型体育馆、展览馆、会展中心、校舍等室内公共场所。</w:t>
      </w:r>
      <w:r>
        <w:rPr>
          <w:rFonts w:hint="default" w:ascii="Times New Roman" w:hAnsi="Times New Roman" w:eastAsia="仿宋_GB2312" w:cs="Times New Roman"/>
          <w:b w:val="0"/>
          <w:bCs w:val="0"/>
          <w:color w:val="auto"/>
          <w:sz w:val="32"/>
          <w:szCs w:val="32"/>
          <w:highlight w:val="none"/>
          <w:u w:val="none"/>
          <w:lang w:val="en-US" w:eastAsia="zh-CN"/>
        </w:rPr>
        <w:t>建设应急避难场所，中心城区人均避难场所用地不小于2平方米。</w:t>
      </w:r>
    </w:p>
    <w:p w14:paraId="3C697C3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bidi="ar-SA"/>
        </w:rPr>
        <w:t>规划将干路定为灾时居民疏散和救灾货物运输的主通道。在发生灾害时，疏散通道要保证畅通，并彼此构成环路及有两个以上出入口与居民区</w:t>
      </w:r>
      <w:r>
        <w:rPr>
          <w:rFonts w:hint="eastAsia" w:ascii="Times New Roman" w:hAnsi="Times New Roman" w:eastAsia="仿宋_GB2312" w:cs="Times New Roman"/>
          <w:b w:val="0"/>
          <w:bCs w:val="0"/>
          <w:color w:val="auto"/>
          <w:kern w:val="2"/>
          <w:sz w:val="32"/>
          <w:szCs w:val="32"/>
          <w:highlight w:val="none"/>
          <w:lang w:val="en-US" w:eastAsia="zh-CN" w:bidi="ar-SA"/>
        </w:rPr>
        <w:t>连接</w:t>
      </w:r>
      <w:r>
        <w:rPr>
          <w:rFonts w:hint="default" w:ascii="Times New Roman" w:hAnsi="Times New Roman" w:eastAsia="仿宋_GB2312" w:cs="Times New Roman"/>
          <w:b w:val="0"/>
          <w:bCs w:val="0"/>
          <w:color w:val="auto"/>
          <w:kern w:val="2"/>
          <w:sz w:val="32"/>
          <w:szCs w:val="32"/>
          <w:highlight w:val="none"/>
          <w:lang w:val="en-US" w:eastAsia="zh-CN" w:bidi="ar-SA"/>
        </w:rPr>
        <w:t>。</w:t>
      </w:r>
    </w:p>
    <w:p w14:paraId="27C2CC37">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sz w:val="32"/>
          <w:szCs w:val="32"/>
          <w:highlight w:val="none"/>
          <w:lang w:val="en-US" w:eastAsia="zh-CN"/>
        </w:rPr>
        <w:t>八、</w:t>
      </w:r>
      <w:r>
        <w:rPr>
          <w:rFonts w:hint="default" w:ascii="Times New Roman" w:hAnsi="Times New Roman" w:eastAsia="楷体_GB2312" w:cs="Times New Roman"/>
          <w:b w:val="0"/>
          <w:bCs w:val="0"/>
          <w:color w:val="auto"/>
          <w:sz w:val="32"/>
          <w:szCs w:val="32"/>
          <w:highlight w:val="none"/>
          <w:lang w:val="en-US" w:eastAsia="zh-CN"/>
        </w:rPr>
        <w:t>卫生防疫防治</w:t>
      </w:r>
    </w:p>
    <w:p w14:paraId="50D7AEC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b w:val="0"/>
          <w:bCs w:val="0"/>
          <w:color w:val="auto"/>
          <w:sz w:val="32"/>
          <w:szCs w:val="32"/>
          <w:highlight w:val="none"/>
          <w:lang w:val="en-US" w:eastAsia="zh-CN"/>
        </w:rPr>
        <w:t>完善疾病预防控制体系：</w:t>
      </w:r>
      <w:r>
        <w:rPr>
          <w:rFonts w:hint="default" w:ascii="Times New Roman" w:hAnsi="Times New Roman" w:eastAsia="仿宋_GB2312" w:cs="Times New Roman"/>
          <w:color w:val="auto"/>
          <w:kern w:val="2"/>
          <w:sz w:val="32"/>
          <w:szCs w:val="32"/>
          <w:highlight w:val="none"/>
          <w:lang w:val="en-US" w:eastAsia="zh-CN" w:bidi="ar-SA"/>
        </w:rPr>
        <w:t>健全公共卫生监测预警体系，构建多层级突发公共卫生事件监测体系。完善基层公共卫生预防控制体系，强化街道（乡镇）和社区（村）公共卫生工作职责。加强社区卫生服务机构规划与标准化建设。加强疾病预防控制机构能力建设，做优做强疾病预防控制中心。</w:t>
      </w:r>
    </w:p>
    <w:p w14:paraId="236DA2B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b w:val="0"/>
          <w:bCs w:val="0"/>
          <w:color w:val="auto"/>
          <w:sz w:val="32"/>
          <w:szCs w:val="32"/>
          <w:highlight w:val="none"/>
          <w:lang w:val="en-US" w:eastAsia="zh-CN"/>
        </w:rPr>
        <w:t>完善重大疫情防控救治体系：</w:t>
      </w:r>
      <w:r>
        <w:rPr>
          <w:rFonts w:hint="default" w:ascii="Times New Roman" w:hAnsi="Times New Roman" w:eastAsia="仿宋_GB2312" w:cs="Times New Roman"/>
          <w:color w:val="auto"/>
          <w:kern w:val="2"/>
          <w:sz w:val="32"/>
          <w:szCs w:val="32"/>
          <w:highlight w:val="none"/>
          <w:lang w:val="en-US" w:eastAsia="zh-CN" w:bidi="ar-SA"/>
        </w:rPr>
        <w:t>构建完善医防融合机制，推动公共卫生与医疗服务高效协同。强化医疗机构公共卫生职责。提升重大疫情救治能力，完善重大疫情救治机制。优化传染病救治医疗资源配置。增强医院防护能力。提高突发公共卫生事件应急处置能力。</w:t>
      </w:r>
    </w:p>
    <w:p w14:paraId="7109CB6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b w:val="0"/>
          <w:bCs w:val="0"/>
          <w:color w:val="auto"/>
          <w:sz w:val="32"/>
          <w:szCs w:val="32"/>
          <w:highlight w:val="none"/>
          <w:lang w:val="en-US" w:eastAsia="zh-CN"/>
        </w:rPr>
        <w:t>健全统一的应急物资保障体系：</w:t>
      </w:r>
      <w:r>
        <w:rPr>
          <w:rFonts w:hint="default" w:ascii="Times New Roman" w:hAnsi="Times New Roman" w:eastAsia="仿宋_GB2312" w:cs="Times New Roman"/>
          <w:color w:val="auto"/>
          <w:kern w:val="2"/>
          <w:sz w:val="32"/>
          <w:szCs w:val="32"/>
          <w:highlight w:val="none"/>
          <w:lang w:val="en-US" w:eastAsia="zh-CN" w:bidi="ar-SA"/>
        </w:rPr>
        <w:t>加强应急物资保障总体设计，提高应急生产保障能力，建立应急物资储备制度。</w:t>
      </w:r>
    </w:p>
    <w:p w14:paraId="00DDFFF1">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77" w:name="_Toc11280"/>
      <w:bookmarkStart w:id="178" w:name="_Toc181"/>
      <w:bookmarkStart w:id="179" w:name="_Toc1394"/>
      <w:bookmarkStart w:id="180" w:name="_Toc23413"/>
      <w:bookmarkStart w:id="181" w:name="_Toc28681"/>
      <w:r>
        <w:rPr>
          <w:rFonts w:hint="eastAsia" w:ascii="Times New Roman" w:hAnsi="Times New Roman" w:eastAsia="黑体" w:cs="Times New Roman"/>
          <w:b w:val="0"/>
          <w:bCs w:val="0"/>
          <w:color w:val="auto"/>
          <w:sz w:val="32"/>
          <w:szCs w:val="32"/>
          <w:highlight w:val="none"/>
          <w:lang w:val="en-US" w:eastAsia="zh-CN"/>
        </w:rPr>
        <w:t>实施</w:t>
      </w:r>
      <w:r>
        <w:rPr>
          <w:rFonts w:hint="default" w:ascii="Times New Roman" w:hAnsi="Times New Roman" w:eastAsia="黑体" w:cs="Times New Roman"/>
          <w:b w:val="0"/>
          <w:bCs w:val="0"/>
          <w:color w:val="auto"/>
          <w:sz w:val="32"/>
          <w:szCs w:val="32"/>
          <w:highlight w:val="none"/>
          <w:lang w:val="en-US" w:eastAsia="zh-CN"/>
        </w:rPr>
        <w:t>城市更新</w:t>
      </w:r>
      <w:bookmarkEnd w:id="177"/>
      <w:bookmarkEnd w:id="178"/>
      <w:r>
        <w:rPr>
          <w:rFonts w:hint="eastAsia" w:ascii="Times New Roman" w:hAnsi="Times New Roman" w:eastAsia="黑体" w:cs="Times New Roman"/>
          <w:b w:val="0"/>
          <w:bCs w:val="0"/>
          <w:color w:val="auto"/>
          <w:sz w:val="32"/>
          <w:szCs w:val="32"/>
          <w:highlight w:val="none"/>
          <w:lang w:val="en-US" w:eastAsia="zh-CN"/>
        </w:rPr>
        <w:t>改造</w:t>
      </w:r>
      <w:bookmarkEnd w:id="179"/>
    </w:p>
    <w:p w14:paraId="237553BD">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战略目标</w:t>
      </w:r>
    </w:p>
    <w:p w14:paraId="5AD17D55">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以提高城市活力和品质为目标，积极探索渐进式、可持续的有机更新模式，倒逼土地利用方式由外延粗放式扩张向内涵式效益提升转变，促进空间利用向集约紧凑、功能复合、低碳高效转变。</w:t>
      </w:r>
    </w:p>
    <w:p w14:paraId="2713D7F3">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环境改善目标：绿色生态宜居，让城市环境更可持续。</w:t>
      </w:r>
    </w:p>
    <w:p w14:paraId="0302DFCF">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经济复兴目标：转型升级优化，让城市经济更有活力。</w:t>
      </w:r>
    </w:p>
    <w:p w14:paraId="1461D4D2">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社会发展目标：公平包容共享，让社会更加和谐包容。</w:t>
      </w:r>
    </w:p>
    <w:p w14:paraId="6CA66E7F">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历史文化目标：保护传承特色，让古迹不再陋败蒙尘。</w:t>
      </w:r>
    </w:p>
    <w:p w14:paraId="29C016C5">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最终目标：可持续发展。</w:t>
      </w:r>
    </w:p>
    <w:p w14:paraId="046FA2D6">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城市更新类型</w:t>
      </w:r>
    </w:p>
    <w:p w14:paraId="3A8989D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城中村：</w:t>
      </w:r>
      <w:r>
        <w:rPr>
          <w:rFonts w:hint="default" w:ascii="Times New Roman" w:hAnsi="Times New Roman" w:eastAsia="仿宋_GB2312" w:cs="Times New Roman"/>
          <w:color w:val="auto"/>
          <w:sz w:val="32"/>
          <w:szCs w:val="32"/>
          <w:highlight w:val="none"/>
        </w:rPr>
        <w:t>主要是基数转换中的农村宅基地及周边城镇村道路等建设用地组成。</w:t>
      </w:r>
    </w:p>
    <w:p w14:paraId="23808F0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棚户区：</w:t>
      </w:r>
      <w:r>
        <w:rPr>
          <w:rFonts w:hint="default" w:ascii="Times New Roman" w:hAnsi="Times New Roman" w:eastAsia="仿宋_GB2312" w:cs="Times New Roman"/>
          <w:color w:val="auto"/>
          <w:sz w:val="32"/>
          <w:szCs w:val="32"/>
          <w:highlight w:val="none"/>
        </w:rPr>
        <w:t>城市中结构简陋、抗灾性差即抗震、防火、防洪性差、居住拥挤、功能差、居住环境差、无道路，无绿化，无公共活动场地，采光通风差的房屋集中的地方。本次认定历年棚改申请表、十四五棚改列表及现场踏勘中心城区范围内，基数转换中城镇住宅用地中具有村庄形态的区域。</w:t>
      </w:r>
    </w:p>
    <w:p w14:paraId="385C97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废弃采矿用地：</w:t>
      </w:r>
      <w:r>
        <w:rPr>
          <w:rFonts w:hint="default" w:ascii="Times New Roman" w:hAnsi="Times New Roman" w:eastAsia="仿宋_GB2312" w:cs="Times New Roman"/>
          <w:color w:val="auto"/>
          <w:sz w:val="32"/>
          <w:szCs w:val="32"/>
          <w:highlight w:val="none"/>
        </w:rPr>
        <w:t>主要是基数转换中标注为废弃采矿用地的地块。</w:t>
      </w:r>
    </w:p>
    <w:p w14:paraId="545941F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僵尸企业：</w:t>
      </w:r>
      <w:r>
        <w:rPr>
          <w:rFonts w:hint="default" w:ascii="Times New Roman" w:hAnsi="Times New Roman" w:eastAsia="仿宋_GB2312" w:cs="Times New Roman"/>
          <w:color w:val="auto"/>
          <w:sz w:val="32"/>
          <w:szCs w:val="32"/>
          <w:highlight w:val="none"/>
        </w:rPr>
        <w:t>主要是工业企业用地，关停企业用地构成是，部分企业停产、破产多年，另外有单位撤销、迁移等原因造成的，也有一部分是现状与规划用途的调整造成的，主要通过评价判定辅助现场踏勘。</w:t>
      </w:r>
    </w:p>
    <w:p w14:paraId="51ABCA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其他还有老旧小区改造、低效工业区改造、城市核心区功能完善等。</w:t>
      </w:r>
    </w:p>
    <w:p w14:paraId="0554E2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此次规划近期重点对绥滨县中心城区内部低效地块进行规划改造。远期城市更新范围为绥滨县中心城区。</w:t>
      </w:r>
    </w:p>
    <w:p w14:paraId="4EC857D3">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82" w:name="_Toc1533"/>
      <w:bookmarkStart w:id="183" w:name="_Toc18907"/>
      <w:bookmarkStart w:id="184" w:name="_Toc11925"/>
      <w:r>
        <w:rPr>
          <w:rFonts w:hint="eastAsia" w:ascii="Times New Roman" w:hAnsi="Times New Roman" w:eastAsia="黑体" w:cs="Times New Roman"/>
          <w:b w:val="0"/>
          <w:bCs w:val="0"/>
          <w:color w:val="auto"/>
          <w:sz w:val="32"/>
          <w:szCs w:val="32"/>
          <w:highlight w:val="none"/>
          <w:lang w:val="en-US" w:eastAsia="zh-CN"/>
        </w:rPr>
        <w:t>分层利用</w:t>
      </w:r>
      <w:r>
        <w:rPr>
          <w:rFonts w:hint="default" w:ascii="Times New Roman" w:hAnsi="Times New Roman" w:eastAsia="黑体" w:cs="Times New Roman"/>
          <w:b w:val="0"/>
          <w:bCs w:val="0"/>
          <w:color w:val="auto"/>
          <w:sz w:val="32"/>
          <w:szCs w:val="32"/>
          <w:highlight w:val="none"/>
          <w:lang w:val="en-US" w:eastAsia="zh-CN"/>
        </w:rPr>
        <w:t>地下空间开发</w:t>
      </w:r>
      <w:bookmarkEnd w:id="182"/>
      <w:bookmarkEnd w:id="183"/>
      <w:bookmarkEnd w:id="184"/>
    </w:p>
    <w:p w14:paraId="28964AA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地下空间规划原则</w:t>
      </w:r>
    </w:p>
    <w:p w14:paraId="5EB38439">
      <w:pPr>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坚持先规划、后建设，科学编制城市地下空间规划。统筹地上地下空间资源，地上地下一体化，科学合理推进城市地下空间开发利用；加强兼顾设防地下空间和人防工程平时战时功能转换，构建平战结合的地下空间综合利用体系，充分发挥城市地下空间综合效益。</w:t>
      </w:r>
    </w:p>
    <w:p w14:paraId="64096DC3">
      <w:pPr>
        <w:pageBreakBefore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中心城区规划形成以地下停车设施为主体，地下市政设施为骨架，以地下商业等公共服务设施为补充，构建由各类地下设施组成的复合型、多元化的城市地下空间综合利用体系。</w:t>
      </w:r>
    </w:p>
    <w:p w14:paraId="12860B0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开发利用目标</w:t>
      </w:r>
    </w:p>
    <w:p w14:paraId="59DC3EE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通过地下空间资源的整合及综合利用，进一步从立体空间上合理有序地组织城市功能，提高地下空间资源利用效率，充分发挥地下空间综合效益，逐步形成功能综合化、布局网络化的地下空间。通过地下空间的开发建设，减缓城市扩张，提高城市空间容量，降低地上空间建设密度，提升生态环境质量。</w:t>
      </w:r>
    </w:p>
    <w:p w14:paraId="005A17FA">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地下空间分区分层规划</w:t>
      </w:r>
    </w:p>
    <w:p w14:paraId="74B4E52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规划综合考虑地下综合管廊，城区10千伏以上高压线走廊逐步完善半地下化建设。</w:t>
      </w:r>
    </w:p>
    <w:p w14:paraId="68A9D33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default" w:ascii="Times New Roman" w:hAnsi="Times New Roman" w:eastAsia="仿宋_GB2312" w:cs="Times New Roman"/>
          <w:b w:val="0"/>
          <w:bCs/>
          <w:color w:val="auto"/>
          <w:kern w:val="2"/>
          <w:sz w:val="32"/>
          <w:szCs w:val="32"/>
          <w:highlight w:val="none"/>
          <w:lang w:val="en-US" w:eastAsia="zh-CN" w:bidi="ar-SA"/>
        </w:rPr>
        <w:t>按照分层管控的原则将地下空间竖向确定为浅层、中层、深层三个层次。地下浅层空间（0</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val="0"/>
          <w:bCs/>
          <w:color w:val="auto"/>
          <w:kern w:val="2"/>
          <w:sz w:val="32"/>
          <w:szCs w:val="32"/>
          <w:highlight w:val="none"/>
          <w:lang w:val="en-US" w:eastAsia="zh-CN" w:bidi="ar-SA"/>
        </w:rPr>
        <w:t>5米），以居民生活为主，主要布置停车、商业服务、公共步行通道、市政管线等。地下中层空间（-5米</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val="0"/>
          <w:bCs/>
          <w:color w:val="auto"/>
          <w:kern w:val="2"/>
          <w:sz w:val="32"/>
          <w:szCs w:val="32"/>
          <w:highlight w:val="none"/>
          <w:lang w:val="en-US" w:eastAsia="zh-CN" w:bidi="ar-SA"/>
        </w:rPr>
        <w:t>-10米），以市政基础设施建设为主，主要布置停车、人防工程、市政管线等。地下深层空间（-10米以下），预留重点人防工程。</w:t>
      </w:r>
    </w:p>
    <w:p w14:paraId="2063155A">
      <w:pPr>
        <w:pStyle w:val="3"/>
        <w:keepNext/>
        <w:keepLines/>
        <w:pageBreakBefore w:val="0"/>
        <w:widowControl w:val="0"/>
        <w:numPr>
          <w:ilvl w:val="0"/>
          <w:numId w:val="8"/>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85" w:name="_Toc6579"/>
      <w:r>
        <w:rPr>
          <w:rFonts w:hint="eastAsia" w:ascii="Times New Roman" w:hAnsi="Times New Roman" w:eastAsia="黑体" w:cs="Times New Roman"/>
          <w:b w:val="0"/>
          <w:bCs w:val="0"/>
          <w:color w:val="auto"/>
          <w:sz w:val="32"/>
          <w:szCs w:val="32"/>
          <w:highlight w:val="none"/>
          <w:lang w:val="en-US" w:eastAsia="zh-CN"/>
        </w:rPr>
        <w:t>严格“</w:t>
      </w:r>
      <w:r>
        <w:rPr>
          <w:rFonts w:hint="default" w:ascii="Times New Roman" w:hAnsi="Times New Roman" w:eastAsia="黑体" w:cs="Times New Roman"/>
          <w:b w:val="0"/>
          <w:bCs w:val="0"/>
          <w:color w:val="auto"/>
          <w:sz w:val="32"/>
          <w:szCs w:val="32"/>
          <w:highlight w:val="none"/>
          <w:lang w:val="en-US" w:eastAsia="zh-CN"/>
        </w:rPr>
        <w:t>四线</w:t>
      </w:r>
      <w:r>
        <w:rPr>
          <w:rFonts w:hint="eastAsia" w:ascii="Times New Roman" w:hAnsi="Times New Roman" w:eastAsia="黑体" w:cs="Times New Roman"/>
          <w:b w:val="0"/>
          <w:bCs w:val="0"/>
          <w:color w:val="auto"/>
          <w:sz w:val="32"/>
          <w:szCs w:val="32"/>
          <w:highlight w:val="none"/>
          <w:lang w:val="en-US" w:eastAsia="zh-CN"/>
        </w:rPr>
        <w:t>”</w:t>
      </w:r>
      <w:r>
        <w:rPr>
          <w:rFonts w:hint="default" w:ascii="Times New Roman" w:hAnsi="Times New Roman" w:eastAsia="黑体" w:cs="Times New Roman"/>
          <w:b w:val="0"/>
          <w:bCs w:val="0"/>
          <w:color w:val="auto"/>
          <w:sz w:val="32"/>
          <w:szCs w:val="32"/>
          <w:highlight w:val="none"/>
          <w:lang w:val="en-US" w:eastAsia="zh-CN"/>
        </w:rPr>
        <w:t>管控</w:t>
      </w:r>
      <w:bookmarkEnd w:id="180"/>
      <w:bookmarkEnd w:id="181"/>
      <w:bookmarkEnd w:id="185"/>
    </w:p>
    <w:p w14:paraId="6E22C7A7">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城市黄线划定与管控</w:t>
      </w:r>
    </w:p>
    <w:p w14:paraId="5334626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城市黄线严格按照《城市黄线管理办法》由县级以上地方人民政府建设主管部门（城乡规划主管部门）负责本行政区域内城市黄线的规划管理工作，任何单位和个人都有保护城市基础设施用地、服从城市黄线管理的义务，有监督城市黄线管理、对违反城市黄线管理的行为进行检举的权利，不得非法占用城市黄线范围内的用地，不得改变城市黄线范围内土地用途。</w:t>
      </w:r>
    </w:p>
    <w:p w14:paraId="41FA6CEC">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城市黄线范围内禁止进行下列活动：违反城市规划要求，进行建筑物、构筑物及其他设施的建设；违反国家有关技术标准和规范进行建设；未经批准，改装、迁移或拆毁原有城市基础设施；其他损坏城市基础设施或影响城市基础设施安全和正常运转的行为。</w:t>
      </w:r>
    </w:p>
    <w:p w14:paraId="5922ADD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城市黄线内新建、改建、扩建各类建筑物、构筑物、道路、管线和其他工程设施，应当符合城市黄线和国家有关技术标准、规范的要求，依法向建设主管部门（城乡规划主管部门）申请办理城市规划许可、并依据有关</w:t>
      </w:r>
      <w:r>
        <w:rPr>
          <w:rFonts w:hint="eastAsia" w:ascii="Times New Roman" w:hAnsi="Times New Roman" w:eastAsia="仿宋_GB2312" w:cs="Times New Roman"/>
          <w:color w:val="auto"/>
          <w:sz w:val="32"/>
          <w:szCs w:val="32"/>
          <w:highlight w:val="none"/>
          <w:lang w:eastAsia="zh-CN"/>
        </w:rPr>
        <w:t>法律法规</w:t>
      </w:r>
      <w:r>
        <w:rPr>
          <w:rFonts w:hint="default" w:ascii="Times New Roman" w:hAnsi="Times New Roman" w:eastAsia="仿宋_GB2312" w:cs="Times New Roman"/>
          <w:color w:val="auto"/>
          <w:sz w:val="32"/>
          <w:szCs w:val="32"/>
          <w:highlight w:val="none"/>
        </w:rPr>
        <w:t>办理相关手续。迁移、拆除城市黄线内城市基础设施的，应当依据有关</w:t>
      </w:r>
      <w:r>
        <w:rPr>
          <w:rFonts w:hint="eastAsia" w:ascii="Times New Roman" w:hAnsi="Times New Roman" w:eastAsia="仿宋_GB2312" w:cs="Times New Roman"/>
          <w:color w:val="auto"/>
          <w:sz w:val="32"/>
          <w:szCs w:val="32"/>
          <w:highlight w:val="none"/>
          <w:lang w:eastAsia="zh-CN"/>
        </w:rPr>
        <w:t>法律法规</w:t>
      </w:r>
      <w:r>
        <w:rPr>
          <w:rFonts w:hint="default" w:ascii="Times New Roman" w:hAnsi="Times New Roman" w:eastAsia="仿宋_GB2312" w:cs="Times New Roman"/>
          <w:color w:val="auto"/>
          <w:sz w:val="32"/>
          <w:szCs w:val="32"/>
          <w:highlight w:val="none"/>
        </w:rPr>
        <w:t>办理相关手续。</w:t>
      </w:r>
    </w:p>
    <w:p w14:paraId="0AD27BB3">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因城市发展和城市功能、布局变化等，需要调整城市黄线的，应当组织专家论证，依法调整城市规划，并相应调整城市黄线。调整后的城市黄线，应当随调整后的城市规划一并报批。调整后的城市黄线应当在报批前进行公示，但</w:t>
      </w:r>
      <w:r>
        <w:rPr>
          <w:rFonts w:hint="eastAsia" w:ascii="Times New Roman" w:hAnsi="Times New Roman" w:eastAsia="仿宋_GB2312" w:cs="Times New Roman"/>
          <w:color w:val="auto"/>
          <w:sz w:val="32"/>
          <w:szCs w:val="32"/>
          <w:highlight w:val="none"/>
          <w:lang w:eastAsia="zh-CN"/>
        </w:rPr>
        <w:t>法律法规</w:t>
      </w:r>
      <w:r>
        <w:rPr>
          <w:rFonts w:hint="default" w:ascii="Times New Roman" w:hAnsi="Times New Roman" w:eastAsia="仿宋_GB2312" w:cs="Times New Roman"/>
          <w:color w:val="auto"/>
          <w:sz w:val="32"/>
          <w:szCs w:val="32"/>
          <w:highlight w:val="none"/>
        </w:rPr>
        <w:t>规定不得公开的除外。</w:t>
      </w:r>
    </w:p>
    <w:p w14:paraId="4075D7A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城市蓝线划定与管控</w:t>
      </w:r>
    </w:p>
    <w:p w14:paraId="59EDBAFE">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城市蓝线严格按照《城市蓝线管理办法》由县级以上地方人民政府建设主管部门（城乡规划主管部门）负责本行政区域内的城市蓝线管理工作。</w:t>
      </w:r>
    </w:p>
    <w:p w14:paraId="225C279B">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在城市蓝线内禁止：违反城市蓝线保护和控制要求的建设活动；擅自填埋、占用城市蓝线内水域；影响水系安全的爆破、采石、取土；擅自建设各类排污设施；</w:t>
      </w:r>
      <w:r>
        <w:rPr>
          <w:rFonts w:hint="eastAsia" w:ascii="Times New Roman" w:hAnsi="Times New Roman" w:eastAsia="仿宋_GB2312" w:cs="Times New Roman"/>
          <w:color w:val="auto"/>
          <w:sz w:val="32"/>
          <w:szCs w:val="32"/>
          <w:highlight w:val="none"/>
          <w:lang w:eastAsia="zh-CN"/>
        </w:rPr>
        <w:t>其他对</w:t>
      </w:r>
      <w:r>
        <w:rPr>
          <w:rFonts w:hint="default" w:ascii="Times New Roman" w:hAnsi="Times New Roman" w:eastAsia="仿宋_GB2312" w:cs="Times New Roman"/>
          <w:color w:val="auto"/>
          <w:sz w:val="32"/>
          <w:szCs w:val="32"/>
          <w:highlight w:val="none"/>
        </w:rPr>
        <w:t>城市水系保护构成破坏的活动。</w:t>
      </w:r>
    </w:p>
    <w:p w14:paraId="5EAF0E7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在城市蓝线内新建、改建、扩建各类建筑物、构筑物、道路、管线和其他工程设施，应当依法向建设主管部门（城乡规划主管部门）申请办理城市规划许可，并依照有关</w:t>
      </w:r>
      <w:r>
        <w:rPr>
          <w:rFonts w:hint="eastAsia" w:ascii="Times New Roman" w:hAnsi="Times New Roman" w:eastAsia="仿宋_GB2312" w:cs="Times New Roman"/>
          <w:color w:val="auto"/>
          <w:sz w:val="32"/>
          <w:szCs w:val="32"/>
          <w:highlight w:val="none"/>
          <w:lang w:eastAsia="zh-CN"/>
        </w:rPr>
        <w:t>法律法规</w:t>
      </w:r>
      <w:r>
        <w:rPr>
          <w:rFonts w:hint="default" w:ascii="Times New Roman" w:hAnsi="Times New Roman" w:eastAsia="仿宋_GB2312" w:cs="Times New Roman"/>
          <w:color w:val="auto"/>
          <w:sz w:val="32"/>
          <w:szCs w:val="32"/>
          <w:highlight w:val="none"/>
        </w:rPr>
        <w:t>办理相关手续。</w:t>
      </w:r>
    </w:p>
    <w:p w14:paraId="1E5EDA1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需要临时占用城市蓝线内的用地或水域的，应当报经直辖市、市、县人民政府建设主管部门（城乡规划主管部门）同意，并依法办理相关审批手续；临时占用后，应当限期恢复。</w:t>
      </w:r>
    </w:p>
    <w:p w14:paraId="217F69EC">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县级以上地方人民政府建设主管部门（城乡规划主管部门）应当定期对城市蓝线管理情况进行监督检查。</w:t>
      </w:r>
    </w:p>
    <w:p w14:paraId="6A15125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违反本办法规定，在城市蓝线范围内进行各类建设活动的，按照《</w:t>
      </w:r>
      <w:r>
        <w:rPr>
          <w:rFonts w:hint="eastAsia" w:ascii="Times New Roman" w:hAnsi="Times New Roman" w:eastAsia="仿宋_GB2312" w:cs="Times New Roman"/>
          <w:color w:val="auto"/>
          <w:sz w:val="32"/>
          <w:szCs w:val="32"/>
          <w:highlight w:val="none"/>
          <w:lang w:eastAsia="zh-CN"/>
        </w:rPr>
        <w:t>中华人民共和国城乡规划法</w:t>
      </w:r>
      <w:r>
        <w:rPr>
          <w:rFonts w:hint="default" w:ascii="Times New Roman" w:hAnsi="Times New Roman" w:eastAsia="仿宋_GB2312" w:cs="Times New Roman"/>
          <w:color w:val="auto"/>
          <w:sz w:val="32"/>
          <w:szCs w:val="32"/>
          <w:highlight w:val="none"/>
        </w:rPr>
        <w:t>》等有关</w:t>
      </w:r>
      <w:r>
        <w:rPr>
          <w:rFonts w:hint="eastAsia" w:ascii="Times New Roman" w:hAnsi="Times New Roman" w:eastAsia="仿宋_GB2312" w:cs="Times New Roman"/>
          <w:color w:val="auto"/>
          <w:sz w:val="32"/>
          <w:szCs w:val="32"/>
          <w:highlight w:val="none"/>
          <w:lang w:eastAsia="zh-CN"/>
        </w:rPr>
        <w:t>法律法规</w:t>
      </w:r>
      <w:r>
        <w:rPr>
          <w:rFonts w:hint="default" w:ascii="Times New Roman" w:hAnsi="Times New Roman" w:eastAsia="仿宋_GB2312" w:cs="Times New Roman"/>
          <w:color w:val="auto"/>
          <w:sz w:val="32"/>
          <w:szCs w:val="32"/>
          <w:highlight w:val="none"/>
        </w:rPr>
        <w:t>的规定处罚。</w:t>
      </w:r>
    </w:p>
    <w:p w14:paraId="5C2F617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城市绿线划定与管控</w:t>
      </w:r>
    </w:p>
    <w:p w14:paraId="29007288">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根据《城市绿线管理办法》，城市绿线范围内的公共绿地、防护绿地、生产绿地、居住区绿地、单位附属绿地、道路绿地、风景林地等，必须按照《城市用地分类与规划建设用地标准</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公园设计规范》等标准，进行绿地建设。</w:t>
      </w:r>
    </w:p>
    <w:p w14:paraId="6D195812">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城市绿线内的用地，不得改作他用，不得违反法律法规、强制性标准以及批准的规划进行开发建设。有关部门不得违反规定，批准在城市绿线范围内进行建设。因建设或者其他特殊情况，需要临时占用城市绿线内用地的，必须依法办理相关审批手续。在城市绿线范围内，不符合规划要求的建筑物、构筑物及其他设施应当限期迁出。任何单位和个人不得在城市绿地范围内进行拦河截溪、取土采石、设置垃圾堆场、排放污水以及其他对生态环境构成破坏的活动。近期不进行绿化建设的规划绿地范围内的建设活动，应当进行生态环境影响分析，并按照《城市规划法》的规定，予以严格控制。</w:t>
      </w:r>
    </w:p>
    <w:p w14:paraId="2C4A509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历史文化保护线划定与管控</w:t>
      </w:r>
    </w:p>
    <w:p w14:paraId="133F83F1">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历史文化保护线严格按照《城市紫线管理办法》进行管控</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同时严格执行《中华人民共和国文物保护法》，文物工作贯彻保护为主、合理利用、加强管理的方针。</w:t>
      </w:r>
    </w:p>
    <w:p w14:paraId="3BA27934">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历史文化保护线范围内禁止违反保护规划的大面积拆除、开发；对历史文化街区传统格局和风貌构成影响的大面积改建；损坏或者拆毁保护规划确定保护的建筑物、构筑物和其他设施；修建破坏历史文化街区传统风貌的建筑物、构筑物和其他设施；占用或者破坏保护规划确定保留的园林绿地、河湖水系、道路和古树名木等；其他对历史文化街区和历史建筑的保护构成破坏性影响的活动。</w:t>
      </w:r>
    </w:p>
    <w:p w14:paraId="1BBFF441">
      <w:pPr>
        <w:rPr>
          <w:rFonts w:hint="default" w:ascii="Times New Roman" w:hAnsi="Times New Roman" w:eastAsia="方正小标宋简体" w:cs="Times New Roman"/>
          <w:b w:val="0"/>
          <w:bCs w:val="0"/>
          <w:color w:val="auto"/>
          <w:sz w:val="36"/>
          <w:szCs w:val="36"/>
          <w:highlight w:val="none"/>
          <w:lang w:val="en-US" w:eastAsia="zh-CN"/>
        </w:rPr>
      </w:pPr>
      <w:r>
        <w:rPr>
          <w:rFonts w:hint="default" w:ascii="Times New Roman" w:hAnsi="Times New Roman" w:eastAsia="方正小标宋简体" w:cs="Times New Roman"/>
          <w:b w:val="0"/>
          <w:bCs w:val="0"/>
          <w:color w:val="auto"/>
          <w:sz w:val="36"/>
          <w:szCs w:val="36"/>
          <w:highlight w:val="none"/>
          <w:lang w:val="en-US" w:eastAsia="zh-CN"/>
        </w:rPr>
        <w:br w:type="page"/>
      </w:r>
    </w:p>
    <w:p w14:paraId="189FD715">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方正小标宋简体" w:cs="Times New Roman"/>
          <w:b w:val="0"/>
          <w:bCs w:val="0"/>
          <w:color w:val="auto"/>
          <w:sz w:val="36"/>
          <w:szCs w:val="36"/>
          <w:highlight w:val="none"/>
          <w:lang w:val="en-US" w:eastAsia="zh-CN"/>
        </w:rPr>
      </w:pPr>
      <w:bookmarkStart w:id="186" w:name="_Toc19005"/>
      <w:r>
        <w:rPr>
          <w:rFonts w:hint="default" w:ascii="Times New Roman" w:hAnsi="Times New Roman" w:eastAsia="方正小标宋简体" w:cs="Times New Roman"/>
          <w:b w:val="0"/>
          <w:bCs w:val="0"/>
          <w:color w:val="auto"/>
          <w:sz w:val="36"/>
          <w:szCs w:val="36"/>
          <w:highlight w:val="none"/>
          <w:lang w:val="en-US" w:eastAsia="zh-CN"/>
        </w:rPr>
        <w:t>彰显滨水古城魅力空间</w:t>
      </w:r>
      <w:bookmarkEnd w:id="186"/>
    </w:p>
    <w:p w14:paraId="42800304">
      <w:pPr>
        <w:pStyle w:val="3"/>
        <w:keepNext/>
        <w:keepLines/>
        <w:pageBreakBefore w:val="0"/>
        <w:widowControl w:val="0"/>
        <w:numPr>
          <w:ilvl w:val="0"/>
          <w:numId w:val="9"/>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87" w:name="_Toc12944"/>
      <w:r>
        <w:rPr>
          <w:rFonts w:hint="default" w:ascii="Times New Roman" w:hAnsi="Times New Roman" w:eastAsia="黑体" w:cs="Times New Roman"/>
          <w:b w:val="0"/>
          <w:bCs w:val="0"/>
          <w:color w:val="auto"/>
          <w:sz w:val="32"/>
          <w:szCs w:val="32"/>
          <w:highlight w:val="none"/>
          <w:lang w:val="en-US" w:eastAsia="zh-CN"/>
        </w:rPr>
        <w:t>系统保护历史文化遗产</w:t>
      </w:r>
      <w:bookmarkEnd w:id="187"/>
    </w:p>
    <w:p w14:paraId="0117874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历史文化保护格局</w:t>
      </w:r>
    </w:p>
    <w:p w14:paraId="19C32C7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本次规划结合现状历史文物资源，以G331国道为界，打造</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西部辽金文化发展区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东部沿江文化保护区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的历史文化保护新格局。</w:t>
      </w:r>
    </w:p>
    <w:p w14:paraId="65AF59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西部辽金文化发展区</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以绥滨县特有的辽金古城文化为核心，结合历史文脉和自然地理环境，对奥里米遗址、北山古城进行修复还原，构建辽金风格古城与汉魏风格古城，打造具有影响力的古文化旅游胜地。</w:t>
      </w:r>
    </w:p>
    <w:p w14:paraId="1BF1CE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东部沿江文化保护区</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东部遗迹多以保护修复为主，结合沿江旅游发展带，发展分散式旅游节点，重点保护体现核心价值的外观、结构和构件等，注重历史建筑的日常保养维护。</w:t>
      </w:r>
    </w:p>
    <w:p w14:paraId="51ABDA8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历史文化保护内容</w:t>
      </w:r>
    </w:p>
    <w:p w14:paraId="77AFE8E1">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明确历史文化遗产保护范围和建设控制地带，</w:t>
      </w:r>
      <w:r>
        <w:rPr>
          <w:rFonts w:hint="default" w:ascii="Times New Roman" w:hAnsi="Times New Roman" w:eastAsia="仿宋_GB2312" w:cs="Times New Roman"/>
          <w:b w:val="0"/>
          <w:bCs w:val="0"/>
          <w:color w:val="auto"/>
          <w:kern w:val="2"/>
          <w:sz w:val="32"/>
          <w:szCs w:val="32"/>
          <w:highlight w:val="none"/>
          <w:u w:val="none"/>
          <w:lang w:val="en-US" w:eastAsia="zh-CN" w:bidi="ar-SA"/>
        </w:rPr>
        <w:t>规划绥滨县2处全国重点文物保护单位及4处省级文物保护单位本体向外50米范围划定建设控制地带，建设控制地带50米范围内原则上不得建设污染文物保护单位及其环境的设施，不得进行可能影响文物保护单位安全及其环境的活动；其他文物保护单位向外30米范围划定保护范围，保护范围内不得进行其他建设工程或者爆破、钻探、挖掘等作业。建设工程应当尽可能避开不可移动文物。</w:t>
      </w:r>
      <w:r>
        <w:rPr>
          <w:rFonts w:hint="default" w:ascii="Times New Roman" w:hAnsi="Times New Roman" w:eastAsia="仿宋_GB2312" w:cs="Times New Roman"/>
          <w:b w:val="0"/>
          <w:bCs w:val="0"/>
          <w:color w:val="auto"/>
          <w:kern w:val="2"/>
          <w:sz w:val="32"/>
          <w:szCs w:val="32"/>
          <w:highlight w:val="none"/>
          <w:lang w:val="en-US" w:eastAsia="zh-CN" w:bidi="ar-SA"/>
        </w:rPr>
        <w:t>对文物保护单位的维护修缮以及添加设施，或改变其结构或者使用性质时，均不得破坏文物保护单位的历史特征、艺术特征、空间特征，绝不能为了旅游开发建设，拆除真实的历史遗存建设</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假古董</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，严重破坏历史真实性。</w:t>
      </w:r>
    </w:p>
    <w:p w14:paraId="65E64296">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规划历史建筑保护范围内新建、扩建、改建的建筑，应在高度、体量、立面、材料、色彩、功能等方面与历史建筑相协调，并不得影响历史建筑风貌的展示。</w:t>
      </w:r>
    </w:p>
    <w:p w14:paraId="15C55ADD">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此外，规划遗址载体保护加固措施、出土文物保护措施、</w:t>
      </w:r>
      <w:r>
        <w:rPr>
          <w:rFonts w:hint="default" w:ascii="Times New Roman" w:hAnsi="Times New Roman" w:eastAsia="仿宋_GB2312" w:cs="Times New Roman"/>
          <w:color w:val="auto"/>
          <w:sz w:val="32"/>
          <w:szCs w:val="32"/>
          <w:highlight w:val="none"/>
          <w:lang w:val="en-US" w:eastAsia="zh-CN"/>
        </w:rPr>
        <w:t>优秀传统文化</w:t>
      </w:r>
      <w:r>
        <w:rPr>
          <w:rFonts w:hint="default" w:ascii="Times New Roman" w:hAnsi="Times New Roman" w:eastAsia="仿宋_GB2312" w:cs="Times New Roman"/>
          <w:b w:val="0"/>
          <w:bCs w:val="0"/>
          <w:color w:val="auto"/>
          <w:kern w:val="2"/>
          <w:sz w:val="32"/>
          <w:szCs w:val="32"/>
          <w:highlight w:val="none"/>
          <w:lang w:val="en-US" w:eastAsia="zh-CN" w:bidi="ar-SA"/>
        </w:rPr>
        <w:t>保护措施、遗址区防洪排水措施、围封保护措施、日常维护措施、管理措施进行相应规定，保障历史文化保护切实有效。</w:t>
      </w:r>
    </w:p>
    <w:p w14:paraId="3EAE6BD8">
      <w:pPr>
        <w:pStyle w:val="3"/>
        <w:keepNext/>
        <w:keepLines/>
        <w:pageBreakBefore w:val="0"/>
        <w:widowControl w:val="0"/>
        <w:numPr>
          <w:ilvl w:val="0"/>
          <w:numId w:val="9"/>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88" w:name="_Toc5365"/>
      <w:r>
        <w:rPr>
          <w:rFonts w:hint="default" w:ascii="Times New Roman" w:hAnsi="Times New Roman" w:eastAsia="黑体" w:cs="Times New Roman"/>
          <w:b w:val="0"/>
          <w:bCs w:val="0"/>
          <w:color w:val="auto"/>
          <w:sz w:val="32"/>
          <w:szCs w:val="32"/>
          <w:highlight w:val="none"/>
          <w:lang w:val="en-US" w:eastAsia="zh-CN"/>
        </w:rPr>
        <w:t>塑造城乡</w:t>
      </w:r>
      <w:r>
        <w:rPr>
          <w:rFonts w:hint="eastAsia" w:ascii="Times New Roman" w:hAnsi="Times New Roman" w:eastAsia="黑体" w:cs="Times New Roman"/>
          <w:b w:val="0"/>
          <w:bCs w:val="0"/>
          <w:color w:val="auto"/>
          <w:sz w:val="32"/>
          <w:szCs w:val="32"/>
          <w:highlight w:val="none"/>
          <w:lang w:val="en-US" w:eastAsia="zh-CN"/>
        </w:rPr>
        <w:t>特色</w:t>
      </w:r>
      <w:r>
        <w:rPr>
          <w:rFonts w:hint="default" w:ascii="Times New Roman" w:hAnsi="Times New Roman" w:eastAsia="黑体" w:cs="Times New Roman"/>
          <w:b w:val="0"/>
          <w:bCs w:val="0"/>
          <w:color w:val="auto"/>
          <w:sz w:val="32"/>
          <w:szCs w:val="32"/>
          <w:highlight w:val="none"/>
          <w:lang w:val="en-US" w:eastAsia="zh-CN"/>
        </w:rPr>
        <w:t>风貌</w:t>
      </w:r>
      <w:bookmarkEnd w:id="188"/>
    </w:p>
    <w:p w14:paraId="7C0CDA8A">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城乡整体风貌定位与特征</w:t>
      </w:r>
    </w:p>
    <w:p w14:paraId="7703B0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规划塑造绥滨县</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SA"/>
        </w:rPr>
        <w:t>辽金文化、现代宜居、鱼米之乡、田园村野</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的城乡风貌定位</w:t>
      </w:r>
      <w:r>
        <w:rPr>
          <w:rFonts w:hint="default" w:ascii="Times New Roman" w:hAnsi="Times New Roman" w:eastAsia="仿宋_GB2312" w:cs="Times New Roman"/>
          <w:color w:val="auto"/>
          <w:sz w:val="32"/>
          <w:szCs w:val="32"/>
          <w:highlight w:val="none"/>
          <w:lang w:eastAsia="zh-CN"/>
        </w:rPr>
        <w:t>，按城乡不同风貌特色，将绥滨县域划分为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两带</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四区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w:t>
      </w:r>
    </w:p>
    <w:p w14:paraId="777D0D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两带</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p>
    <w:p w14:paraId="590CDE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靓丽临江风貌带，临江旅游景点建筑多以暖色为主，在保持景区自身特色的基础上，与临江水文环境相协调。</w:t>
      </w:r>
    </w:p>
    <w:p w14:paraId="2F0A2937">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醉美331风貌带，G331贯穿绥滨县，规划形成路内的生态、土木工程构筑物及路外的自然和人文环境的统一整体，使农田、绿植、柏油路所代表的黄、绿、灰三种风格迥异的色彩层层递进，巧妙</w:t>
      </w:r>
      <w:r>
        <w:rPr>
          <w:rFonts w:hint="eastAsia" w:ascii="Times New Roman" w:hAnsi="Times New Roman" w:eastAsia="仿宋_GB2312" w:cs="Times New Roman"/>
          <w:color w:val="auto"/>
          <w:sz w:val="32"/>
          <w:szCs w:val="32"/>
          <w:highlight w:val="none"/>
          <w:lang w:val="en-US" w:eastAsia="zh-CN"/>
        </w:rPr>
        <w:t>地</w:t>
      </w:r>
      <w:r>
        <w:rPr>
          <w:rFonts w:hint="default" w:ascii="Times New Roman" w:hAnsi="Times New Roman" w:eastAsia="仿宋_GB2312" w:cs="Times New Roman"/>
          <w:color w:val="auto"/>
          <w:sz w:val="32"/>
          <w:szCs w:val="32"/>
          <w:highlight w:val="none"/>
          <w:lang w:val="en-US" w:eastAsia="zh-CN"/>
        </w:rPr>
        <w:t>构建浑然一体的奇妙意象。</w:t>
      </w:r>
    </w:p>
    <w:p w14:paraId="19395C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四区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p>
    <w:p w14:paraId="27516FA1">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滨水城市风貌区，城市依水而建，呈东西向带状布局形式，自然景观与人文景观相互渗透，展现江城相融、复合多元的城市风貌。</w:t>
      </w:r>
    </w:p>
    <w:p w14:paraId="5C2DDFBD">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现代园区风貌区，体现绿色生态、简洁明快、产城融合的特点，组团分明，街道界面清晰。</w:t>
      </w:r>
    </w:p>
    <w:p w14:paraId="4B6D5AFB">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乡村田园风貌区，体现北方民居风格，并结合月牙湖湿地、满族风俗等旅游景区带动发展的特色风格建筑， 塑造部分多元丰富的特色村落和综合发展的特色乡镇驻地。</w:t>
      </w:r>
    </w:p>
    <w:p w14:paraId="2B82DD40">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辽金古城风貌区，体现辽金建筑特征和古文化，塑造质朴宁静的村落；反映历史和传统的文化环境等方面的整体面貌和格调。</w:t>
      </w:r>
    </w:p>
    <w:p w14:paraId="55003DA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划定开放空间</w:t>
      </w:r>
    </w:p>
    <w:p w14:paraId="1D58A9BB">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根据整体空间格局，结合绥滨自然禀赋及发展要求，划定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两江流域开放空间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城乡人居开放空间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醉美331开放空间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田园村野开放空间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四大开放空间。</w:t>
      </w:r>
    </w:p>
    <w:p w14:paraId="476919D6">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两江流域开放空间</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规划松花江、黑龙江流域及其支流为两江流域开放空间。按水系形态、流域等对水系的不同需求对此开放空间进行导控，重点营造生态、多元、环保的滨水空间。</w:t>
      </w:r>
    </w:p>
    <w:p w14:paraId="191F8751">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城乡人居开放空间</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规划三镇六乡中心城区为城乡人居开放空间。中心城区注重城市活力的营造，并依托旅游资源发展，完善基础设施建设，打造</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全年龄段</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公共空间；乡镇空间注重因地制宜，延续村庄建筑肌理，引导农房建设和环境营造来体现乡镇人居特色。</w:t>
      </w:r>
    </w:p>
    <w:p w14:paraId="7C227DC6">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醉美331开放空间</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规划G331国道及两侧绿化为醉美331开放空间。重点开发滨水地段的公路景观序列，整体进行公路绿化升级，创造生态环境良好的公路环境。</w:t>
      </w:r>
    </w:p>
    <w:p w14:paraId="7054B7C9">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田园村野开放空间</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规划全域村庄及周边自然、人工景观为田园村野开放空间。规划注重田园的空间营造，通过栽培蔬菜景观、布置设施景观、协调不同农作物的色彩变化和尺度搭配等方式构建绚丽多姿的景观氛围，具有文化、景观特色的村庄可根据其自身特色进行风格独特的景观设计。</w:t>
      </w:r>
    </w:p>
    <w:p w14:paraId="4DBBFDC7">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重要特色空间保护</w:t>
      </w:r>
    </w:p>
    <w:p w14:paraId="67D2ABCA">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根据绥滨县自然山水、历史文化、都市发展等自然禀赋，结合城市性质、发展定位、功能布局、制约条件，提出重要特色空间保护区：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月牙湖及两江湿地重要生态保护区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奥里米、中兴城址重要历史保护区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沿江公园重要水文保护区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564EA9C4">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月牙湖及两江湿地重要生态保护区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规划月牙湖及两江湿地重要生态保护区按照黑龙江绥滨两江湿地省级自然保护区规定，划分成核心区、缓冲区和实验区3个部分；积极开展湿地恢复，建立湿地生态效益补偿制度，加强污染控制和对湿地多样性的管理。</w:t>
      </w:r>
    </w:p>
    <w:p w14:paraId="451365E3">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奥里米、中兴城址重要历史保护区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规划全国重点文物保护单位奥里米、中心城址及周边50米</w:t>
      </w:r>
      <w:bookmarkStart w:id="220" w:name="_GoBack"/>
      <w:bookmarkEnd w:id="220"/>
      <w:r>
        <w:rPr>
          <w:rFonts w:hint="default" w:ascii="Times New Roman" w:hAnsi="Times New Roman" w:eastAsia="仿宋_GB2312" w:cs="Times New Roman"/>
          <w:color w:val="auto"/>
          <w:sz w:val="32"/>
          <w:szCs w:val="32"/>
          <w:highlight w:val="none"/>
          <w:lang w:val="en-US" w:eastAsia="zh-CN"/>
        </w:rPr>
        <w:t>内为重要历史保护区。保护区内原则上不得建设污染文物保护单位及其环境的设施，不得进行可能影响文物保护单位安全及其环境的活动。对已有的污染文物保护单位及其环境的设施，应当限期治理。</w:t>
      </w:r>
    </w:p>
    <w:p w14:paraId="4309776D">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沿江公园重要水文保护区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规划沿江公园为重要水文保护区。重点加强水资源管理，建立完善的水资源管理体系和科学的水污染控制机制，减少水体污染；禁止捕捞过度，恢复水体的生态环境；公园每50米设置分类垃圾箱，并每日进行清扫，保持岸边干净整洁，防止生活污染；护栏边设置文化宣传栏及警示标语，旨在宣传绥滨特色文化或政府最新政策法规，提高居民素质，增强思想上的保护意识。</w:t>
      </w:r>
    </w:p>
    <w:p w14:paraId="429DAE66">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乡村特色风貌塑造</w:t>
      </w:r>
    </w:p>
    <w:p w14:paraId="52E9E5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1.融入自然，规模适度</w:t>
      </w:r>
    </w:p>
    <w:p w14:paraId="1A958194">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村庄规模适度、尺度适宜、边界自然，新建部分延续传统肌理，避免机械的兵营式、行列式布局；现有老村保持富有传统意境的田园乡村景观格局，村庄与周边自然环境有机融合。</w:t>
      </w:r>
    </w:p>
    <w:p w14:paraId="7303A63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2.特色乡村，景观多样</w:t>
      </w:r>
    </w:p>
    <w:p w14:paraId="02BBB149">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鼓励选用村庄闲置建材以及旧农具、老物件等用于村庄建设，形成丰富多样的乡村景观，体现地域特色。</w:t>
      </w:r>
    </w:p>
    <w:p w14:paraId="13A4FD9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3.特色建筑，因地制宜</w:t>
      </w:r>
    </w:p>
    <w:p w14:paraId="792DC5E3">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因地制宜使用本地乡土材料，采用传统营造方式进行精细化处理，塑造乡土特色景观。</w:t>
      </w:r>
    </w:p>
    <w:p w14:paraId="0AC6E7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4.美观实用，统一协调</w:t>
      </w:r>
    </w:p>
    <w:p w14:paraId="1E1AB9C3">
      <w:pPr>
        <w:pStyle w:val="18"/>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sz w:val="32"/>
          <w:szCs w:val="32"/>
          <w:highlight w:val="none"/>
          <w:lang w:val="en-US" w:eastAsia="zh-CN"/>
        </w:rPr>
        <w:t>新建建筑和既有建筑改造能够充分体现地域特色和新墙材应用，考虑太阳能利用、空调位</w:t>
      </w:r>
      <w:r>
        <w:rPr>
          <w:rFonts w:hint="eastAsia" w:ascii="Times New Roman" w:hAnsi="Times New Roman" w:eastAsia="仿宋_GB2312" w:cs="Times New Roman"/>
          <w:color w:val="auto"/>
          <w:sz w:val="32"/>
          <w:szCs w:val="32"/>
          <w:highlight w:val="none"/>
          <w:lang w:val="en-US" w:eastAsia="zh-CN"/>
        </w:rPr>
        <w:t>置</w:t>
      </w:r>
      <w:r>
        <w:rPr>
          <w:rFonts w:hint="default" w:ascii="Times New Roman" w:hAnsi="Times New Roman" w:eastAsia="仿宋_GB2312" w:cs="Times New Roman"/>
          <w:color w:val="auto"/>
          <w:sz w:val="32"/>
          <w:szCs w:val="32"/>
          <w:highlight w:val="none"/>
          <w:lang w:val="en-US" w:eastAsia="zh-CN"/>
        </w:rPr>
        <w:t>等与建筑一体化设计建造。</w:t>
      </w:r>
    </w:p>
    <w:p w14:paraId="64697412">
      <w:pPr>
        <w:pStyle w:val="3"/>
        <w:keepNext/>
        <w:keepLines/>
        <w:pageBreakBefore w:val="0"/>
        <w:widowControl w:val="0"/>
        <w:numPr>
          <w:ilvl w:val="0"/>
          <w:numId w:val="9"/>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89" w:name="_Toc16411"/>
      <w:r>
        <w:rPr>
          <w:rFonts w:hint="default" w:ascii="Times New Roman" w:hAnsi="Times New Roman" w:eastAsia="黑体" w:cs="Times New Roman"/>
          <w:b w:val="0"/>
          <w:bCs w:val="0"/>
          <w:color w:val="auto"/>
          <w:sz w:val="32"/>
          <w:szCs w:val="32"/>
          <w:highlight w:val="none"/>
          <w:lang w:val="en-US" w:eastAsia="zh-CN"/>
        </w:rPr>
        <w:t>活化利用</w:t>
      </w:r>
      <w:r>
        <w:rPr>
          <w:rFonts w:hint="eastAsia" w:ascii="Times New Roman" w:hAnsi="Times New Roman" w:eastAsia="黑体" w:cs="Times New Roman"/>
          <w:b w:val="0"/>
          <w:bCs w:val="0"/>
          <w:color w:val="auto"/>
          <w:sz w:val="32"/>
          <w:szCs w:val="32"/>
          <w:highlight w:val="none"/>
          <w:lang w:val="en-US" w:eastAsia="zh-CN"/>
        </w:rPr>
        <w:t>历史文化遗产</w:t>
      </w:r>
      <w:bookmarkEnd w:id="189"/>
    </w:p>
    <w:p w14:paraId="69F84E2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建立自然历史人文景观活化利用区域</w:t>
      </w:r>
    </w:p>
    <w:p w14:paraId="644708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落实国家文化发展战略，深入挖掘本地历史文化资源，充分利用各级各类文物保护单位、历史建筑、江水林田湖草等自然景观和文化资源，确定</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一核、两区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特色空间</w:t>
      </w:r>
      <w:r>
        <w:rPr>
          <w:rFonts w:hint="default" w:ascii="Times New Roman" w:hAnsi="Times New Roman" w:eastAsia="仿宋_GB2312" w:cs="Times New Roman"/>
          <w:color w:val="auto"/>
          <w:sz w:val="32"/>
          <w:szCs w:val="32"/>
          <w:highlight w:val="none"/>
          <w:lang w:val="en-US" w:eastAsia="zh-CN"/>
        </w:rPr>
        <w:t>活化利用</w:t>
      </w:r>
      <w:r>
        <w:rPr>
          <w:rFonts w:hint="default" w:ascii="Times New Roman" w:hAnsi="Times New Roman" w:eastAsia="仿宋_GB2312" w:cs="Times New Roman"/>
          <w:color w:val="auto"/>
          <w:kern w:val="2"/>
          <w:sz w:val="32"/>
          <w:szCs w:val="32"/>
          <w:highlight w:val="none"/>
          <w:lang w:val="en-US" w:eastAsia="zh-CN" w:bidi="ar-SA"/>
        </w:rPr>
        <w:t>区域，延续自然历史文脉。</w:t>
      </w:r>
    </w:p>
    <w:p w14:paraId="7DB8BC6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一核</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为月牙湖湿地公园，</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两区</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为两江流域自然保护区和历史人文保护区。规划将自然生态保护与景区发展相融合，对自然资源与历史资源进行系统的保护和利用。</w:t>
      </w:r>
    </w:p>
    <w:p w14:paraId="2AD9040F">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自然人文景观的活化利用</w:t>
      </w:r>
    </w:p>
    <w:p w14:paraId="29A45149">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在保障自然人文景观结构完整、生态平衡的前提下，结合旅游规划对自然景观进行活化利用，充分利用现有的月牙湖4A级景区、两江湿地等自然人文景观，科学开发打造旅游产品，提高生态效益，</w:t>
      </w:r>
      <w:r>
        <w:rPr>
          <w:rFonts w:hint="eastAsia" w:ascii="Times New Roman" w:hAnsi="Times New Roman" w:eastAsia="仿宋_GB2312" w:cs="Times New Roman"/>
          <w:color w:val="auto"/>
          <w:sz w:val="32"/>
          <w:szCs w:val="32"/>
          <w:highlight w:val="none"/>
          <w:lang w:val="en-US" w:eastAsia="zh-CN"/>
        </w:rPr>
        <w:t>树</w:t>
      </w:r>
      <w:r>
        <w:rPr>
          <w:rFonts w:hint="default" w:ascii="Times New Roman" w:hAnsi="Times New Roman" w:eastAsia="仿宋_GB2312" w:cs="Times New Roman"/>
          <w:color w:val="auto"/>
          <w:sz w:val="32"/>
          <w:szCs w:val="32"/>
          <w:highlight w:val="none"/>
          <w:lang w:val="en-US" w:eastAsia="zh-CN"/>
        </w:rPr>
        <w:t>立绥滨县自然商品品牌，积极引导新媒体运营方式，全面展示宣传绥滨自然景观</w:t>
      </w:r>
      <w:r>
        <w:rPr>
          <w:rFonts w:hint="default" w:ascii="Times New Roman" w:hAnsi="Times New Roman" w:eastAsia="仿宋_GB2312" w:cs="Times New Roman"/>
          <w:color w:val="auto"/>
          <w:sz w:val="32"/>
          <w:szCs w:val="32"/>
          <w:highlight w:val="none"/>
          <w:lang w:eastAsia="zh-CN"/>
        </w:rPr>
        <w:t>的旖旎风光，为绥滨旅游建设添砖加瓦。</w:t>
      </w:r>
    </w:p>
    <w:p w14:paraId="6BAEA75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历史人文景观的活化利用</w:t>
      </w:r>
    </w:p>
    <w:p w14:paraId="3D6DC578">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在文物保护、历史建筑保护放在首位的前提下，提倡文化遗产用于城市公益功能，并合理引导文化遗产与旅游、文艺创作、生活性服务业等产业的结合，实现文化遗产的多元健康发展。规划通过复原、展示文物遗址和历史建筑的聚落文化、经济社会发展状况、信仰和祭祀形式、生产生活方式、手工艺文化等内容，使其成为绥滨县文化遗址展示、研究的重要场所。通过文物古迹的修复和周边环境的整治、营造若干个主题线路、扩大历史遗存和市民现代生活、旅客旅游的联系等方式，着重对奥里米城址、中兴城址、北山古城进行历史文化旅游开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引入与古城风貌不相冲突的现代居住区设计概念，统一民居建筑整体风貌，营造具有历史文化特色的城市公共空间，激发场所活力，为名城的社会经济发展提供新的经济增长点；注意以节日、历史文化遗存为载体，开展形式多样的民间文化交流和竞赛活动，将优秀传统文化活动和物质遗产保护结合起来，提升优秀传统文化的活力和生命力；其余文物保护单位及历史建筑以保护修复为主，通过重要文物、古迹的展示、优秀传统文化的展示继承等方式，提升历史遗产的生命力和活力。</w:t>
      </w:r>
    </w:p>
    <w:p w14:paraId="778B06A3">
      <w:pPr>
        <w:pStyle w:val="3"/>
        <w:keepNext/>
        <w:keepLines/>
        <w:pageBreakBefore w:val="0"/>
        <w:widowControl w:val="0"/>
        <w:numPr>
          <w:ilvl w:val="0"/>
          <w:numId w:val="9"/>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90" w:name="_Toc6745"/>
      <w:r>
        <w:rPr>
          <w:rFonts w:hint="default" w:ascii="Times New Roman" w:hAnsi="Times New Roman" w:eastAsia="黑体" w:cs="Times New Roman"/>
          <w:b w:val="0"/>
          <w:bCs w:val="0"/>
          <w:color w:val="auto"/>
          <w:sz w:val="32"/>
          <w:szCs w:val="32"/>
          <w:highlight w:val="none"/>
          <w:lang w:val="en-US" w:eastAsia="zh-CN"/>
        </w:rPr>
        <w:t>全域旅游发展</w:t>
      </w:r>
      <w:bookmarkEnd w:id="190"/>
    </w:p>
    <w:p w14:paraId="51C0FF74">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旅游发展目标</w:t>
      </w:r>
    </w:p>
    <w:p w14:paraId="0B669D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结合</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十四五</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建设全域全季旅游生态城市要求，依托独特的两江文化、辽金文化等自然人文资源，通过</w:t>
      </w:r>
      <w:r>
        <w:rPr>
          <w:rFonts w:hint="eastAsia" w:ascii="Times New Roman" w:hAnsi="Times New Roman" w:eastAsia="仿宋_GB2312" w:cs="Times New Roman"/>
          <w:color w:val="auto"/>
          <w:kern w:val="2"/>
          <w:sz w:val="32"/>
          <w:szCs w:val="32"/>
          <w:highlight w:val="none"/>
          <w:lang w:val="en-US" w:eastAsia="zh-CN" w:bidi="ar-SA"/>
        </w:rPr>
        <w:t>构建新发展格局</w:t>
      </w:r>
      <w:r>
        <w:rPr>
          <w:rFonts w:hint="default" w:ascii="Times New Roman" w:hAnsi="Times New Roman" w:eastAsia="仿宋_GB2312" w:cs="Times New Roman"/>
          <w:color w:val="auto"/>
          <w:kern w:val="2"/>
          <w:sz w:val="32"/>
          <w:szCs w:val="32"/>
          <w:highlight w:val="none"/>
          <w:lang w:val="en-US" w:eastAsia="zh-CN" w:bidi="ar-SA"/>
        </w:rPr>
        <w:t>、打造旅游产品、科学开发、加速建设配套产业，全面形成</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两江风情游</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乡村田园游</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古文化游</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冰天雪地游</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四大旅游项目。到规划期末，全域旅游产业得到大力发展，基本建成边境生态文化</w:t>
      </w:r>
      <w:r>
        <w:rPr>
          <w:rFonts w:hint="eastAsia" w:ascii="Times New Roman" w:hAnsi="Times New Roman" w:eastAsia="仿宋_GB2312" w:cs="Times New Roman"/>
          <w:color w:val="auto"/>
          <w:kern w:val="2"/>
          <w:sz w:val="32"/>
          <w:szCs w:val="32"/>
          <w:highlight w:val="none"/>
          <w:lang w:val="en-US" w:eastAsia="zh-CN" w:bidi="ar-SA"/>
        </w:rPr>
        <w:t>旅游胜地</w:t>
      </w:r>
      <w:r>
        <w:rPr>
          <w:rFonts w:hint="default" w:ascii="Times New Roman" w:hAnsi="Times New Roman" w:eastAsia="仿宋_GB2312" w:cs="Times New Roman"/>
          <w:color w:val="auto"/>
          <w:kern w:val="2"/>
          <w:sz w:val="32"/>
          <w:szCs w:val="32"/>
          <w:highlight w:val="none"/>
          <w:lang w:val="en-US" w:eastAsia="zh-CN" w:bidi="ar-SA"/>
        </w:rPr>
        <w:t>品牌，打造宜居、宜养、宜游的旅游康养名城。</w:t>
      </w:r>
    </w:p>
    <w:p w14:paraId="24B2DE0F">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旅游发展空间格局</w:t>
      </w:r>
    </w:p>
    <w:p w14:paraId="3D7C92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绥滨县旅游规划呈</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一轴双带，两核三区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格局。</w:t>
      </w:r>
    </w:p>
    <w:p w14:paraId="146800E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一轴</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旅游发展核心轴。依托</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醉美331</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公路，带动南北部旅游发展的动力轴，为</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两核</w:t>
      </w:r>
      <w:r>
        <w:rPr>
          <w:rFonts w:hint="eastAsia"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建立起纽带，实现旅游经济纵深拓展。</w:t>
      </w:r>
    </w:p>
    <w:p w14:paraId="0A385B6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双带</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两江观光旅游文化休闲带。以松花江、黑龙江为带，形成沿江景观轴。</w:t>
      </w:r>
    </w:p>
    <w:p w14:paraId="16237B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两核</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绥滨辽金文化体验核，以绥滨镇为核心，提供旅游住宿、特色餐饮、旅游商品、旅行社服务、旅游交通集散等服务；月牙湖旅游休闲服务核，以忠仁镇为核心，提供松花江江上游船、滨江浴场、日光浴；江湖泛舟、垂钓、游泳、滨江景观大道游览和观光、月牙湖观光休闲、满族风情风俗体验等度假休闲旅游服务。</w:t>
      </w:r>
    </w:p>
    <w:p w14:paraId="6F47425E">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三区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滨江风情度假区、休闲生态农业区和辽金人文探秘区。</w:t>
      </w:r>
    </w:p>
    <w:p w14:paraId="5A1E74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滨江风情度假区，以忠仁镇为服务中心，沿松花江形成滨江风光，结合福兴满族风情、月牙湖景区等打造休闲度假旅游体系。</w:t>
      </w:r>
    </w:p>
    <w:p w14:paraId="52E2E3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休闲生态农业区，以绥东镇为服务中心，以日益增长的旅游需求为导向，重点打造不同主题、各有特色的乡村，建成为农事体验、果蔬采摘、特色餐饮、休闲度假等不同主题乡村旅游村。</w:t>
      </w:r>
    </w:p>
    <w:p w14:paraId="27C420C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辽金人文探秘区，以绥滨镇为服务中心，开展古城参观、文化展览、参与体验、影视拍摄、旅游商品等项目，打造厚重的历史文化氛围。</w:t>
      </w:r>
    </w:p>
    <w:p w14:paraId="5DE03D1A">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p>
    <w:p w14:paraId="2194275D">
      <w:pPr>
        <w:rPr>
          <w:rFonts w:hint="default" w:ascii="Times New Roman" w:hAnsi="Times New Roman" w:eastAsia="方正小标宋简体" w:cs="Times New Roman"/>
          <w:b w:val="0"/>
          <w:bCs w:val="0"/>
          <w:color w:val="auto"/>
          <w:sz w:val="36"/>
          <w:szCs w:val="36"/>
          <w:highlight w:val="none"/>
          <w:lang w:val="en-US" w:eastAsia="zh-CN"/>
        </w:rPr>
      </w:pPr>
      <w:r>
        <w:rPr>
          <w:rFonts w:hint="eastAsia" w:ascii="Times New Roman" w:hAnsi="Times New Roman" w:eastAsia="方正小标宋简体" w:cs="Times New Roman"/>
          <w:b w:val="0"/>
          <w:bCs w:val="0"/>
          <w:color w:val="auto"/>
          <w:sz w:val="36"/>
          <w:szCs w:val="36"/>
          <w:highlight w:val="none"/>
          <w:lang w:val="en-US" w:eastAsia="zh-CN"/>
        </w:rPr>
        <w:br w:type="page"/>
      </w:r>
    </w:p>
    <w:p w14:paraId="2461465B">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方正小标宋简体" w:cs="Times New Roman"/>
          <w:b w:val="0"/>
          <w:bCs w:val="0"/>
          <w:color w:val="auto"/>
          <w:sz w:val="36"/>
          <w:szCs w:val="36"/>
          <w:highlight w:val="none"/>
          <w:lang w:val="en-US" w:eastAsia="zh-CN"/>
        </w:rPr>
      </w:pPr>
      <w:bookmarkStart w:id="191" w:name="_Toc16507"/>
      <w:r>
        <w:rPr>
          <w:rFonts w:hint="eastAsia" w:ascii="Times New Roman" w:hAnsi="Times New Roman" w:eastAsia="方正小标宋简体" w:cs="Times New Roman"/>
          <w:b w:val="0"/>
          <w:bCs w:val="0"/>
          <w:color w:val="auto"/>
          <w:sz w:val="36"/>
          <w:szCs w:val="36"/>
          <w:highlight w:val="none"/>
          <w:lang w:val="en-US" w:eastAsia="zh-CN"/>
        </w:rPr>
        <w:t>保障</w:t>
      </w:r>
      <w:r>
        <w:rPr>
          <w:rFonts w:hint="default" w:ascii="Times New Roman" w:hAnsi="Times New Roman" w:eastAsia="方正小标宋简体" w:cs="Times New Roman"/>
          <w:b w:val="0"/>
          <w:bCs w:val="0"/>
          <w:color w:val="auto"/>
          <w:sz w:val="36"/>
          <w:szCs w:val="36"/>
          <w:highlight w:val="none"/>
          <w:lang w:val="en-US" w:eastAsia="zh-CN"/>
        </w:rPr>
        <w:t>城乡设施支撑保障体系</w:t>
      </w:r>
      <w:bookmarkStart w:id="192" w:name="_Toc7167"/>
      <w:bookmarkStart w:id="193" w:name="_Toc4529"/>
      <w:r>
        <w:rPr>
          <w:rFonts w:hint="eastAsia" w:ascii="Times New Roman" w:hAnsi="Times New Roman" w:eastAsia="方正小标宋简体" w:cs="Times New Roman"/>
          <w:b w:val="0"/>
          <w:bCs w:val="0"/>
          <w:color w:val="auto"/>
          <w:sz w:val="36"/>
          <w:szCs w:val="36"/>
          <w:highlight w:val="none"/>
          <w:lang w:val="en-US" w:eastAsia="zh-CN"/>
        </w:rPr>
        <w:t>建设空间</w:t>
      </w:r>
      <w:bookmarkEnd w:id="191"/>
    </w:p>
    <w:bookmarkEnd w:id="192"/>
    <w:bookmarkEnd w:id="193"/>
    <w:p w14:paraId="66F7F5DD">
      <w:pPr>
        <w:pStyle w:val="3"/>
        <w:keepNext/>
        <w:keepLines/>
        <w:pageBreakBefore w:val="0"/>
        <w:widowControl w:val="0"/>
        <w:numPr>
          <w:ilvl w:val="0"/>
          <w:numId w:val="10"/>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94" w:name="_Toc6064"/>
      <w:r>
        <w:rPr>
          <w:rFonts w:hint="eastAsia" w:ascii="Times New Roman" w:hAnsi="Times New Roman" w:eastAsia="黑体" w:cs="Times New Roman"/>
          <w:b w:val="0"/>
          <w:bCs w:val="0"/>
          <w:color w:val="auto"/>
          <w:sz w:val="32"/>
          <w:szCs w:val="32"/>
          <w:highlight w:val="none"/>
          <w:lang w:val="en-US" w:eastAsia="zh-CN"/>
        </w:rPr>
        <w:t>统筹配置交通设施建设空间</w:t>
      </w:r>
      <w:bookmarkEnd w:id="194"/>
    </w:p>
    <w:p w14:paraId="31432DE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综合交通规划目标</w:t>
      </w:r>
    </w:p>
    <w:p w14:paraId="7667D0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以强化枢纽建设为核心，内外交通骨干网络建设为重点，不断提升枢纽节点地位，强化绥滨县同富锦、鹤岗、佳木斯等周边县市组团的高效连接。进一步加强开放合作，强化对外港口建设，总体适应经济社会发展水平。至2035年，规划形成集航空、铁路、公路、水运为一体的县域综合交通网络，发挥交通系统</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先行官</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作用，带动全县城乡一体化发展和社会经济高速发展。对线性交通基础设施项目，允许根据前期工作进度优化调整线位。</w:t>
      </w:r>
    </w:p>
    <w:p w14:paraId="62918D2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铁路</w:t>
      </w:r>
    </w:p>
    <w:p w14:paraId="638EEF8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规划名山至富锦铁路项目（包含富锦至绥滨铁路）、萝北名山镇至中兴港延边铁路项目，实现区域铁路资源的从无到有，补齐短板，促进区域社会经济发展。</w:t>
      </w:r>
    </w:p>
    <w:p w14:paraId="71D54A51">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公路</w:t>
      </w:r>
    </w:p>
    <w:p w14:paraId="784FE9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u w:val="none"/>
          <w:lang w:val="en-US" w:eastAsia="zh-CN"/>
        </w:rPr>
        <w:t>重点在已有公路网骨架的基础上对县域公路系统进行合理的调整、优化，通过增加和改善东西方向的主要通道来提高县域</w:t>
      </w:r>
      <w:r>
        <w:rPr>
          <w:rFonts w:hint="eastAsia" w:ascii="Times New Roman" w:hAnsi="Times New Roman" w:eastAsia="仿宋_GB2312" w:cs="Times New Roman"/>
          <w:color w:val="auto"/>
          <w:sz w:val="32"/>
          <w:szCs w:val="32"/>
          <w:highlight w:val="none"/>
          <w:u w:val="none"/>
          <w:lang w:val="en-US" w:eastAsia="zh-CN"/>
        </w:rPr>
        <w:t>“</w:t>
      </w:r>
      <w:r>
        <w:rPr>
          <w:rFonts w:hint="default" w:ascii="Times New Roman" w:hAnsi="Times New Roman" w:eastAsia="仿宋_GB2312" w:cs="Times New Roman"/>
          <w:color w:val="auto"/>
          <w:sz w:val="32"/>
          <w:szCs w:val="32"/>
          <w:highlight w:val="none"/>
          <w:u w:val="none"/>
          <w:lang w:val="en-US" w:eastAsia="zh-CN"/>
        </w:rPr>
        <w:t>十字型</w:t>
      </w:r>
      <w:r>
        <w:rPr>
          <w:rFonts w:hint="eastAsia" w:ascii="Times New Roman" w:hAnsi="Times New Roman" w:eastAsia="仿宋_GB2312" w:cs="Times New Roman"/>
          <w:color w:val="auto"/>
          <w:sz w:val="32"/>
          <w:szCs w:val="32"/>
          <w:highlight w:val="none"/>
          <w:u w:val="none"/>
          <w:lang w:val="en-US" w:eastAsia="zh-CN"/>
        </w:rPr>
        <w:t>”</w:t>
      </w:r>
      <w:r>
        <w:rPr>
          <w:rFonts w:hint="default" w:ascii="Times New Roman" w:hAnsi="Times New Roman" w:eastAsia="仿宋_GB2312" w:cs="Times New Roman"/>
          <w:color w:val="auto"/>
          <w:sz w:val="32"/>
          <w:szCs w:val="32"/>
          <w:highlight w:val="none"/>
          <w:u w:val="none"/>
          <w:lang w:val="en-US" w:eastAsia="zh-CN"/>
        </w:rPr>
        <w:t>交通网络的完整性，</w:t>
      </w:r>
      <w:r>
        <w:rPr>
          <w:rFonts w:hint="default" w:ascii="Times New Roman" w:hAnsi="Times New Roman" w:eastAsia="仿宋_GB2312" w:cs="Times New Roman"/>
          <w:color w:val="auto"/>
          <w:sz w:val="32"/>
          <w:szCs w:val="32"/>
          <w:highlight w:val="none"/>
          <w:lang w:val="en-US" w:eastAsia="zh-CN"/>
        </w:rPr>
        <w:t>同时也加强各个重点城镇的联系，充分依托对外交通体系的完善，打造一个良好的对外交通环境，增强同周边县市的联系，进一步提升绥滨的区位优势。</w:t>
      </w:r>
    </w:p>
    <w:p w14:paraId="75C5B2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属于高速公路的，公路建筑控制区的范围从公路用地外缘起向外的距离标准不少于30米，各级道路穿城区、镇区、集镇、村庄居民点段道路符合相关规划要求。</w:t>
      </w:r>
    </w:p>
    <w:p w14:paraId="46FC342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航空</w:t>
      </w:r>
    </w:p>
    <w:p w14:paraId="519AA154">
      <w:pPr>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zh-CN" w:eastAsia="zh-CN"/>
        </w:rPr>
      </w:pPr>
      <w:r>
        <w:rPr>
          <w:rFonts w:hint="default" w:ascii="Times New Roman" w:hAnsi="Times New Roman" w:eastAsia="仿宋_GB2312" w:cs="Times New Roman"/>
          <w:color w:val="auto"/>
          <w:sz w:val="32"/>
          <w:szCs w:val="32"/>
          <w:highlight w:val="none"/>
          <w:lang w:val="zh-CN" w:eastAsia="zh-CN"/>
        </w:rPr>
        <w:t>规划新建</w:t>
      </w:r>
      <w:r>
        <w:rPr>
          <w:rFonts w:hint="default" w:ascii="Times New Roman" w:hAnsi="Times New Roman" w:eastAsia="仿宋_GB2312" w:cs="Times New Roman"/>
          <w:color w:val="auto"/>
          <w:sz w:val="32"/>
          <w:szCs w:val="32"/>
          <w:highlight w:val="none"/>
          <w:lang w:val="en-US" w:eastAsia="zh-CN"/>
        </w:rPr>
        <w:t>通用机场，</w:t>
      </w:r>
      <w:r>
        <w:rPr>
          <w:rFonts w:hint="default" w:ascii="Times New Roman" w:hAnsi="Times New Roman" w:eastAsia="仿宋_GB2312" w:cs="Times New Roman"/>
          <w:color w:val="auto"/>
          <w:sz w:val="32"/>
          <w:szCs w:val="32"/>
          <w:highlight w:val="none"/>
          <w:lang w:val="zh-CN" w:eastAsia="zh-CN"/>
        </w:rPr>
        <w:t>飞机跑道规模为1200</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zh-CN" w:eastAsia="zh-CN"/>
        </w:rPr>
        <w:t>1800米，并配建航站楼、</w:t>
      </w:r>
      <w:r>
        <w:rPr>
          <w:rFonts w:hint="default" w:ascii="Times New Roman" w:hAnsi="Times New Roman" w:eastAsia="仿宋_GB2312" w:cs="Times New Roman"/>
          <w:color w:val="auto"/>
          <w:sz w:val="32"/>
          <w:szCs w:val="32"/>
          <w:highlight w:val="none"/>
          <w:lang w:val="en-US" w:eastAsia="zh-CN"/>
        </w:rPr>
        <w:t>停</w:t>
      </w:r>
      <w:r>
        <w:rPr>
          <w:rFonts w:hint="default" w:ascii="Times New Roman" w:hAnsi="Times New Roman" w:eastAsia="仿宋_GB2312" w:cs="Times New Roman"/>
          <w:color w:val="auto"/>
          <w:sz w:val="32"/>
          <w:szCs w:val="32"/>
          <w:highlight w:val="none"/>
          <w:lang w:val="zh-CN" w:eastAsia="zh-CN"/>
        </w:rPr>
        <w:t>机库、车库等附属设施，占地</w:t>
      </w:r>
      <w:r>
        <w:rPr>
          <w:rFonts w:hint="default" w:ascii="Times New Roman" w:hAnsi="Times New Roman" w:eastAsia="仿宋_GB2312" w:cs="Times New Roman"/>
          <w:color w:val="auto"/>
          <w:sz w:val="32"/>
          <w:szCs w:val="32"/>
          <w:highlight w:val="none"/>
          <w:lang w:val="en-US" w:eastAsia="zh-CN"/>
        </w:rPr>
        <w:t>约40</w:t>
      </w:r>
      <w:r>
        <w:rPr>
          <w:rFonts w:hint="eastAsia" w:ascii="Times New Roman" w:hAnsi="Times New Roman" w:eastAsia="仿宋_GB2312" w:cs="Times New Roman"/>
          <w:color w:val="auto"/>
          <w:sz w:val="32"/>
          <w:szCs w:val="32"/>
          <w:highlight w:val="none"/>
          <w:lang w:val="zh-CN" w:eastAsia="zh-CN"/>
        </w:rPr>
        <w:t>—</w:t>
      </w:r>
      <w:r>
        <w:rPr>
          <w:rFonts w:hint="default" w:ascii="Times New Roman" w:hAnsi="Times New Roman" w:eastAsia="仿宋_GB2312" w:cs="Times New Roman"/>
          <w:color w:val="auto"/>
          <w:sz w:val="32"/>
          <w:szCs w:val="32"/>
          <w:highlight w:val="none"/>
          <w:lang w:val="en-US" w:eastAsia="zh-CN"/>
        </w:rPr>
        <w:t>54公顷</w:t>
      </w:r>
      <w:r>
        <w:rPr>
          <w:rFonts w:hint="default" w:ascii="Times New Roman" w:hAnsi="Times New Roman" w:eastAsia="仿宋_GB2312" w:cs="Times New Roman"/>
          <w:color w:val="auto"/>
          <w:sz w:val="32"/>
          <w:szCs w:val="32"/>
          <w:highlight w:val="none"/>
          <w:lang w:val="zh-CN" w:eastAsia="zh-CN"/>
        </w:rPr>
        <w:t>。</w:t>
      </w:r>
    </w:p>
    <w:p w14:paraId="451F7DE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五、</w:t>
      </w:r>
      <w:r>
        <w:rPr>
          <w:rFonts w:hint="default" w:ascii="Times New Roman" w:hAnsi="Times New Roman" w:eastAsia="楷体_GB2312" w:cs="Times New Roman"/>
          <w:b w:val="0"/>
          <w:bCs w:val="0"/>
          <w:color w:val="auto"/>
          <w:sz w:val="32"/>
          <w:szCs w:val="32"/>
          <w:highlight w:val="none"/>
          <w:lang w:val="en-US" w:eastAsia="zh-CN"/>
        </w:rPr>
        <w:t>水运交通</w:t>
      </w:r>
    </w:p>
    <w:p w14:paraId="0CA527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推进中兴码头建设工程项目，加强干流航道、开放港口、货运码头和信息服务建设，基本适应对俄贸易江海联运发展需要，开通中兴港至哈巴运输江海联运航线。</w:t>
      </w:r>
    </w:p>
    <w:p w14:paraId="7AB72808">
      <w:pPr>
        <w:pStyle w:val="3"/>
        <w:keepNext/>
        <w:keepLines/>
        <w:pageBreakBefore w:val="0"/>
        <w:widowControl w:val="0"/>
        <w:numPr>
          <w:ilvl w:val="0"/>
          <w:numId w:val="10"/>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95" w:name="_Toc15536"/>
      <w:bookmarkStart w:id="196" w:name="_Toc22175"/>
      <w:bookmarkStart w:id="197" w:name="_Toc14189"/>
      <w:r>
        <w:rPr>
          <w:rFonts w:hint="default" w:ascii="Times New Roman" w:hAnsi="Times New Roman" w:eastAsia="黑体" w:cs="Times New Roman"/>
          <w:b w:val="0"/>
          <w:bCs w:val="0"/>
          <w:color w:val="auto"/>
          <w:sz w:val="32"/>
          <w:szCs w:val="32"/>
          <w:highlight w:val="none"/>
          <w:lang w:val="en-US" w:eastAsia="zh-CN"/>
        </w:rPr>
        <w:t>科学布局矿产能源勘查开发空间</w:t>
      </w:r>
      <w:bookmarkEnd w:id="195"/>
    </w:p>
    <w:p w14:paraId="20C39DF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矿产资源保护利用</w:t>
      </w:r>
    </w:p>
    <w:p w14:paraId="64FB98DB">
      <w:pPr>
        <w:keepNext/>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1.矿产资源开发格局</w:t>
      </w:r>
    </w:p>
    <w:p w14:paraId="581C27D4">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结合绥滨县矿产资源特点、区位条件等因素，构建</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两区多点</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的矿产资源开发格局。</w:t>
      </w:r>
    </w:p>
    <w:p w14:paraId="1C206A8E">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两区</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绥滨县西部建筑用砂矿坑相对集中分布，形成西部建筑用砂开发片区；二九〇建筑用砂矿坑相对连片分布，形成二九〇建筑用砂开发片区。</w:t>
      </w:r>
    </w:p>
    <w:p w14:paraId="0C1795D3">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多点</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color w:val="auto"/>
          <w:sz w:val="32"/>
          <w:szCs w:val="32"/>
          <w:highlight w:val="none"/>
          <w:lang w:val="en-US" w:eastAsia="zh-CN"/>
        </w:rPr>
        <w:t>绥东镇、忠仁镇、普阳农场、北岗乡、富强乡等乡镇建筑用砂呈点状分布，形成多点开发格局。</w:t>
      </w:r>
    </w:p>
    <w:p w14:paraId="1913FA0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2.矿产资源保护与利用</w:t>
      </w:r>
    </w:p>
    <w:p w14:paraId="45D36EB5">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至规划期末，建筑用砂采矿权投放总量控制在32个以内；矿产资源的开发利用方式从粗放型向集约型、环保型转变，建筑用砂开采量控制在20.0万立方米/年。</w:t>
      </w:r>
    </w:p>
    <w:p w14:paraId="1FC7967F">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贯彻绿色发展理念，严守永久基本农田、生态保护红线、城镇开发边界三条控制线，矿业活动依法依规合理避让三条控制线。禁止在耕地内开采砖瓦用粘土，禁止开采湿地泥炭、砂金和放射性等有毒有害物质超过规定标准的煤炭资源。</w:t>
      </w:r>
    </w:p>
    <w:p w14:paraId="0C27A01E">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新建矿山严格实行矿山地质环境保护准入制度，按绿色矿山标准建设。生产矿山严格监督</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三废</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达标排放，及时对损毁土地进行复垦，做到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边开采，边治理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。闭坑矿山必须及时做好土地复垦、绿化、地质灾害治理等工作。废弃矿山在城镇周边和主要交通干线两侧的复垦复绿，边远地区的废弃矿山安排自然复绿。</w:t>
      </w:r>
    </w:p>
    <w:p w14:paraId="070CE97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能源安全保障体系</w:t>
      </w:r>
    </w:p>
    <w:p w14:paraId="3672E7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为深入贯彻习近平生态文明思想，落实中央经济工作会议关于</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做好碳达峰、碳中和工作</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的部署，绥滨县以能源转型和减碳为重点，探索</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零碳</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之路。深入推进能源结构优化调整，提高清洁能源、新能源和可再生能源在能源消费结构中的比重，通过可再生能源代替传统化石能源。建设清洁低碳、安全高效的现代能源体系和绿色生活方式，形成能源发展与碳脱钩、经济发展与碳排放脱钩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双替代</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双脱钩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新格局。</w:t>
      </w:r>
    </w:p>
    <w:p w14:paraId="38791E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完善能源基础设施，优化能源消费结构。积极抢抓国家的有利政策机遇，充分利用地势平坦开阔、适合风电场连片开发建设，具备集中上网、保障电源外送的网架，设备运输便利及良好工程地质等条件，大力实施</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平原风电之都</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战略，加快发展以风电为主的新能源产业。</w:t>
      </w:r>
    </w:p>
    <w:p w14:paraId="6129C7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小标宋_GBK" w:cs="Times New Roman"/>
          <w:b w:val="0"/>
          <w:bCs w:val="0"/>
          <w:color w:val="auto"/>
          <w:sz w:val="36"/>
          <w:szCs w:val="36"/>
          <w:highlight w:val="none"/>
          <w:lang w:val="en-US" w:eastAsia="zh-CN"/>
        </w:rPr>
      </w:pPr>
      <w:r>
        <w:rPr>
          <w:rFonts w:hint="default" w:ascii="Times New Roman" w:hAnsi="Times New Roman" w:eastAsia="仿宋_GB2312" w:cs="Times New Roman"/>
          <w:color w:val="auto"/>
          <w:sz w:val="32"/>
          <w:szCs w:val="32"/>
          <w:highlight w:val="none"/>
          <w:lang w:val="en-US" w:eastAsia="zh-CN"/>
        </w:rPr>
        <w:t>鼓励支持引导金融机构，加大对低碳循环经济，环境保护及节能减排改造工程项目的融资支持，运用市场化运作方式，鼓励民间资本进入节能减排改造项目建设领域。</w:t>
      </w:r>
    </w:p>
    <w:p w14:paraId="2CC274A8">
      <w:pPr>
        <w:pStyle w:val="3"/>
        <w:keepNext/>
        <w:keepLines/>
        <w:pageBreakBefore w:val="0"/>
        <w:widowControl w:val="0"/>
        <w:numPr>
          <w:ilvl w:val="0"/>
          <w:numId w:val="10"/>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98" w:name="_Toc30596"/>
      <w:r>
        <w:rPr>
          <w:rFonts w:hint="eastAsia" w:ascii="Times New Roman" w:hAnsi="Times New Roman" w:eastAsia="黑体" w:cs="Times New Roman"/>
          <w:b w:val="0"/>
          <w:bCs w:val="0"/>
          <w:color w:val="auto"/>
          <w:sz w:val="32"/>
          <w:szCs w:val="32"/>
          <w:highlight w:val="none"/>
          <w:lang w:val="en-US" w:eastAsia="zh-CN"/>
        </w:rPr>
        <w:t>优先支持</w:t>
      </w:r>
      <w:r>
        <w:rPr>
          <w:rFonts w:hint="default" w:ascii="Times New Roman" w:hAnsi="Times New Roman" w:eastAsia="黑体" w:cs="Times New Roman"/>
          <w:b w:val="0"/>
          <w:bCs w:val="0"/>
          <w:color w:val="auto"/>
          <w:sz w:val="32"/>
          <w:szCs w:val="32"/>
          <w:highlight w:val="none"/>
          <w:lang w:val="en-US" w:eastAsia="zh-CN"/>
        </w:rPr>
        <w:t>市政设施</w:t>
      </w:r>
      <w:bookmarkEnd w:id="196"/>
      <w:bookmarkEnd w:id="197"/>
      <w:r>
        <w:rPr>
          <w:rFonts w:hint="eastAsia" w:ascii="Times New Roman" w:hAnsi="Times New Roman" w:eastAsia="黑体" w:cs="Times New Roman"/>
          <w:b w:val="0"/>
          <w:bCs w:val="0"/>
          <w:color w:val="auto"/>
          <w:sz w:val="32"/>
          <w:szCs w:val="32"/>
          <w:highlight w:val="none"/>
          <w:lang w:val="en-US" w:eastAsia="zh-CN"/>
        </w:rPr>
        <w:t>建设空间</w:t>
      </w:r>
      <w:bookmarkEnd w:id="198"/>
    </w:p>
    <w:p w14:paraId="51A8421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给水工程</w:t>
      </w:r>
    </w:p>
    <w:p w14:paraId="4B30880C">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zh-CN" w:eastAsia="zh-CN"/>
        </w:rPr>
        <w:t>供水设施</w:t>
      </w:r>
      <w:r>
        <w:rPr>
          <w:rFonts w:hint="default" w:ascii="Times New Roman" w:hAnsi="Times New Roman" w:eastAsia="仿宋_GB2312" w:cs="Times New Roman"/>
          <w:b w:val="0"/>
          <w:bCs w:val="0"/>
          <w:color w:val="auto"/>
          <w:sz w:val="32"/>
          <w:szCs w:val="32"/>
          <w:highlight w:val="none"/>
          <w:lang w:val="en-US" w:eastAsia="zh-CN"/>
        </w:rPr>
        <w:t>布局：</w:t>
      </w:r>
      <w:r>
        <w:rPr>
          <w:rFonts w:hint="default" w:ascii="Times New Roman" w:hAnsi="Times New Roman" w:eastAsia="仿宋_GB2312" w:cs="Times New Roman"/>
          <w:color w:val="auto"/>
          <w:sz w:val="32"/>
          <w:szCs w:val="32"/>
          <w:highlight w:val="none"/>
          <w:lang w:val="en-US" w:eastAsia="zh-CN"/>
        </w:rPr>
        <w:t>规划远期水厂采用以大并小原则进行合并，合并后保留绥滨镇、连生乡、忠仁镇、绥东镇、新富乡、富强乡、北山乡、永德村、中兴村、东方村、福兴乡、高利村、绥滨农场、普阳农场、二九〇农场等给水厂。农村可采用城镇管网延伸集中供水模式、联村集中供水工程、单村集中供水工程解决供水安全问题。</w:t>
      </w:r>
    </w:p>
    <w:p w14:paraId="516A826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排水工程</w:t>
      </w:r>
    </w:p>
    <w:p w14:paraId="2702451B">
      <w:pPr>
        <w:pageBreakBefore w:val="0"/>
        <w:widowControl w:val="0"/>
        <w:kinsoku/>
        <w:wordWrap/>
        <w:overflowPunct/>
        <w:topLinePunct w:val="0"/>
        <w:autoSpaceDE/>
        <w:autoSpaceDN/>
        <w:bidi w:val="0"/>
        <w:adjustRightInd/>
        <w:snapToGrid w:val="0"/>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规划期内县域连生乡、北岗乡、富强乡、福兴满族乡、新富乡、北山乡各修建一座污水处理厂，其他乡镇及农场保留现状污水处理厂，处理方式根据具体情况确定。污水处理后水质达到国家《污水综合排放标准》（GB8978—1996）后可以排入附近水体。</w:t>
      </w:r>
    </w:p>
    <w:p w14:paraId="62C51136">
      <w:pPr>
        <w:pageBreakBefore w:val="0"/>
        <w:widowControl w:val="0"/>
        <w:kinsoku/>
        <w:wordWrap/>
        <w:overflowPunct/>
        <w:topLinePunct w:val="0"/>
        <w:autoSpaceDE/>
        <w:autoSpaceDN/>
        <w:bidi w:val="0"/>
        <w:adjustRightInd/>
        <w:snapToGrid w:val="0"/>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中心城镇雨水分区排放，经雨水管网排放入附近水体；采用不完全分流制的乡镇，雨水经溢流井排放入附近水体。</w:t>
      </w:r>
    </w:p>
    <w:p w14:paraId="489E7A2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通信工程</w:t>
      </w:r>
    </w:p>
    <w:p w14:paraId="13C1F558">
      <w:pPr>
        <w:pageBreakBefore w:val="0"/>
        <w:widowControl w:val="0"/>
        <w:kinsoku/>
        <w:wordWrap/>
        <w:overflowPunct/>
        <w:topLinePunct w:val="0"/>
        <w:autoSpaceDE/>
        <w:autoSpaceDN/>
        <w:bidi w:val="0"/>
        <w:adjustRightInd/>
        <w:snapToGrid w:val="0"/>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规划建设宽带化、智能化、现代化的信息网络，总体统筹规划和合理布局全县通信系统。</w:t>
      </w:r>
    </w:p>
    <w:p w14:paraId="6DBE3EA6">
      <w:pPr>
        <w:pageBreakBefore w:val="0"/>
        <w:widowControl w:val="0"/>
        <w:kinsoku/>
        <w:wordWrap/>
        <w:overflowPunct/>
        <w:topLinePunct w:val="0"/>
        <w:autoSpaceDE/>
        <w:autoSpaceDN/>
        <w:bidi w:val="0"/>
        <w:adjustRightInd/>
        <w:snapToGrid w:val="0"/>
        <w:spacing w:line="600" w:lineRule="exact"/>
        <w:ind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现状已有电信局的乡镇，保留电信局，并根据用户需求增加装机容量；没有电信局的乡镇，新建电信局，规模根据实际用量确定。根据国家规定，逐步实行三网（电信网、广播电视网、互联网）融合，避免通信基础设施的重复建设，达到开放经营和资源共享。推进5G网络延伸覆盖，加快云数据中心、宽带网、物联网、同城网建设，加快推进5G商用步伐。</w:t>
      </w:r>
    </w:p>
    <w:p w14:paraId="5862D27B">
      <w:pPr>
        <w:pageBreakBefore w:val="0"/>
        <w:widowControl w:val="0"/>
        <w:kinsoku/>
        <w:wordWrap/>
        <w:overflowPunct/>
        <w:topLinePunct w:val="0"/>
        <w:autoSpaceDE/>
        <w:autoSpaceDN/>
        <w:bidi w:val="0"/>
        <w:adjustRightInd/>
        <w:snapToGrid w:val="0"/>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建设以中心城区为中心的邮政网络。积极发展广播电视事业，建成无线与有线相结合，广播与电视相补充的覆盖传播系统，使广播电视达到全县覆盖。</w:t>
      </w:r>
    </w:p>
    <w:p w14:paraId="2DAB1B56">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供热工程</w:t>
      </w:r>
    </w:p>
    <w:p w14:paraId="314E59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1.规划目标</w:t>
      </w:r>
    </w:p>
    <w:p w14:paraId="3EDA90A8">
      <w:pPr>
        <w:pageBreakBefore w:val="0"/>
        <w:widowControl w:val="0"/>
        <w:kinsoku/>
        <w:wordWrap/>
        <w:overflowPunct/>
        <w:topLinePunct w:val="0"/>
        <w:autoSpaceDE/>
        <w:autoSpaceDN/>
        <w:bidi w:val="0"/>
        <w:adjustRightInd/>
        <w:snapToGrid w:val="0"/>
        <w:spacing w:line="600" w:lineRule="exact"/>
        <w:ind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发展多种方式、多种能源相结合的安全清洁供热体系，建设多能互补、绿色高效的清洁供热系统，鼓励实施天然气锅炉房烟气余热利用，提高能源利用效率。</w:t>
      </w:r>
    </w:p>
    <w:p w14:paraId="0146DC6E">
      <w:pPr>
        <w:keepNext/>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2.热负荷预测</w:t>
      </w:r>
    </w:p>
    <w:p w14:paraId="0CDD43D3">
      <w:pPr>
        <w:pageBreakBefore w:val="0"/>
        <w:widowControl w:val="0"/>
        <w:kinsoku/>
        <w:wordWrap/>
        <w:overflowPunct/>
        <w:topLinePunct w:val="0"/>
        <w:autoSpaceDE/>
        <w:autoSpaceDN/>
        <w:bidi w:val="0"/>
        <w:adjustRightInd/>
        <w:snapToGrid w:val="0"/>
        <w:spacing w:line="600" w:lineRule="exact"/>
        <w:ind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绥滨县域内生活热水热负荷、制冷热负荷较少不予考虑，采暖热负荷主要集中在各乡镇中心城镇范围内。</w:t>
      </w:r>
    </w:p>
    <w:p w14:paraId="6C580B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3.热源布局</w:t>
      </w:r>
    </w:p>
    <w:p w14:paraId="70796CB1">
      <w:pPr>
        <w:pageBreakBefore w:val="0"/>
        <w:widowControl w:val="0"/>
        <w:kinsoku/>
        <w:wordWrap/>
        <w:overflowPunct/>
        <w:topLinePunct w:val="0"/>
        <w:autoSpaceDE/>
        <w:autoSpaceDN/>
        <w:bidi w:val="0"/>
        <w:adjustRightInd/>
        <w:snapToGrid w:val="0"/>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中心城区以城区东侧新建热电厂为热源，县域其他各乡镇及农场远景展望以集中供热锅炉房作为热源。提高集中供热热化率，完善锅炉设备，调整供热能源结构，减少能源浪费，降低空气污染</w:t>
      </w:r>
      <w:r>
        <w:rPr>
          <w:rFonts w:hint="default" w:ascii="Times New Roman" w:hAnsi="Times New Roman" w:eastAsia="仿宋_GB2312" w:cs="Times New Roman"/>
          <w:color w:val="auto"/>
          <w:sz w:val="32"/>
          <w:szCs w:val="32"/>
          <w:highlight w:val="none"/>
          <w:lang w:val="en-US" w:eastAsia="zh-CN"/>
        </w:rPr>
        <w:t>。</w:t>
      </w:r>
    </w:p>
    <w:p w14:paraId="7BF597A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五、</w:t>
      </w:r>
      <w:r>
        <w:rPr>
          <w:rFonts w:hint="default" w:ascii="Times New Roman" w:hAnsi="Times New Roman" w:eastAsia="楷体_GB2312" w:cs="Times New Roman"/>
          <w:b w:val="0"/>
          <w:bCs w:val="0"/>
          <w:color w:val="auto"/>
          <w:sz w:val="32"/>
          <w:szCs w:val="32"/>
          <w:highlight w:val="none"/>
          <w:lang w:val="en-US" w:eastAsia="zh-CN"/>
        </w:rPr>
        <w:t>燃气工程</w:t>
      </w:r>
    </w:p>
    <w:p w14:paraId="09DCD99C">
      <w:pPr>
        <w:pageBreakBefore w:val="0"/>
        <w:widowControl w:val="0"/>
        <w:kinsoku/>
        <w:wordWrap/>
        <w:overflowPunct/>
        <w:topLinePunct w:val="0"/>
        <w:autoSpaceDE/>
        <w:autoSpaceDN/>
        <w:bidi w:val="0"/>
        <w:adjustRightInd/>
        <w:snapToGrid w:val="0"/>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绥滨县域近期以液化石油气为主，以天然气管道供气为辅；远期气源为中俄远东燃气管道（虎林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宝清），规划建设一处天然气门站，除中心城区外，逐步实现天然气管道供气。管道供气范围主要为中心城区、重点城镇、农场及其他有条件乡镇。</w:t>
      </w:r>
    </w:p>
    <w:p w14:paraId="08B96620">
      <w:pPr>
        <w:pageBreakBefore w:val="0"/>
        <w:widowControl w:val="0"/>
        <w:kinsoku/>
        <w:wordWrap/>
        <w:overflowPunct/>
        <w:topLinePunct w:val="0"/>
        <w:autoSpaceDE/>
        <w:autoSpaceDN/>
        <w:bidi w:val="0"/>
        <w:adjustRightInd/>
        <w:snapToGrid w:val="0"/>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在未使用天然气</w:t>
      </w:r>
      <w:r>
        <w:rPr>
          <w:rFonts w:hint="default" w:ascii="Times New Roman" w:hAnsi="Times New Roman" w:eastAsia="仿宋_GB2312" w:cs="Times New Roman"/>
          <w:color w:val="auto"/>
          <w:sz w:val="32"/>
          <w:szCs w:val="32"/>
          <w:highlight w:val="none"/>
          <w:lang w:val="en-US" w:eastAsia="zh-CN"/>
        </w:rPr>
        <w:t>管道供气的乡镇及农村地区近期使用瓶装液化石油气，远期鼓励发展秸秆、稻草等生物质能，推广沼气等清洁能源利用技术。</w:t>
      </w:r>
    </w:p>
    <w:p w14:paraId="1489F8E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六、</w:t>
      </w:r>
      <w:r>
        <w:rPr>
          <w:rFonts w:hint="default" w:ascii="Times New Roman" w:hAnsi="Times New Roman" w:eastAsia="楷体_GB2312" w:cs="Times New Roman"/>
          <w:b w:val="0"/>
          <w:bCs w:val="0"/>
          <w:color w:val="auto"/>
          <w:sz w:val="32"/>
          <w:szCs w:val="32"/>
          <w:highlight w:val="none"/>
          <w:lang w:val="en-US" w:eastAsia="zh-CN"/>
        </w:rPr>
        <w:t>环卫工程</w:t>
      </w:r>
    </w:p>
    <w:p w14:paraId="65E48E17">
      <w:pPr>
        <w:keepNext/>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1.规划目标</w:t>
      </w:r>
    </w:p>
    <w:p w14:paraId="21BD6977">
      <w:pPr>
        <w:pageBreakBefore w:val="0"/>
        <w:widowControl w:val="0"/>
        <w:kinsoku/>
        <w:wordWrap/>
        <w:overflowPunct/>
        <w:topLinePunct w:val="0"/>
        <w:autoSpaceDE/>
        <w:autoSpaceDN/>
        <w:bidi w:val="0"/>
        <w:adjustRightInd/>
        <w:snapToGrid w:val="0"/>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加强县域环境卫生设施建设，逐步实现清洁作业和垃圾收运机械化。垃圾收运做到日产日清，为城镇居民创造一个清洁、卫生、优美的生活和工作环境。实现生活垃圾处理无害化、资源化、减量化的目标。近期实现生活垃圾的分区收集、分类运输、分类处理和分类处置。远期生活垃圾实行袋装化分类收集，可分为两类：一类为可以回收利用，</w:t>
      </w:r>
      <w:r>
        <w:rPr>
          <w:rFonts w:hint="default" w:ascii="Times New Roman" w:hAnsi="Times New Roman" w:eastAsia="仿宋_GB2312" w:cs="Times New Roman"/>
          <w:b w:val="0"/>
          <w:bCs w:val="0"/>
          <w:color w:val="auto"/>
          <w:sz w:val="32"/>
          <w:szCs w:val="32"/>
          <w:highlight w:val="none"/>
          <w:lang w:val="en-US" w:eastAsia="zh-CN"/>
        </w:rPr>
        <w:t>二类为可以填埋。</w:t>
      </w:r>
    </w:p>
    <w:p w14:paraId="3FDD869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3.环卫设施布局</w:t>
      </w:r>
    </w:p>
    <w:p w14:paraId="11265B64">
      <w:pPr>
        <w:pageBreakBefore w:val="0"/>
        <w:widowControl w:val="0"/>
        <w:kinsoku/>
        <w:wordWrap/>
        <w:overflowPunct/>
        <w:topLinePunct w:val="0"/>
        <w:autoSpaceDE/>
        <w:autoSpaceDN/>
        <w:bidi w:val="0"/>
        <w:adjustRightInd/>
        <w:snapToGrid w:val="0"/>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规划保留县域内的垃圾</w:t>
      </w:r>
      <w:r>
        <w:rPr>
          <w:rFonts w:hint="eastAsia" w:ascii="Times New Roman" w:hAnsi="Times New Roman" w:eastAsia="仿宋_GB2312" w:cs="Times New Roman"/>
          <w:b w:val="0"/>
          <w:bCs w:val="0"/>
          <w:color w:val="auto"/>
          <w:sz w:val="32"/>
          <w:szCs w:val="32"/>
          <w:highlight w:val="none"/>
          <w:lang w:val="en-US" w:eastAsia="zh-CN"/>
        </w:rPr>
        <w:t>处理厂</w:t>
      </w:r>
      <w:r>
        <w:rPr>
          <w:rFonts w:hint="default" w:ascii="Times New Roman" w:hAnsi="Times New Roman" w:eastAsia="仿宋_GB2312" w:cs="Times New Roman"/>
          <w:b w:val="0"/>
          <w:bCs w:val="0"/>
          <w:color w:val="auto"/>
          <w:sz w:val="32"/>
          <w:szCs w:val="32"/>
          <w:highlight w:val="none"/>
          <w:lang w:val="en-US" w:eastAsia="zh-CN"/>
        </w:rPr>
        <w:t>，其他各乡镇配建垃圾转运站，集中处理县域内的各种生活垃圾。新建建筑垃圾处理场用于县域范围内产生的建筑垃圾处理。</w:t>
      </w:r>
    </w:p>
    <w:p w14:paraId="43FAEBE4">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七、</w:t>
      </w:r>
      <w:r>
        <w:rPr>
          <w:rFonts w:hint="default" w:ascii="Times New Roman" w:hAnsi="Times New Roman" w:eastAsia="楷体_GB2312" w:cs="Times New Roman"/>
          <w:b w:val="0"/>
          <w:bCs w:val="0"/>
          <w:color w:val="auto"/>
          <w:sz w:val="32"/>
          <w:szCs w:val="32"/>
          <w:highlight w:val="none"/>
          <w:lang w:val="en-US" w:eastAsia="zh-CN"/>
        </w:rPr>
        <w:t>邻避设施</w:t>
      </w:r>
    </w:p>
    <w:p w14:paraId="403EC506">
      <w:pPr>
        <w:keepNext/>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1.殡葬设施</w:t>
      </w:r>
    </w:p>
    <w:p w14:paraId="6A900CC0">
      <w:pPr>
        <w:pageBreakBefore w:val="0"/>
        <w:widowControl w:val="0"/>
        <w:kinsoku/>
        <w:wordWrap/>
        <w:overflowPunct/>
        <w:topLinePunct w:val="0"/>
        <w:autoSpaceDE/>
        <w:autoSpaceDN/>
        <w:bidi w:val="0"/>
        <w:adjustRightInd/>
        <w:snapToGrid w:val="0"/>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合理安排殡葬设施用地，完善绥滨县殡仪馆、龙凤山公墓、忠仁镇骨灰寄存堂项目、二九〇农场、绥滨农场、普阳农场殡仪馆配套设施，坚持推进殡葬改革与完善殡葬服务供给相结合，加快中心乡镇公益性骨灰安放设施建设和殡仪馆火化设备更新改造，引导群众文明治丧、低碳祭扫，通过丧葬事宜弘扬中华民族传统美德，大力倡导社会主义核心价值理念。</w:t>
      </w:r>
    </w:p>
    <w:p w14:paraId="1E42BC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2.微波空间路由</w:t>
      </w:r>
    </w:p>
    <w:p w14:paraId="15307E5A">
      <w:pPr>
        <w:pageBreakBefore w:val="0"/>
        <w:widowControl w:val="0"/>
        <w:kinsoku/>
        <w:wordWrap/>
        <w:overflowPunct/>
        <w:topLinePunct w:val="0"/>
        <w:autoSpaceDE/>
        <w:autoSpaceDN/>
        <w:bidi w:val="0"/>
        <w:adjustRightInd/>
        <w:snapToGrid w:val="0"/>
        <w:spacing w:line="600" w:lineRule="exact"/>
        <w:ind w:firstLine="640" w:firstLineChars="200"/>
        <w:jc w:val="left"/>
        <w:textAlignment w:val="auto"/>
        <w:rPr>
          <w:rFonts w:hint="default" w:ascii="Times New Roman" w:hAnsi="Times New Roman" w:eastAsia="方正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规划落实两条微波空间路由通道，控制必须符合国家相关部门以及通信行业内所规定的规范标准，根据市场的业务需求，对微波通道实行统筹规划，保证微波信号传输的质量。为了避免对城市规划建设造成阻碍，尽量控制新增微波通道的数量，</w:t>
      </w:r>
      <w:r>
        <w:rPr>
          <w:rFonts w:hint="eastAsia" w:ascii="Times New Roman" w:hAnsi="Times New Roman" w:eastAsia="仿宋_GB2312" w:cs="Times New Roman"/>
          <w:b w:val="0"/>
          <w:bCs w:val="0"/>
          <w:color w:val="auto"/>
          <w:sz w:val="32"/>
          <w:szCs w:val="32"/>
          <w:highlight w:val="none"/>
          <w:lang w:val="en-US" w:eastAsia="zh-CN"/>
        </w:rPr>
        <w:t>对</w:t>
      </w:r>
      <w:r>
        <w:rPr>
          <w:rFonts w:hint="default" w:ascii="Times New Roman" w:hAnsi="Times New Roman" w:eastAsia="仿宋_GB2312" w:cs="Times New Roman"/>
          <w:b w:val="0"/>
          <w:bCs w:val="0"/>
          <w:color w:val="auto"/>
          <w:sz w:val="32"/>
          <w:szCs w:val="32"/>
          <w:highlight w:val="none"/>
          <w:lang w:val="en-US" w:eastAsia="zh-CN"/>
        </w:rPr>
        <w:t>现有通道进行充分利用，实现资源的优化配置。</w:t>
      </w:r>
    </w:p>
    <w:p w14:paraId="1A03B33C">
      <w:pPr>
        <w:pStyle w:val="3"/>
        <w:keepNext/>
        <w:keepLines/>
        <w:pageBreakBefore w:val="0"/>
        <w:widowControl w:val="0"/>
        <w:numPr>
          <w:ilvl w:val="0"/>
          <w:numId w:val="10"/>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199" w:name="_Toc3197"/>
      <w:r>
        <w:rPr>
          <w:rFonts w:hint="default" w:ascii="Times New Roman" w:hAnsi="Times New Roman" w:eastAsia="黑体" w:cs="Times New Roman"/>
          <w:b w:val="0"/>
          <w:bCs w:val="0"/>
          <w:color w:val="auto"/>
          <w:sz w:val="32"/>
          <w:szCs w:val="32"/>
          <w:highlight w:val="none"/>
          <w:lang w:val="en-US" w:eastAsia="zh-CN"/>
        </w:rPr>
        <w:t>加强综合防灾设施建设空间保障</w:t>
      </w:r>
      <w:bookmarkEnd w:id="199"/>
    </w:p>
    <w:p w14:paraId="4557DE41">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灾害风险评估</w:t>
      </w:r>
    </w:p>
    <w:p w14:paraId="37583C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1.地质地震灾害</w:t>
      </w:r>
    </w:p>
    <w:p w14:paraId="33E6D27C">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根据黑龙江省地质灾害防治区划图、黑龙江省易发灾害程度分区图，判断绥滨县为不易发区和一般防治区，均为最低等级，绥滨县地质灾害危险性等级低。</w:t>
      </w:r>
    </w:p>
    <w:p w14:paraId="4B775BF4">
      <w:pPr>
        <w:keepNext/>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2.气象水文灾害</w:t>
      </w:r>
    </w:p>
    <w:p w14:paraId="506ECDB0">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选取干旱、雨涝、高温热害、低温冷害、大风灾害几项指标评定灾害等级。采用专家评分法确定全县气象灾害综合风险为低风险。综合结论绥滨县全县灾害风险为低风险。</w:t>
      </w:r>
    </w:p>
    <w:p w14:paraId="2DECA14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综合防灾减灾</w:t>
      </w:r>
    </w:p>
    <w:p w14:paraId="50421A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1.综合防灾减灾目标</w:t>
      </w:r>
    </w:p>
    <w:p w14:paraId="670C9A06">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规划建立和完善绥滨县城乡突发事件应急、预警体系，建立统一、协调的灾害监测、预警、信息、指挥和救援的综合服务网络，推进救助保障体系建设，全民防灾减灾意识和能力普遍提高，社会防灾减灾能力明显增强，有效减少灾害造成经济损失和重大人员伤亡。</w:t>
      </w:r>
    </w:p>
    <w:p w14:paraId="4DA214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2.综合防灾</w:t>
      </w:r>
    </w:p>
    <w:p w14:paraId="09C7B2D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u w:val="none"/>
          <w:lang w:val="en-US" w:eastAsia="zh-CN"/>
        </w:rPr>
      </w:pPr>
      <w:r>
        <w:rPr>
          <w:rFonts w:hint="default" w:ascii="Times New Roman" w:hAnsi="Times New Roman" w:eastAsia="仿宋_GB2312" w:cs="Times New Roman"/>
          <w:b w:val="0"/>
          <w:bCs w:val="0"/>
          <w:color w:val="auto"/>
          <w:sz w:val="32"/>
          <w:szCs w:val="32"/>
          <w:highlight w:val="none"/>
          <w:u w:val="none"/>
          <w:lang w:val="en-US" w:eastAsia="zh-CN"/>
        </w:rPr>
        <w:t>防灾指挥中心：依托绥滨县政府设置1处县级防灾指挥中心，其他建制镇结合镇政府设置镇级防灾指挥中心，村庄按照实际情况进行设置。</w:t>
      </w:r>
    </w:p>
    <w:p w14:paraId="37126782">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生命线工程：以对外交通系统、供水系统、供电系统、通信系统、医疗卫生系统、粮食供应系统和消防系统为生命线系统的主要内容，各乡镇按照各系统国家有关抗震设防的标准要求进行抗震设防，保证发生地震时各系统能够基本正常工作。城市生命线工程及城市的重点工程，在选择建设场址时应避开对抗震不利地段。</w:t>
      </w:r>
    </w:p>
    <w:p w14:paraId="0F9936B9">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建立应急救援队，救援队由人防、消防、医疗、地震、电信等部门人员组成，建立抢险抢修、医疗救护、防化防疫、交通运输、通信保障、消防和治安维护、高科技等专业队伍。</w:t>
      </w:r>
    </w:p>
    <w:p w14:paraId="2C786D13">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建设物资保障设施，中心城区和其他乡镇的政府驻地、村委会驻地的应急物资储备分发场地、应急物资储存仓库。</w:t>
      </w:r>
    </w:p>
    <w:p w14:paraId="2E9F054A">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应急避难场所：利用县域各城镇内公园、广场、学校、停车场等作为避震疏散场地；周围应无次生灾害源且道路畅通，地势较高，附近应有供水、供电设施，以便于生活供应、人群转移和伤员救治等。</w:t>
      </w:r>
    </w:p>
    <w:p w14:paraId="58848364">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防灾疏散通道：全县对外疏散通道主要G331绥嘉公路、省道忠仁镇至同江段、</w:t>
      </w:r>
      <w:r>
        <w:rPr>
          <w:rFonts w:hint="default" w:ascii="Times New Roman" w:hAnsi="Times New Roman" w:eastAsia="仿宋_GB2312" w:cs="Times New Roman"/>
          <w:color w:val="auto"/>
          <w:sz w:val="32"/>
          <w:szCs w:val="32"/>
          <w:highlight w:val="none"/>
          <w:lang w:val="en-US" w:eastAsia="zh-CN"/>
        </w:rPr>
        <w:t>省道小佳河至亮子河公路</w:t>
      </w:r>
      <w:r>
        <w:rPr>
          <w:rFonts w:hint="default" w:ascii="Times New Roman" w:hAnsi="Times New Roman" w:eastAsia="仿宋_GB2312" w:cs="Times New Roman"/>
          <w:b w:val="0"/>
          <w:bCs w:val="0"/>
          <w:color w:val="auto"/>
          <w:sz w:val="32"/>
          <w:szCs w:val="32"/>
          <w:highlight w:val="none"/>
          <w:lang w:val="en-US" w:eastAsia="zh-CN"/>
        </w:rPr>
        <w:t>及其他二级及以上公路；中心城区疏散通道依托城市干道设置，乡村疏散通道依托连通乡村的公路进行设置。</w:t>
      </w:r>
    </w:p>
    <w:p w14:paraId="568EF1CF">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防洪工程</w:t>
      </w:r>
    </w:p>
    <w:p w14:paraId="7E40CF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1.防洪标准</w:t>
      </w:r>
    </w:p>
    <w:p w14:paraId="0EB9FCD0">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县域内松花江和黑龙江防洪标准50年一遇，堤防工程为二级。</w:t>
      </w:r>
    </w:p>
    <w:p w14:paraId="47905DE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2.治涝标准</w:t>
      </w:r>
    </w:p>
    <w:p w14:paraId="584268CE">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治涝标准为5年一遇；</w:t>
      </w:r>
    </w:p>
    <w:p w14:paraId="6F8BEE1F">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绥滨县涝区农田防洪标准为50年一遇。</w:t>
      </w:r>
    </w:p>
    <w:p w14:paraId="24E9E9FD">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消防工程</w:t>
      </w:r>
    </w:p>
    <w:p w14:paraId="2D9BBDB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1.消防站布局</w:t>
      </w:r>
    </w:p>
    <w:p w14:paraId="44A3509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u w:val="none"/>
          <w:lang w:val="en-US" w:eastAsia="zh-CN"/>
        </w:rPr>
        <w:t>按照《乡镇消防队》（GBT35547-2017）、《城市消防站建设标准》（建标152-2017）标准，绥滨镇规划保留现状二级消防队，新建一级消防站一处；忠仁镇、绥东镇规划二级消防站；绥滨农场、普阳农场、二九〇农场、北岗乡、北山乡、新富乡、北山乡、富强乡、福兴乡建设志愿消防队。</w:t>
      </w:r>
      <w:r>
        <w:rPr>
          <w:rFonts w:hint="default" w:ascii="Times New Roman" w:hAnsi="Times New Roman" w:eastAsia="仿宋_GB2312" w:cs="Times New Roman"/>
          <w:color w:val="auto"/>
          <w:sz w:val="32"/>
          <w:szCs w:val="32"/>
          <w:highlight w:val="none"/>
          <w:lang w:val="en-US" w:eastAsia="zh-CN"/>
        </w:rPr>
        <w:t>按照有关规定进行人员、车辆及通讯设施配备，确保火灾扑救、抢险救援的及时有效。</w:t>
      </w:r>
    </w:p>
    <w:p w14:paraId="61EA79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2.消防给水</w:t>
      </w:r>
    </w:p>
    <w:p w14:paraId="19983216">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在城市、居住区、工厂、仓库等的规划和建筑设计时，必须同时设计消防给水系统。城市、居住区应设市政消防水鹤以及消火栓。民用建筑、厂房（仓库）、储罐（区）、堆场应设室外消防水鹤以及消火栓。民用建筑、厂房（仓库）应设室内消火栓。规划采用以城市给水管网系统为主，其他人工和天然水源为辅的消防供水方式。</w:t>
      </w:r>
    </w:p>
    <w:p w14:paraId="76865171">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五、</w:t>
      </w:r>
      <w:r>
        <w:rPr>
          <w:rFonts w:hint="default" w:ascii="Times New Roman" w:hAnsi="Times New Roman" w:eastAsia="楷体_GB2312" w:cs="Times New Roman"/>
          <w:b w:val="0"/>
          <w:bCs w:val="0"/>
          <w:color w:val="auto"/>
          <w:sz w:val="32"/>
          <w:szCs w:val="32"/>
          <w:highlight w:val="none"/>
          <w:lang w:val="en-US" w:eastAsia="zh-CN"/>
        </w:rPr>
        <w:t>抗震工程</w:t>
      </w:r>
    </w:p>
    <w:p w14:paraId="0F1342A8">
      <w:pPr>
        <w:pStyle w:val="18"/>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u w:val="none"/>
          <w:lang w:val="en-US" w:eastAsia="zh-CN" w:bidi="ar-SA"/>
        </w:rPr>
        <w:t>根据《中国地震动参数区划图》（GB18306-2015）及其技术要素和使用规定，绥滨县地震动参数为0.05g（相当于烈度VI度区），按地震烈度VI度设防，生命线工程提高一度设防。</w:t>
      </w:r>
    </w:p>
    <w:p w14:paraId="3C0F13C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六、</w:t>
      </w:r>
      <w:r>
        <w:rPr>
          <w:rFonts w:hint="default" w:ascii="Times New Roman" w:hAnsi="Times New Roman" w:eastAsia="楷体_GB2312" w:cs="Times New Roman"/>
          <w:b w:val="0"/>
          <w:bCs w:val="0"/>
          <w:color w:val="auto"/>
          <w:sz w:val="32"/>
          <w:szCs w:val="32"/>
          <w:highlight w:val="none"/>
          <w:lang w:val="en-US" w:eastAsia="zh-CN"/>
        </w:rPr>
        <w:t>地质灾害防治</w:t>
      </w:r>
    </w:p>
    <w:p w14:paraId="6A699F55">
      <w:pPr>
        <w:keepNext/>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1.绥滨县地质灾害的防范重点为：</w:t>
      </w:r>
    </w:p>
    <w:p w14:paraId="7B0C90F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（1）各类非金属矿山采矿活动产生不稳定边坡造成的地质灾害隐患。</w:t>
      </w:r>
    </w:p>
    <w:p w14:paraId="5C5FF5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（2）河流、水库等汛期重点防范区域因降水等因素引起的地质灾害。</w:t>
      </w:r>
    </w:p>
    <w:p w14:paraId="78D38E3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2.地质灾害防治管理措施</w:t>
      </w:r>
    </w:p>
    <w:p w14:paraId="774D3B2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确定重点，加强防范；坚持原则，防治结合；多方合作，密切配合；重点加强汛期地质灾害防治工作；实施地质灾害防治网格化管理。</w:t>
      </w:r>
    </w:p>
    <w:p w14:paraId="115DE131">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七、</w:t>
      </w:r>
      <w:r>
        <w:rPr>
          <w:rFonts w:hint="default" w:ascii="Times New Roman" w:hAnsi="Times New Roman" w:eastAsia="楷体_GB2312" w:cs="Times New Roman"/>
          <w:b w:val="0"/>
          <w:bCs w:val="0"/>
          <w:color w:val="auto"/>
          <w:sz w:val="32"/>
          <w:szCs w:val="32"/>
          <w:highlight w:val="none"/>
          <w:lang w:val="en-US" w:eastAsia="zh-CN"/>
        </w:rPr>
        <w:t>人防工程</w:t>
      </w:r>
    </w:p>
    <w:p w14:paraId="367E1134">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以增强城镇总体防护功能为前提，紧密结合城镇建设，适应战时防空和平时利用两方面的需要，逐步建成一个配置齐全、功能完善、布局合理的人防工程体系。</w:t>
      </w:r>
    </w:p>
    <w:p w14:paraId="4BF5926E">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城镇防护布局：有计划</w:t>
      </w:r>
      <w:r>
        <w:rPr>
          <w:rFonts w:hint="eastAsia" w:ascii="Times New Roman" w:hAnsi="Times New Roman" w:eastAsia="仿宋_GB2312" w:cs="Times New Roman"/>
          <w:color w:val="auto"/>
          <w:sz w:val="32"/>
          <w:szCs w:val="32"/>
          <w:highlight w:val="none"/>
          <w:lang w:val="en-US" w:eastAsia="zh-CN"/>
        </w:rPr>
        <w:t>地</w:t>
      </w:r>
      <w:r>
        <w:rPr>
          <w:rFonts w:hint="default" w:ascii="Times New Roman" w:hAnsi="Times New Roman" w:eastAsia="仿宋_GB2312" w:cs="Times New Roman"/>
          <w:color w:val="auto"/>
          <w:sz w:val="32"/>
          <w:szCs w:val="32"/>
          <w:highlight w:val="none"/>
          <w:lang w:val="en-US" w:eastAsia="zh-CN"/>
        </w:rPr>
        <w:t>发展中心城区和各乡镇驻地，结合战时疏散与平时抗震防灾和消防的要求，合理布置城市广场和绿地，并结合城市广场和绿地建设地下人防工程；易燃易爆和有毒物品的生产和储存选址应远离城市居民集中区。</w:t>
      </w:r>
    </w:p>
    <w:p w14:paraId="4A02E0DF">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城镇重点防护目标：中心城区及各乡镇党政机关、重要的工业企业、对外交通设施、水厂、变电所等基础设施、各类危险品仓库等为城镇重要防护目标。</w:t>
      </w:r>
    </w:p>
    <w:p w14:paraId="10D381B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人防工程建设布局：建立人防工程体系，在中心城区设立指挥所，</w:t>
      </w:r>
      <w:r>
        <w:rPr>
          <w:rFonts w:hint="eastAsia" w:ascii="Times New Roman" w:hAnsi="Times New Roman" w:eastAsia="仿宋_GB2312" w:cs="Times New Roman"/>
          <w:color w:val="auto"/>
          <w:sz w:val="32"/>
          <w:szCs w:val="32"/>
          <w:highlight w:val="none"/>
          <w:lang w:val="en-US" w:eastAsia="zh-CN"/>
        </w:rPr>
        <w:t>配置通信</w:t>
      </w:r>
      <w:r>
        <w:rPr>
          <w:rFonts w:hint="default" w:ascii="Times New Roman" w:hAnsi="Times New Roman" w:eastAsia="仿宋_GB2312" w:cs="Times New Roman"/>
          <w:color w:val="auto"/>
          <w:sz w:val="32"/>
          <w:szCs w:val="32"/>
          <w:highlight w:val="none"/>
          <w:lang w:val="en-US" w:eastAsia="zh-CN"/>
        </w:rPr>
        <w:t>、消防、防化、医疗、运输、抢修、物资等专业工程。人防工程布局应充分利用地形、地物，医疗救护工程以防护体系为单位布置在交通便利地区。人员隐蔽工程尽量靠近人员集中地区。</w:t>
      </w:r>
    </w:p>
    <w:p w14:paraId="6C904504">
      <w:pPr>
        <w:rPr>
          <w:rFonts w:hint="default" w:ascii="Times New Roman" w:hAnsi="Times New Roman" w:eastAsia="方正小标宋简体" w:cs="Times New Roman"/>
          <w:b w:val="0"/>
          <w:bCs w:val="0"/>
          <w:color w:val="auto"/>
          <w:sz w:val="36"/>
          <w:szCs w:val="36"/>
          <w:highlight w:val="none"/>
          <w:lang w:val="en-US" w:eastAsia="zh-CN"/>
        </w:rPr>
      </w:pPr>
      <w:r>
        <w:rPr>
          <w:rFonts w:hint="default" w:ascii="Times New Roman" w:hAnsi="Times New Roman" w:eastAsia="方正小标宋简体" w:cs="Times New Roman"/>
          <w:b w:val="0"/>
          <w:bCs w:val="0"/>
          <w:color w:val="auto"/>
          <w:sz w:val="36"/>
          <w:szCs w:val="36"/>
          <w:highlight w:val="none"/>
          <w:lang w:val="en-US" w:eastAsia="zh-CN"/>
        </w:rPr>
        <w:br w:type="page"/>
      </w:r>
    </w:p>
    <w:p w14:paraId="5C604DDE">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方正小标宋简体" w:cs="Times New Roman"/>
          <w:b w:val="0"/>
          <w:bCs w:val="0"/>
          <w:color w:val="auto"/>
          <w:sz w:val="36"/>
          <w:szCs w:val="36"/>
          <w:highlight w:val="none"/>
          <w:lang w:val="en-US" w:eastAsia="zh-CN"/>
        </w:rPr>
      </w:pPr>
      <w:bookmarkStart w:id="200" w:name="_Toc29799"/>
      <w:r>
        <w:rPr>
          <w:rFonts w:hint="default" w:ascii="Times New Roman" w:hAnsi="Times New Roman" w:eastAsia="方正小标宋简体" w:cs="Times New Roman"/>
          <w:b w:val="0"/>
          <w:bCs w:val="0"/>
          <w:color w:val="auto"/>
          <w:sz w:val="36"/>
          <w:szCs w:val="36"/>
          <w:highlight w:val="none"/>
          <w:lang w:val="en-US" w:eastAsia="zh-CN"/>
        </w:rPr>
        <w:t>构建多向联动的区域发展格局</w:t>
      </w:r>
      <w:bookmarkEnd w:id="200"/>
    </w:p>
    <w:p w14:paraId="68D282DA">
      <w:pPr>
        <w:pStyle w:val="3"/>
        <w:keepNext/>
        <w:keepLines/>
        <w:pageBreakBefore w:val="0"/>
        <w:widowControl w:val="0"/>
        <w:numPr>
          <w:ilvl w:val="0"/>
          <w:numId w:val="1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201" w:name="_Toc8861"/>
      <w:r>
        <w:rPr>
          <w:rFonts w:hint="default" w:ascii="Times New Roman" w:hAnsi="Times New Roman" w:eastAsia="黑体" w:cs="Times New Roman"/>
          <w:b w:val="0"/>
          <w:bCs w:val="0"/>
          <w:color w:val="auto"/>
          <w:sz w:val="32"/>
          <w:szCs w:val="32"/>
          <w:highlight w:val="none"/>
          <w:lang w:val="en-US" w:eastAsia="zh-CN"/>
        </w:rPr>
        <w:t>沿边合作，加快融入</w:t>
      </w:r>
      <w:r>
        <w:rPr>
          <w:rFonts w:hint="eastAsia" w:ascii="Times New Roman" w:hAnsi="Times New Roman" w:eastAsia="黑体" w:cs="Times New Roman"/>
          <w:b w:val="0"/>
          <w:bCs w:val="0"/>
          <w:color w:val="auto"/>
          <w:sz w:val="32"/>
          <w:szCs w:val="32"/>
          <w:highlight w:val="none"/>
          <w:lang w:val="en-US" w:eastAsia="zh-CN"/>
        </w:rPr>
        <w:t>“</w:t>
      </w:r>
      <w:r>
        <w:rPr>
          <w:rFonts w:hint="default" w:ascii="Times New Roman" w:hAnsi="Times New Roman" w:eastAsia="黑体" w:cs="Times New Roman"/>
          <w:b w:val="0"/>
          <w:bCs w:val="0"/>
          <w:color w:val="auto"/>
          <w:sz w:val="32"/>
          <w:szCs w:val="32"/>
          <w:highlight w:val="none"/>
          <w:lang w:val="en-US" w:eastAsia="zh-CN"/>
        </w:rPr>
        <w:t>一带一路</w:t>
      </w:r>
      <w:r>
        <w:rPr>
          <w:rFonts w:hint="eastAsia" w:ascii="Times New Roman" w:hAnsi="Times New Roman" w:eastAsia="黑体" w:cs="Times New Roman"/>
          <w:b w:val="0"/>
          <w:bCs w:val="0"/>
          <w:color w:val="auto"/>
          <w:sz w:val="32"/>
          <w:szCs w:val="32"/>
          <w:highlight w:val="none"/>
          <w:lang w:val="en-US" w:eastAsia="zh-CN"/>
        </w:rPr>
        <w:t>”</w:t>
      </w:r>
      <w:bookmarkEnd w:id="201"/>
    </w:p>
    <w:p w14:paraId="1F2BBEA4">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val="0"/>
          <w:bCs w:val="0"/>
          <w:color w:val="auto"/>
          <w:sz w:val="32"/>
          <w:szCs w:val="32"/>
          <w:highlight w:val="none"/>
          <w:lang w:val="en-US" w:eastAsia="zh-CN"/>
        </w:rPr>
        <w:t>深化对俄开放与合作</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随着国际社会环境变化，东北亚地区国家层面合作和经济往来将进入新阶段，</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一带一路</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的建设将迎合新的国际环境，充分利用对外贸易特殊窗口期，大力推进边境口岸城市进一步对外合作，加强边境城市自身建设与产业发展。绥滨县应充分发挥东北亚及中俄边境城市的地缘优势，依托</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同抚</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边境发展区及名山口岸，深入挖掘自身资源与特色，重点推动与对俄贸易、边境旅游，以及农业等方面的合作与发展，推动产业发展通道建设和区域合作，利用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边境腹地</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优势，打造</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生产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加工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运输</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口岸</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快速进出口线路。同时，推动跨境人员一站式服务，加强人员流通便利程度，实现真正意义上的与口岸高效便捷联通。</w:t>
      </w:r>
    </w:p>
    <w:p w14:paraId="15D87D28">
      <w:pPr>
        <w:pStyle w:val="3"/>
        <w:keepNext/>
        <w:keepLines/>
        <w:pageBreakBefore w:val="0"/>
        <w:widowControl w:val="0"/>
        <w:numPr>
          <w:ilvl w:val="0"/>
          <w:numId w:val="1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202" w:name="_Toc5838"/>
      <w:r>
        <w:rPr>
          <w:rFonts w:hint="default" w:ascii="Times New Roman" w:hAnsi="Times New Roman" w:eastAsia="黑体" w:cs="Times New Roman"/>
          <w:b w:val="0"/>
          <w:bCs w:val="0"/>
          <w:color w:val="auto"/>
          <w:sz w:val="32"/>
          <w:szCs w:val="32"/>
          <w:highlight w:val="none"/>
          <w:lang w:val="en-US" w:eastAsia="zh-CN"/>
        </w:rPr>
        <w:t>省内联动，积极参与全省各级各类活动</w:t>
      </w:r>
      <w:bookmarkEnd w:id="202"/>
    </w:p>
    <w:p w14:paraId="2D311AFB">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加强与省内重要城市联动</w:t>
      </w:r>
    </w:p>
    <w:p w14:paraId="3F3D75CE">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主动对接哈尔滨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两小时经济圈</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加速绥滨发展的空间和市场向全省延伸，依托规划铁路和支线机场，全面打通绥滨至鹤岗、绥滨至哈尔滨等省内重要城市快速大运量交通瓶颈，促使绥滨融入省内重要经济区域，强化产业协作能力，促进绥滨县经济进一步发展。</w:t>
      </w:r>
    </w:p>
    <w:p w14:paraId="04FC661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强化区域城镇群重要节点功能</w:t>
      </w:r>
    </w:p>
    <w:p w14:paraId="49142BF4">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以佳木斯为枢纽城市，以四煤城为节点城市构成的</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东部城市组团</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，是全省高质量发展的新动力源，依托地缘相近的区位优势，强化绥滨县</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以佳木斯为核心的东部城市组团</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节点功能，成为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哈佳同抚开发开放发展轴线</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重要组成城镇之一，加强绥滨县与其他组团内部城市之间在经济、交通、生态与环境保护、污染治理和灾害防治等方面的协调发展。</w:t>
      </w:r>
    </w:p>
    <w:p w14:paraId="0726BC1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发挥</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楷体_GB2312" w:cs="Times New Roman"/>
          <w:b w:val="0"/>
          <w:bCs w:val="0"/>
          <w:color w:val="auto"/>
          <w:sz w:val="32"/>
          <w:szCs w:val="32"/>
          <w:highlight w:val="none"/>
          <w:lang w:val="en-US" w:eastAsia="zh-CN"/>
        </w:rPr>
        <w:t>醉美331</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楷体_GB2312" w:cs="Times New Roman"/>
          <w:b w:val="0"/>
          <w:bCs w:val="0"/>
          <w:color w:val="auto"/>
          <w:sz w:val="32"/>
          <w:szCs w:val="32"/>
          <w:highlight w:val="none"/>
          <w:lang w:val="en-US" w:eastAsia="zh-CN"/>
        </w:rPr>
        <w:t>边境公路作用</w:t>
      </w:r>
    </w:p>
    <w:p w14:paraId="7264D5F6">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发挥</w:t>
      </w:r>
      <w:r>
        <w:rPr>
          <w:rFonts w:hint="default" w:ascii="Times New Roman" w:hAnsi="Times New Roman" w:eastAsia="仿宋_GB2312" w:cs="Times New Roman"/>
          <w:color w:val="auto"/>
          <w:sz w:val="32"/>
          <w:szCs w:val="32"/>
          <w:highlight w:val="none"/>
          <w:lang w:val="en-US" w:eastAsia="zh-CN"/>
        </w:rPr>
        <w:t>G</w:t>
      </w:r>
      <w:r>
        <w:rPr>
          <w:rFonts w:hint="default" w:ascii="Times New Roman" w:hAnsi="Times New Roman" w:eastAsia="仿宋_GB2312" w:cs="Times New Roman"/>
          <w:color w:val="auto"/>
          <w:sz w:val="32"/>
          <w:szCs w:val="32"/>
          <w:highlight w:val="none"/>
        </w:rPr>
        <w:t>331边境公路交通动脉作用的同时，深入挖掘沿线地区附加价值，大力发展边境旅游产业，建立全域旅游体系，强化</w:t>
      </w:r>
      <w:r>
        <w:rPr>
          <w:rFonts w:hint="default" w:ascii="Times New Roman" w:hAnsi="Times New Roman" w:eastAsia="仿宋_GB2312" w:cs="Times New Roman"/>
          <w:color w:val="auto"/>
          <w:sz w:val="32"/>
          <w:szCs w:val="32"/>
          <w:highlight w:val="none"/>
          <w:lang w:eastAsia="zh-CN"/>
        </w:rPr>
        <w:t>旅游</w:t>
      </w:r>
      <w:r>
        <w:rPr>
          <w:rFonts w:hint="default" w:ascii="Times New Roman" w:hAnsi="Times New Roman" w:eastAsia="仿宋_GB2312" w:cs="Times New Roman"/>
          <w:color w:val="auto"/>
          <w:sz w:val="32"/>
          <w:szCs w:val="32"/>
          <w:highlight w:val="none"/>
        </w:rPr>
        <w:t>服务基础设施建设，依托</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醉美331</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边境公路沿线自然风光、人文资源、城市建设等风貌特色，与公路沿线城镇共同打造醉美边境旅游产业合作经济带。</w:t>
      </w:r>
    </w:p>
    <w:p w14:paraId="66820EE8">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推进区域生态环境共保共治</w:t>
      </w:r>
    </w:p>
    <w:p w14:paraId="07F5367A">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充分发挥三江平原湿地生态功能区、农业生态示范区和商品粮生产基地的重要功能，加强绥滨县与周边城市在生态保护方面的协调，共同推进黑龙江及松花江流域的综合治理及支流水系水生态环境及岸线保护，防止水土流失；做好三江平原生态保护协作，推动湿地生态旅游、北大荒文化特色旅游以及休闲农业与特色乡村旅游等方面的合作共赢发展。</w:t>
      </w:r>
    </w:p>
    <w:p w14:paraId="35DD43D0">
      <w:pPr>
        <w:pStyle w:val="3"/>
        <w:keepNext/>
        <w:keepLines/>
        <w:pageBreakBefore w:val="0"/>
        <w:widowControl w:val="0"/>
        <w:numPr>
          <w:ilvl w:val="0"/>
          <w:numId w:val="1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203" w:name="_Toc27569"/>
      <w:r>
        <w:rPr>
          <w:rFonts w:hint="default" w:ascii="Times New Roman" w:hAnsi="Times New Roman" w:eastAsia="黑体" w:cs="Times New Roman"/>
          <w:b w:val="0"/>
          <w:bCs w:val="0"/>
          <w:color w:val="auto"/>
          <w:sz w:val="32"/>
          <w:szCs w:val="32"/>
          <w:highlight w:val="none"/>
          <w:lang w:val="en-US" w:eastAsia="zh-CN"/>
        </w:rPr>
        <w:t>区域共建，高效推进区域一体化建设</w:t>
      </w:r>
      <w:bookmarkEnd w:id="203"/>
    </w:p>
    <w:p w14:paraId="67654514">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强化鹤岗市区域副中心地位</w:t>
      </w:r>
    </w:p>
    <w:p w14:paraId="106A5041">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快推进绥滨县中心城区建设与工业园区建设步伐，提高绥滨县综合实力，增强城镇对产业和人口的聚集能力，重点加强城镇基础设施、公共服务体系建设，增强城市韧性与要素支撑，增强与鹤岗市、萝北县等区县在人口流动、产业升级、设施共享、生态共保等方面的合作，积极参与鹤岗市各项社会经济发展活动，进而增强绥滨县区域副中心地位。</w:t>
      </w:r>
    </w:p>
    <w:p w14:paraId="46DD2C7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加快推进</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楷体_GB2312" w:cs="Times New Roman"/>
          <w:b w:val="0"/>
          <w:bCs w:val="0"/>
          <w:color w:val="auto"/>
          <w:sz w:val="32"/>
          <w:szCs w:val="32"/>
          <w:highlight w:val="none"/>
          <w:lang w:val="en-US" w:eastAsia="zh-CN"/>
        </w:rPr>
        <w:t>绥富</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楷体_GB2312" w:cs="Times New Roman"/>
          <w:b w:val="0"/>
          <w:bCs w:val="0"/>
          <w:color w:val="auto"/>
          <w:sz w:val="32"/>
          <w:szCs w:val="32"/>
          <w:highlight w:val="none"/>
          <w:lang w:val="en-US" w:eastAsia="zh-CN"/>
        </w:rPr>
        <w:t>一体化进程</w:t>
      </w:r>
    </w:p>
    <w:p w14:paraId="4C22C85F">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绥滨县与富锦市两县市中心城区相距26公里，距离上仅一江之隔，历史沿革上也有一定联系，上层规划中两地均多次提出过</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绥富一体化</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的方案，这很好</w:t>
      </w:r>
      <w:r>
        <w:rPr>
          <w:rFonts w:hint="eastAsia" w:ascii="Times New Roman" w:hAnsi="Times New Roman" w:eastAsia="仿宋_GB2312" w:cs="Times New Roman"/>
          <w:color w:val="auto"/>
          <w:sz w:val="32"/>
          <w:szCs w:val="32"/>
          <w:highlight w:val="none"/>
          <w:lang w:eastAsia="zh-CN"/>
        </w:rPr>
        <w:t>地</w:t>
      </w:r>
      <w:r>
        <w:rPr>
          <w:rFonts w:hint="default" w:ascii="Times New Roman" w:hAnsi="Times New Roman" w:eastAsia="仿宋_GB2312" w:cs="Times New Roman"/>
          <w:color w:val="auto"/>
          <w:sz w:val="32"/>
          <w:szCs w:val="32"/>
          <w:highlight w:val="none"/>
        </w:rPr>
        <w:t>说明两地区域共建有相当的可行性。自2011年绥富松花江大桥建成通车</w:t>
      </w:r>
      <w:r>
        <w:rPr>
          <w:rFonts w:hint="eastAsia" w:ascii="Times New Roman" w:hAnsi="Times New Roman" w:eastAsia="仿宋_GB2312" w:cs="Times New Roman"/>
          <w:color w:val="auto"/>
          <w:sz w:val="32"/>
          <w:szCs w:val="32"/>
          <w:highlight w:val="none"/>
          <w:lang w:eastAsia="zh-CN"/>
        </w:rPr>
        <w:t>，为</w:t>
      </w:r>
      <w:r>
        <w:rPr>
          <w:rFonts w:hint="default" w:ascii="Times New Roman" w:hAnsi="Times New Roman" w:eastAsia="仿宋_GB2312" w:cs="Times New Roman"/>
          <w:color w:val="auto"/>
          <w:sz w:val="32"/>
          <w:szCs w:val="32"/>
          <w:highlight w:val="none"/>
        </w:rPr>
        <w:t>绥滨与富锦在经济、社会、文化等多领域交流提供了更便捷的途径，两地同时地处三江平原，经济社会与产业发展具有相当一致性，在发挥两地产业规模化效应的同时，又应在局部产业门类进行细化分工，来</w:t>
      </w:r>
      <w:r>
        <w:rPr>
          <w:rFonts w:hint="eastAsia" w:ascii="Times New Roman" w:hAnsi="Times New Roman" w:eastAsia="仿宋_GB2312" w:cs="Times New Roman"/>
          <w:color w:val="auto"/>
          <w:sz w:val="32"/>
          <w:szCs w:val="32"/>
          <w:highlight w:val="none"/>
          <w:lang w:eastAsia="zh-CN"/>
        </w:rPr>
        <w:t>强化</w:t>
      </w:r>
      <w:r>
        <w:rPr>
          <w:rFonts w:hint="default" w:ascii="Times New Roman" w:hAnsi="Times New Roman" w:eastAsia="仿宋_GB2312" w:cs="Times New Roman"/>
          <w:color w:val="auto"/>
          <w:sz w:val="32"/>
          <w:szCs w:val="32"/>
          <w:highlight w:val="none"/>
        </w:rPr>
        <w:t>相互间互补效应，通过产业互竞互补，设施共建共享、城市互助互动、信息互联互通等多方面手段，形成区域发展合力，最大限度削弱行政界线壁垒，探索构建区域中</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你中有我，我中有你</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的合作发展新格局。</w:t>
      </w:r>
    </w:p>
    <w:p w14:paraId="08343F94">
      <w:pPr>
        <w:pStyle w:val="3"/>
        <w:keepNext/>
        <w:keepLines/>
        <w:pageBreakBefore w:val="0"/>
        <w:widowControl w:val="0"/>
        <w:numPr>
          <w:ilvl w:val="0"/>
          <w:numId w:val="1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204" w:name="_Toc3792"/>
      <w:r>
        <w:rPr>
          <w:rFonts w:hint="default" w:ascii="Times New Roman" w:hAnsi="Times New Roman" w:eastAsia="黑体" w:cs="Times New Roman"/>
          <w:b w:val="0"/>
          <w:bCs w:val="0"/>
          <w:color w:val="auto"/>
          <w:sz w:val="32"/>
          <w:szCs w:val="32"/>
          <w:highlight w:val="none"/>
          <w:lang w:val="en-US" w:eastAsia="zh-CN"/>
        </w:rPr>
        <w:t>城乡统筹，强化城镇体系建设与区域要素支撑</w:t>
      </w:r>
      <w:bookmarkEnd w:id="204"/>
    </w:p>
    <w:p w14:paraId="0B889CB7">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城乡一体化建设带动县域发展</w:t>
      </w:r>
    </w:p>
    <w:p w14:paraId="4DF9D297">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绥滨县作为全县发展核心，在各类要素向中心城区集聚发展的同时，更要将城乡发展统筹兼顾到位。应加强城乡一体化建设，提升重点城镇社会服务能力，完善一般乡镇的基础设施建设，提高广大乡村地区生产生活服务水平，改善生活环境和生态环境，将</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以工促农，以城带乡</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落到实处，逐步缩小城乡差距。通过城乡统筹发展，做到立足城市发展，着眼农村建设，让更多城乡居民享受服务均等化，更多资金、技术、人才流向农村，以最终实现共同富裕。</w:t>
      </w:r>
    </w:p>
    <w:p w14:paraId="3B2B8DA8">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楷体_GB2312" w:cs="Times New Roman"/>
          <w:b w:val="0"/>
          <w:bCs w:val="0"/>
          <w:color w:val="auto"/>
          <w:sz w:val="32"/>
          <w:szCs w:val="32"/>
          <w:highlight w:val="none"/>
          <w:lang w:val="en-US" w:eastAsia="zh-CN"/>
        </w:rPr>
        <w:t>场县共建</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楷体_GB2312" w:cs="Times New Roman"/>
          <w:b w:val="0"/>
          <w:bCs w:val="0"/>
          <w:color w:val="auto"/>
          <w:sz w:val="32"/>
          <w:szCs w:val="32"/>
          <w:highlight w:val="none"/>
          <w:lang w:val="en-US" w:eastAsia="zh-CN"/>
        </w:rPr>
        <w:t>全面推进乡村振兴</w:t>
      </w:r>
    </w:p>
    <w:p w14:paraId="2DD606D0">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统筹地方与农垦协调发展，加快合作共建新模式，通过</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场县共建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新契机，充分发挥农场场部城镇建设和经济发展等多方面优势，以</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一镇一农场</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互建互助模式，强化农场与乡镇在经济、技术、服务等多要素横向流动，形成区域联动机制和市场合力，在避免过度竞争与重复建设，增强区域竞争能力，实现互利互惠；梳理乡村地区与农场场部之间产业上下游关系，通过引导乡村地区产业发展加强农场场部相关产业链条的上下延伸，促进乡村地区特色产业快速发展，带动乡村地区全面振兴。</w:t>
      </w:r>
    </w:p>
    <w:p w14:paraId="6366054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县域产业空间协同发展</w:t>
      </w:r>
    </w:p>
    <w:p w14:paraId="347085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强化区域特色产业品牌统一建设，进一步强化</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绥滨大米</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绥滨白鹅</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等地理标志品牌影响</w:t>
      </w:r>
      <w:r>
        <w:rPr>
          <w:rFonts w:hint="default" w:ascii="Times New Roman" w:hAnsi="Times New Roman" w:eastAsia="仿宋_GB2312" w:cs="Times New Roman"/>
          <w:color w:val="auto"/>
          <w:sz w:val="32"/>
          <w:szCs w:val="32"/>
          <w:highlight w:val="none"/>
          <w:lang w:eastAsia="zh-CN"/>
        </w:rPr>
        <w:t>力</w:t>
      </w:r>
      <w:r>
        <w:rPr>
          <w:rFonts w:hint="default" w:ascii="Times New Roman" w:hAnsi="Times New Roman" w:eastAsia="仿宋_GB2312" w:cs="Times New Roman"/>
          <w:color w:val="auto"/>
          <w:sz w:val="32"/>
          <w:szCs w:val="32"/>
          <w:highlight w:val="none"/>
        </w:rPr>
        <w:t>，通过对产品统一管理与质量把控，做好产品在</w:t>
      </w:r>
      <w:r>
        <w:rPr>
          <w:rFonts w:hint="eastAsia" w:ascii="Times New Roman" w:hAnsi="Times New Roman" w:eastAsia="仿宋_GB2312" w:cs="Times New Roman"/>
          <w:color w:val="auto"/>
          <w:sz w:val="32"/>
          <w:szCs w:val="32"/>
          <w:highlight w:val="none"/>
          <w:lang w:eastAsia="zh-CN"/>
        </w:rPr>
        <w:t>种植养殖</w:t>
      </w:r>
      <w:r>
        <w:rPr>
          <w:rFonts w:hint="default" w:ascii="Times New Roman" w:hAnsi="Times New Roman" w:eastAsia="仿宋_GB2312" w:cs="Times New Roman"/>
          <w:color w:val="auto"/>
          <w:sz w:val="32"/>
          <w:szCs w:val="32"/>
          <w:highlight w:val="none"/>
        </w:rPr>
        <w:t>源头产业空间合理布局，同时确保各区域生产资料与技术服务均等化，加强区域间、城乡要素转换、产品上下游协调联动，保障产业链供应链稳定畅通；深入挖掘县域内可再生能源发展潜力，大力提升清洁能源资源优势转化能力，以县域内现有清洁能源产业项目为依托，积极推动跨区域清洁能源在用地保障</w:t>
      </w:r>
      <w:r>
        <w:rPr>
          <w:rFonts w:hint="default" w:ascii="Times New Roman" w:hAnsi="Times New Roman" w:eastAsia="仿宋_GB2312" w:cs="Times New Roman"/>
          <w:color w:val="auto"/>
          <w:sz w:val="32"/>
          <w:szCs w:val="32"/>
          <w:highlight w:val="none"/>
          <w:lang w:eastAsia="zh-CN"/>
        </w:rPr>
        <w:t>，尤其是</w:t>
      </w:r>
      <w:r>
        <w:rPr>
          <w:rFonts w:hint="default" w:ascii="Times New Roman" w:hAnsi="Times New Roman" w:eastAsia="仿宋_GB2312" w:cs="Times New Roman"/>
          <w:color w:val="auto"/>
          <w:sz w:val="32"/>
          <w:szCs w:val="32"/>
          <w:highlight w:val="none"/>
        </w:rPr>
        <w:t>乡村地区跨行政界线的用地、管理等方面的联动协同；建立全域旅游发展体系，发展全域旅游线路联动网络，着力挖掘以边境游、湿地游、田园游、文化游等方面的旅游产业深度融合。</w:t>
      </w:r>
    </w:p>
    <w:p w14:paraId="663DCE17">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区域交通体系协同发展</w:t>
      </w:r>
    </w:p>
    <w:p w14:paraId="522CC9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rPr>
      </w:pPr>
      <w:bookmarkStart w:id="205" w:name="_Hlk137196353"/>
      <w:r>
        <w:rPr>
          <w:rFonts w:hint="default" w:ascii="Times New Roman" w:hAnsi="Times New Roman" w:eastAsia="仿宋_GB2312" w:cs="Times New Roman"/>
          <w:color w:val="auto"/>
          <w:sz w:val="32"/>
          <w:szCs w:val="32"/>
          <w:highlight w:val="none"/>
        </w:rPr>
        <w:t>形成全域联通、网络布局完善、枢纽衔接高效、城乡一体化发展的现代化高质量综合立体交通网。要按照绿色循环低碳的理念进一步提升公路港口等交通基础设施服务质量，完善铁路、机场等大运量、长距离交通基础设施，加强绥滨县与鹤岗、佳木斯等重点城市的交通衔接，打通绥滨至同江交通线路，提升绥滨县松花江沿线乡镇通行能力；结合村庄区位、现状与发展需求，加强村庄与城市间交通联系，在道路建设、公共交通发展等方面由城镇向村庄逐步辐射，兼顾全域乡村旅游、乡村产业发展，进一步在全域城乡间，建立高效、便捷的区域交通体系。</w:t>
      </w:r>
      <w:bookmarkEnd w:id="205"/>
    </w:p>
    <w:p w14:paraId="14ABA584">
      <w:pPr>
        <w:pStyle w:val="3"/>
        <w:keepNext/>
        <w:keepLines/>
        <w:pageBreakBefore w:val="0"/>
        <w:widowControl w:val="0"/>
        <w:numPr>
          <w:ilvl w:val="0"/>
          <w:numId w:val="1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206" w:name="_Toc23946"/>
      <w:r>
        <w:rPr>
          <w:rFonts w:hint="default" w:ascii="Times New Roman" w:hAnsi="Times New Roman" w:eastAsia="黑体" w:cs="Times New Roman"/>
          <w:b w:val="0"/>
          <w:bCs w:val="0"/>
          <w:color w:val="auto"/>
          <w:sz w:val="32"/>
          <w:szCs w:val="32"/>
          <w:highlight w:val="none"/>
          <w:lang w:val="en-US" w:eastAsia="zh-CN"/>
        </w:rPr>
        <w:t>跨省互利，建立与发达地区长效合作机制</w:t>
      </w:r>
      <w:bookmarkEnd w:id="206"/>
    </w:p>
    <w:p w14:paraId="768212E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楷体_GB2312" w:cs="Times New Roman"/>
          <w:b w:val="0"/>
          <w:bCs w:val="0"/>
          <w:color w:val="auto"/>
          <w:sz w:val="32"/>
          <w:szCs w:val="32"/>
          <w:highlight w:val="none"/>
          <w:lang w:val="en-US" w:eastAsia="zh-CN"/>
        </w:rPr>
        <w:t>深化</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楷体_GB2312" w:cs="Times New Roman"/>
          <w:b w:val="0"/>
          <w:bCs w:val="0"/>
          <w:color w:val="auto"/>
          <w:sz w:val="32"/>
          <w:szCs w:val="32"/>
          <w:highlight w:val="none"/>
          <w:lang w:val="en-US" w:eastAsia="zh-CN"/>
        </w:rPr>
        <w:t>绥滨</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楷体_GB2312" w:cs="Times New Roman"/>
          <w:b w:val="0"/>
          <w:bCs w:val="0"/>
          <w:color w:val="auto"/>
          <w:sz w:val="32"/>
          <w:szCs w:val="32"/>
          <w:highlight w:val="none"/>
          <w:lang w:val="en-US" w:eastAsia="zh-CN"/>
        </w:rPr>
        <w:t>汕头</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楷体_GB2312" w:cs="Times New Roman"/>
          <w:b w:val="0"/>
          <w:bCs w:val="0"/>
          <w:color w:val="auto"/>
          <w:sz w:val="32"/>
          <w:szCs w:val="32"/>
          <w:highlight w:val="none"/>
          <w:lang w:val="en-US" w:eastAsia="zh-CN"/>
        </w:rPr>
        <w:t>全方位合作</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2017年起，广东省与黑龙江省开展对口合作，汕头市龙湖区与绥滨县签订战略合作关系，两地在经济发展上有很强的互补性，同时在文化传承、产业结构、资源环境、社会人文等方面有着显著差异，蕴藏着巨大的合作潜力。目前两地在文化旅游、承接产业转移等领域合作日益增进，绥滨县利用自身土地优势、气候特色、区位优势等资源，围绕粮食仓储、商贸物流、园区共建等多方面开展了产业共建合作，推动了汕头企业落户绥滨参与俄罗斯外贸产品加工业务，拓展了南方商品出口市场，同时也提高了绥滨县商品出口品类与周边地区商品差异，增强了地区产品出口能力。利用合作关系，绥滨县将学习借鉴龙湖区先进的发展理念和做法，不断推动地区产业发展合作，建立完善合作交流机制，进而慢慢向科技、文化、教育等多方面推进互动，最终实现互惠双赢。</w:t>
      </w:r>
      <w:r>
        <w:rPr>
          <w:rFonts w:hint="default" w:ascii="Times New Roman" w:hAnsi="Times New Roman" w:eastAsia="黑体" w:cs="Times New Roman"/>
          <w:b w:val="0"/>
          <w:bCs w:val="0"/>
          <w:color w:val="auto"/>
          <w:sz w:val="32"/>
          <w:szCs w:val="32"/>
          <w:highlight w:val="none"/>
          <w:lang w:val="en-US" w:eastAsia="zh-CN"/>
        </w:rPr>
        <w:br w:type="page"/>
      </w:r>
    </w:p>
    <w:p w14:paraId="3BD39EF7">
      <w:pPr>
        <w:pStyle w:val="2"/>
        <w:keepNext/>
        <w:keepLines/>
        <w:pageBreakBefore w:val="0"/>
        <w:widowControl w:val="0"/>
        <w:numPr>
          <w:ilvl w:val="0"/>
          <w:numId w:val="1"/>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方正小标宋简体" w:cs="Times New Roman"/>
          <w:b w:val="0"/>
          <w:bCs w:val="0"/>
          <w:color w:val="auto"/>
          <w:sz w:val="36"/>
          <w:szCs w:val="36"/>
          <w:highlight w:val="none"/>
          <w:lang w:val="en-US" w:eastAsia="zh-CN"/>
        </w:rPr>
      </w:pPr>
      <w:bookmarkStart w:id="207" w:name="_Toc12490"/>
      <w:r>
        <w:rPr>
          <w:rFonts w:hint="default" w:ascii="Times New Roman" w:hAnsi="Times New Roman" w:eastAsia="方正小标宋简体" w:cs="Times New Roman"/>
          <w:b w:val="0"/>
          <w:bCs w:val="0"/>
          <w:color w:val="auto"/>
          <w:sz w:val="36"/>
          <w:szCs w:val="36"/>
          <w:highlight w:val="none"/>
          <w:lang w:val="en-US" w:eastAsia="zh-CN"/>
        </w:rPr>
        <w:t>规划实施保障</w:t>
      </w:r>
      <w:bookmarkEnd w:id="207"/>
    </w:p>
    <w:p w14:paraId="02A12A3B">
      <w:pPr>
        <w:pStyle w:val="3"/>
        <w:keepNext/>
        <w:keepLines/>
        <w:pageBreakBefore w:val="0"/>
        <w:widowControl w:val="0"/>
        <w:numPr>
          <w:ilvl w:val="0"/>
          <w:numId w:val="12"/>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208" w:name="_Toc32689"/>
      <w:bookmarkStart w:id="209" w:name="_Toc432"/>
      <w:r>
        <w:rPr>
          <w:rFonts w:hint="default" w:ascii="Times New Roman" w:hAnsi="Times New Roman" w:eastAsia="黑体" w:cs="Times New Roman"/>
          <w:b w:val="0"/>
          <w:bCs w:val="0"/>
          <w:color w:val="auto"/>
          <w:sz w:val="32"/>
          <w:szCs w:val="32"/>
          <w:highlight w:val="none"/>
          <w:lang w:val="en-US" w:eastAsia="zh-CN"/>
        </w:rPr>
        <w:t>加强党的领导</w:t>
      </w:r>
      <w:bookmarkEnd w:id="208"/>
      <w:bookmarkEnd w:id="209"/>
    </w:p>
    <w:p w14:paraId="03F5E49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落实党委和政府国土空间规划管理主体责任</w:t>
      </w:r>
    </w:p>
    <w:p w14:paraId="012EA5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充分发挥党总揽全局、协调各方的领导核心作用，把党的领导贯彻到国土空间规划编制实施全过程各领域各环节。落实地方各级党委和政府国土空间规划管理主体责任，坚持</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多规合一</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，强化规划严肃性。</w:t>
      </w:r>
    </w:p>
    <w:p w14:paraId="06BCE24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强化部门联动</w:t>
      </w:r>
    </w:p>
    <w:p w14:paraId="641E786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按照全县国土空间规划体系框架，建立编制实施县级国土空间规划的共同责任机制。全县相关部门、各乡镇人民政府及农场共同落实好县级国土空间规划的主要目标指标和管控要求。</w:t>
      </w:r>
    </w:p>
    <w:p w14:paraId="14A2D433">
      <w:pPr>
        <w:pStyle w:val="3"/>
        <w:keepNext/>
        <w:keepLines/>
        <w:pageBreakBefore w:val="0"/>
        <w:widowControl w:val="0"/>
        <w:numPr>
          <w:ilvl w:val="0"/>
          <w:numId w:val="12"/>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210" w:name="_Toc20482"/>
      <w:bookmarkStart w:id="211" w:name="_Toc21560"/>
      <w:r>
        <w:rPr>
          <w:rFonts w:hint="default" w:ascii="Times New Roman" w:hAnsi="Times New Roman" w:eastAsia="黑体" w:cs="Times New Roman"/>
          <w:b w:val="0"/>
          <w:bCs w:val="0"/>
          <w:color w:val="auto"/>
          <w:sz w:val="32"/>
          <w:szCs w:val="32"/>
          <w:highlight w:val="none"/>
          <w:lang w:val="en-US" w:eastAsia="zh-CN"/>
        </w:rPr>
        <w:t>健全配套政策机制</w:t>
      </w:r>
      <w:bookmarkEnd w:id="210"/>
      <w:bookmarkEnd w:id="211"/>
    </w:p>
    <w:p w14:paraId="6204CE1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完善配套政策</w:t>
      </w:r>
    </w:p>
    <w:p w14:paraId="75F8CA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一是创新土地政策，包含创新建设用地指标使用政策、创新存量用地利用政策、创新土地供应政策、创新集体土地利用政策；二是创新项目扶持政策，保障民生工程及重点项目推进；三是创新人才引进政策，提供各项措施吸引、留住人才。</w:t>
      </w:r>
    </w:p>
    <w:p w14:paraId="11D2383C">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健全国土空间用途管制制度</w:t>
      </w:r>
    </w:p>
    <w:p w14:paraId="64671E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对所有国土空间分区分类实施用途管制，严格耕地、自然保护地、生态保护红线等特殊区域的用途管制。分类详细制定不同区域的准入条件、开发强度，明确允许、限制、禁止的产业和项目类型清单，制定不同空间、不同用途的转换规则，明确转换方向、条件和管理要求等，统筹地上地下空间，建立健全全域、全要素、立体化国土空间用途管制制度。</w:t>
      </w:r>
    </w:p>
    <w:p w14:paraId="0ACB51E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完善规划实施制度</w:t>
      </w:r>
    </w:p>
    <w:p w14:paraId="7BF047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针对国土空间规划的有效实施，绥滨县制定预留机动指标制度、建设用地交易制度、高质量发展奖励制度等相关制度，保障规划顺利实施。</w:t>
      </w:r>
    </w:p>
    <w:p w14:paraId="7544DC3F">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四、</w:t>
      </w:r>
      <w:r>
        <w:rPr>
          <w:rFonts w:hint="default" w:ascii="Times New Roman" w:hAnsi="Times New Roman" w:eastAsia="楷体_GB2312" w:cs="Times New Roman"/>
          <w:b w:val="0"/>
          <w:bCs w:val="0"/>
          <w:color w:val="auto"/>
          <w:sz w:val="32"/>
          <w:szCs w:val="32"/>
          <w:highlight w:val="none"/>
          <w:lang w:val="en-US" w:eastAsia="zh-CN"/>
        </w:rPr>
        <w:t>强化资金保障</w:t>
      </w:r>
    </w:p>
    <w:p w14:paraId="1DE559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统筹整合各部门、各类项目资金，加大对国土空间规划重大工程资金支持力度。生态修复和国土综合整治工程以县、乡镇两级财政投入为主，鼓励通过招商引资、群众投工投劳等多形式、多渠道、多层次筹集资金的方式落实生态修复资金，对符合中央项目储备库入库条件的项目，积极争取中央生态环保资金支持，并严格加强项目资金管理。</w:t>
      </w:r>
    </w:p>
    <w:p w14:paraId="0B646687">
      <w:pPr>
        <w:pStyle w:val="3"/>
        <w:keepNext/>
        <w:keepLines/>
        <w:pageBreakBefore w:val="0"/>
        <w:widowControl w:val="0"/>
        <w:numPr>
          <w:ilvl w:val="0"/>
          <w:numId w:val="12"/>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212" w:name="_Toc23859"/>
      <w:bookmarkStart w:id="213" w:name="_Toc23909"/>
      <w:r>
        <w:rPr>
          <w:rFonts w:hint="default" w:ascii="Times New Roman" w:hAnsi="Times New Roman" w:eastAsia="黑体" w:cs="Times New Roman"/>
          <w:b w:val="0"/>
          <w:bCs w:val="0"/>
          <w:color w:val="auto"/>
          <w:sz w:val="32"/>
          <w:szCs w:val="32"/>
          <w:highlight w:val="none"/>
          <w:lang w:val="en-US" w:eastAsia="zh-CN"/>
        </w:rPr>
        <w:t>建设国土空间规划</w:t>
      </w:r>
      <w:r>
        <w:rPr>
          <w:rFonts w:hint="eastAsia" w:ascii="Times New Roman" w:hAnsi="Times New Roman" w:eastAsia="黑体" w:cs="Times New Roman"/>
          <w:b w:val="0"/>
          <w:bCs w:val="0"/>
          <w:color w:val="auto"/>
          <w:sz w:val="32"/>
          <w:szCs w:val="32"/>
          <w:highlight w:val="none"/>
          <w:lang w:val="en-US" w:eastAsia="zh-CN"/>
        </w:rPr>
        <w:t>“</w:t>
      </w:r>
      <w:r>
        <w:rPr>
          <w:rFonts w:hint="default" w:ascii="Times New Roman" w:hAnsi="Times New Roman" w:eastAsia="黑体" w:cs="Times New Roman"/>
          <w:b w:val="0"/>
          <w:bCs w:val="0"/>
          <w:color w:val="auto"/>
          <w:sz w:val="32"/>
          <w:szCs w:val="32"/>
          <w:highlight w:val="none"/>
          <w:lang w:val="en-US" w:eastAsia="zh-CN"/>
        </w:rPr>
        <w:t>一张图</w:t>
      </w:r>
      <w:bookmarkEnd w:id="212"/>
      <w:r>
        <w:rPr>
          <w:rFonts w:hint="eastAsia" w:ascii="Times New Roman" w:hAnsi="Times New Roman" w:eastAsia="黑体" w:cs="Times New Roman"/>
          <w:b w:val="0"/>
          <w:bCs w:val="0"/>
          <w:color w:val="auto"/>
          <w:sz w:val="32"/>
          <w:szCs w:val="32"/>
          <w:highlight w:val="none"/>
          <w:lang w:val="en-US" w:eastAsia="zh-CN"/>
        </w:rPr>
        <w:t>”</w:t>
      </w:r>
      <w:bookmarkEnd w:id="213"/>
    </w:p>
    <w:p w14:paraId="41FB686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建立国土空间规划</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楷体_GB2312" w:cs="Times New Roman"/>
          <w:b w:val="0"/>
          <w:bCs w:val="0"/>
          <w:color w:val="auto"/>
          <w:sz w:val="32"/>
          <w:szCs w:val="32"/>
          <w:highlight w:val="none"/>
          <w:lang w:val="en-US" w:eastAsia="zh-CN"/>
        </w:rPr>
        <w:t>一张图</w:t>
      </w:r>
      <w:r>
        <w:rPr>
          <w:rFonts w:hint="eastAsia" w:ascii="Times New Roman" w:hAnsi="Times New Roman" w:eastAsia="楷体_GB2312" w:cs="Times New Roman"/>
          <w:b w:val="0"/>
          <w:bCs w:val="0"/>
          <w:color w:val="auto"/>
          <w:sz w:val="32"/>
          <w:szCs w:val="32"/>
          <w:highlight w:val="none"/>
          <w:lang w:val="en-US" w:eastAsia="zh-CN"/>
        </w:rPr>
        <w:t>”</w:t>
      </w:r>
    </w:p>
    <w:p w14:paraId="7B76AA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以第三次全国国土调查成果为基础，按基数转换规则，形成一张底图，并以此为基础，按照统一标准和要求，开展绥滨县国土空间总体规划数据库建设，并及时逐级向上级自然资源主管部门汇交和更新，形成可层层叠加打开的、动态更新、权威统一的全县域国土空间总体规划</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一张图</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，为统一国土空间用途管制、实施建设项目规划许可、强化规划实施监督提供依据和支撑。</w:t>
      </w:r>
    </w:p>
    <w:p w14:paraId="262FF9C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规划将交通、能源、水利等重大基础设施项目全要素保障内容纳入规划，将临时用地、砂石土资源等用地纳入</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一张图</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。规划对落地上图特别是示意上图的线性交通基础设施项目，允许根据前期工作进度优化调整线位。</w:t>
      </w:r>
    </w:p>
    <w:p w14:paraId="329EC5BC">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建设规划</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楷体_GB2312" w:cs="Times New Roman"/>
          <w:b w:val="0"/>
          <w:bCs w:val="0"/>
          <w:color w:val="auto"/>
          <w:sz w:val="32"/>
          <w:szCs w:val="32"/>
          <w:highlight w:val="none"/>
          <w:lang w:val="en-US" w:eastAsia="zh-CN"/>
        </w:rPr>
        <w:t>一张图</w:t>
      </w:r>
      <w:r>
        <w:rPr>
          <w:rFonts w:hint="eastAsia" w:ascii="Times New Roman" w:hAnsi="Times New Roman" w:eastAsia="楷体_GB2312" w:cs="Times New Roman"/>
          <w:b w:val="0"/>
          <w:bCs w:val="0"/>
          <w:color w:val="auto"/>
          <w:sz w:val="32"/>
          <w:szCs w:val="32"/>
          <w:highlight w:val="none"/>
          <w:lang w:val="en-US" w:eastAsia="zh-CN"/>
        </w:rPr>
        <w:t>”</w:t>
      </w:r>
      <w:r>
        <w:rPr>
          <w:rFonts w:hint="default" w:ascii="Times New Roman" w:hAnsi="Times New Roman" w:eastAsia="楷体_GB2312" w:cs="Times New Roman"/>
          <w:b w:val="0"/>
          <w:bCs w:val="0"/>
          <w:color w:val="auto"/>
          <w:sz w:val="32"/>
          <w:szCs w:val="32"/>
          <w:highlight w:val="none"/>
          <w:lang w:val="en-US" w:eastAsia="zh-CN"/>
        </w:rPr>
        <w:t>实施监督信息系统</w:t>
      </w:r>
    </w:p>
    <w:p w14:paraId="70F587B1">
      <w:pPr>
        <w:pageBreakBefore w:val="0"/>
        <w:kinsoku/>
        <w:wordWrap/>
        <w:overflowPunct/>
        <w:topLinePunct w:val="0"/>
        <w:autoSpaceDE/>
        <w:autoSpaceDN/>
        <w:bidi w:val="0"/>
        <w:adjustRightInd/>
        <w:spacing w:line="600" w:lineRule="exact"/>
        <w:ind w:firstLine="640" w:firstLineChars="200"/>
        <w:jc w:val="left"/>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依托国土空间基础信息平台，以国土空间总体规划</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一张图</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数据为基础，结合实际管理需求，整合本级</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多规合一</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协同审批平台已有功能，建设国土空间总体规划</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一张图</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实施监督信息系统。为建立健全国土空间总体规划动态监测评估预警和实施监管机制提供信息化支撑，为城市体检评估和规划全生命周期管理奠定基础。</w:t>
      </w:r>
    </w:p>
    <w:p w14:paraId="503E79B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搭建信息平台与现代化治理</w:t>
      </w:r>
    </w:p>
    <w:p w14:paraId="765A23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依托规划管理信息平台，建立多部门协同生成项目的工作流程。项目立项前，须经规划管理信息平台验证其合理性与合法性，并明确项目投资、预选址、用地指标、环保要求等建设条件。经平台通过的项目方可列入项目库，作为项目后续审批的依据，为项目后续审批提速创造条件，实现项目推进的</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可决策、可落地、可实施</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，在</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一张蓝图</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的基础上，以空间规划管理信息平台为基础，建设涵盖项目审批部门的统一业务协同平台，推进各部门业务的协同办理。理顺审批流程，建立联合审批机制，变串联审批为并联审批、网上审批等方式，压缩审批时间，提高行政效能。</w:t>
      </w:r>
    </w:p>
    <w:p w14:paraId="66D0FAA0">
      <w:pPr>
        <w:pStyle w:val="3"/>
        <w:keepNext/>
        <w:keepLines/>
        <w:pageBreakBefore w:val="0"/>
        <w:widowControl w:val="0"/>
        <w:numPr>
          <w:ilvl w:val="0"/>
          <w:numId w:val="12"/>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214" w:name="_Toc3650"/>
      <w:bookmarkStart w:id="215" w:name="_Toc30627"/>
      <w:r>
        <w:rPr>
          <w:rFonts w:hint="default" w:ascii="Times New Roman" w:hAnsi="Times New Roman" w:eastAsia="黑体" w:cs="Times New Roman"/>
          <w:b w:val="0"/>
          <w:bCs w:val="0"/>
          <w:color w:val="auto"/>
          <w:sz w:val="32"/>
          <w:szCs w:val="32"/>
          <w:highlight w:val="none"/>
          <w:lang w:val="en-US" w:eastAsia="zh-CN"/>
        </w:rPr>
        <w:t>实施规划全生命周期管理</w:t>
      </w:r>
      <w:bookmarkEnd w:id="214"/>
      <w:bookmarkEnd w:id="215"/>
    </w:p>
    <w:p w14:paraId="409D7D55">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建立规划定期评估、预警和维护制度</w:t>
      </w:r>
    </w:p>
    <w:p w14:paraId="5A4EC66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建立</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一年一体检，五年一评估</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的监测评估体系。深入剖析年度重点指标的变化情况，对城市发展运行和规划实施总体情况进行全面体检监测，对违反规划管控要求的行为进行及时预警。对五年期内国土空间规划实施的总体情况进行全面评价和阶段性总结，作为规划调整的重要依据，指导近期建设规划、年度实施计划的编制，实现规划动态维护。</w:t>
      </w:r>
    </w:p>
    <w:p w14:paraId="65D0E72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加强规划实施的执法监督与绩效考核</w:t>
      </w:r>
    </w:p>
    <w:p w14:paraId="3597366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建立规划执行考核评估制度，将规划实施考核评估工作纳入规范化、制度化轨道。任何部门和个人不得违反、随意修改、违规变更国土空间规划，坚决维护规划的严肃性和权威性。将规划实施情况纳入领导干部自然资源资产离任审计，确保规划顺利实施。</w:t>
      </w:r>
    </w:p>
    <w:p w14:paraId="1BEBE60C">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健全公众参与和社会监督制度</w:t>
      </w:r>
    </w:p>
    <w:p w14:paraId="6AA36C65">
      <w:pPr>
        <w:pageBreakBefore w:val="0"/>
        <w:kinsoku/>
        <w:wordWrap/>
        <w:overflowPunct/>
        <w:topLinePunct w:val="0"/>
        <w:autoSpaceDE/>
        <w:autoSpaceDN/>
        <w:bidi w:val="0"/>
        <w:adjustRightInd/>
        <w:spacing w:line="600" w:lineRule="exact"/>
        <w:ind w:firstLine="640" w:firstLineChars="200"/>
        <w:jc w:val="left"/>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建立健全公众参与和社会监督机制，使广大干部群众了解规划、遵守规划、参与规划、监督实施规划。国土空间规划的编制、实施、修改应当向社会公开，充分听取公众意见，发挥专家作用，坚持科学决策。规划全过程采取政府组织、专家领衔、部门合作、公众参与的方式；规划实施过程利用各类媒体和信息平台，广泛搜集公众和社会各界对规划实施情况的意见和建议。</w:t>
      </w:r>
    </w:p>
    <w:p w14:paraId="2B8ADCDE">
      <w:pPr>
        <w:pStyle w:val="3"/>
        <w:keepNext/>
        <w:keepLines/>
        <w:pageBreakBefore w:val="0"/>
        <w:widowControl w:val="0"/>
        <w:numPr>
          <w:ilvl w:val="0"/>
          <w:numId w:val="12"/>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216" w:name="_Toc27898"/>
      <w:bookmarkStart w:id="217" w:name="_Toc27245"/>
      <w:r>
        <w:rPr>
          <w:rFonts w:hint="eastAsia" w:ascii="Times New Roman" w:hAnsi="Times New Roman" w:eastAsia="黑体" w:cs="Times New Roman"/>
          <w:b w:val="0"/>
          <w:bCs w:val="0"/>
          <w:color w:val="auto"/>
          <w:sz w:val="32"/>
          <w:szCs w:val="32"/>
          <w:highlight w:val="none"/>
          <w:lang w:val="en-US" w:eastAsia="zh-CN"/>
        </w:rPr>
        <w:t>强化</w:t>
      </w:r>
      <w:r>
        <w:rPr>
          <w:rFonts w:hint="default" w:ascii="Times New Roman" w:hAnsi="Times New Roman" w:eastAsia="黑体" w:cs="Times New Roman"/>
          <w:b w:val="0"/>
          <w:bCs w:val="0"/>
          <w:color w:val="auto"/>
          <w:sz w:val="32"/>
          <w:szCs w:val="32"/>
          <w:highlight w:val="none"/>
          <w:lang w:val="en-US" w:eastAsia="zh-CN"/>
        </w:rPr>
        <w:t>规划</w:t>
      </w:r>
      <w:r>
        <w:rPr>
          <w:rFonts w:hint="eastAsia" w:ascii="Times New Roman" w:hAnsi="Times New Roman" w:eastAsia="黑体" w:cs="Times New Roman"/>
          <w:b w:val="0"/>
          <w:bCs w:val="0"/>
          <w:color w:val="auto"/>
          <w:sz w:val="32"/>
          <w:szCs w:val="32"/>
          <w:highlight w:val="none"/>
          <w:lang w:val="en-US" w:eastAsia="zh-CN"/>
        </w:rPr>
        <w:t>实施</w:t>
      </w:r>
      <w:r>
        <w:rPr>
          <w:rFonts w:hint="default" w:ascii="Times New Roman" w:hAnsi="Times New Roman" w:eastAsia="黑体" w:cs="Times New Roman"/>
          <w:b w:val="0"/>
          <w:bCs w:val="0"/>
          <w:color w:val="auto"/>
          <w:sz w:val="32"/>
          <w:szCs w:val="32"/>
          <w:highlight w:val="none"/>
          <w:lang w:val="en-US" w:eastAsia="zh-CN"/>
        </w:rPr>
        <w:t>传导</w:t>
      </w:r>
      <w:bookmarkEnd w:id="216"/>
      <w:bookmarkEnd w:id="217"/>
    </w:p>
    <w:p w14:paraId="5B381074">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健全规划编制体系</w:t>
      </w:r>
    </w:p>
    <w:p w14:paraId="4301E11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以国土空间规划统筹协调各类空间规划</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全县形成总体规划、专项规划、详细规划三类，县级</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val="0"/>
          <w:bCs w:val="0"/>
          <w:color w:val="auto"/>
          <w:kern w:val="2"/>
          <w:sz w:val="32"/>
          <w:szCs w:val="32"/>
          <w:highlight w:val="none"/>
          <w:lang w:val="en-US" w:eastAsia="zh-CN" w:bidi="ar-SA"/>
        </w:rPr>
        <w:t>乡镇级二级的空间规划体系。按照详细规划单元划定，以乡镇为主体开展村庄规划编制。</w:t>
      </w:r>
    </w:p>
    <w:p w14:paraId="2B30581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专项规划传导</w:t>
      </w:r>
    </w:p>
    <w:p w14:paraId="09FB6D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根据国土空间总体规划编制主要内容，专项规划包括资源保护类、国土综合整治和生态修复类、综合交通类、基础设施类、公共服务设施类、乡村建设类、城市设计与城市更新类等七大类别。传导方式具体可分为规则、指标、分区、名录、结构、位置边界等多元传导方式。</w:t>
      </w:r>
    </w:p>
    <w:p w14:paraId="0E67FA5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专项规划与国土空间总体规划的层级对应</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需在绥滨县国土空间总体规划的指导约束下编制，在总体目标和重点管控内容上与国土空间规划保持衔接一致，落实相关约束性指标，不得违背绥滨县总规的强制性内容，并与国土空间总体规划</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一张图</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核对。专项规划建设用地范围不得违反绥滨县规划的建设用地范围，不得占用永久基本农田和生态保护红线。专项规划经依法批准后纳入县级国土空间基础信息平台，叠加到国土空间总体规划</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一张图</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w:t>
      </w:r>
    </w:p>
    <w:p w14:paraId="7DB01EBE">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三、</w:t>
      </w:r>
      <w:r>
        <w:rPr>
          <w:rFonts w:hint="default" w:ascii="Times New Roman" w:hAnsi="Times New Roman" w:eastAsia="楷体_GB2312" w:cs="Times New Roman"/>
          <w:b w:val="0"/>
          <w:bCs w:val="0"/>
          <w:color w:val="auto"/>
          <w:sz w:val="32"/>
          <w:szCs w:val="32"/>
          <w:highlight w:val="none"/>
          <w:lang w:val="en-US" w:eastAsia="zh-CN"/>
        </w:rPr>
        <w:t>乡镇规划传导</w:t>
      </w:r>
    </w:p>
    <w:p w14:paraId="599F59B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sectPr>
          <w:footerReference r:id="rId8" w:type="default"/>
          <w:pgSz w:w="11906" w:h="16838"/>
          <w:pgMar w:top="1440" w:right="1797" w:bottom="1440" w:left="1797" w:header="851" w:footer="850" w:gutter="0"/>
          <w:pgNumType w:fmt="decimal" w:start="1"/>
          <w:cols w:space="0" w:num="1"/>
          <w:rtlGutter w:val="0"/>
          <w:docGrid w:type="lines" w:linePitch="312" w:charSpace="0"/>
        </w:sectPr>
      </w:pPr>
      <w:r>
        <w:rPr>
          <w:rFonts w:hint="default" w:ascii="Times New Roman" w:hAnsi="Times New Roman" w:eastAsia="仿宋_GB2312" w:cs="Times New Roman"/>
          <w:b w:val="0"/>
          <w:bCs w:val="0"/>
          <w:color w:val="auto"/>
          <w:kern w:val="2"/>
          <w:sz w:val="32"/>
          <w:szCs w:val="32"/>
          <w:highlight w:val="none"/>
          <w:lang w:val="en-US" w:eastAsia="zh-CN" w:bidi="ar-SA"/>
        </w:rPr>
        <w:t>根据《规划》提出的发展定位与空间指引，乡镇规划应细化功能定位、发展方向、城镇建设与资源保护等规划要求，并将下达的生态保护红线、永久基本农田、耕地保有量、城镇开发边界等核心指标分解落实到村庄</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《规划》中明确提出建设的县级以上重大交通及公共服务设施、市政基础设施布局等内容应在乡镇规划中衔接落位</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各乡镇行政范围内涉及历史文化保护范围与控制要求</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自然保护地开发利用具体要求等专项规划内容，应与专项规划衔接协调并落实到位。</w:t>
      </w:r>
    </w:p>
    <w:p w14:paraId="4ED3C2E6">
      <w:pPr>
        <w:pStyle w:val="3"/>
        <w:keepNext/>
        <w:keepLines/>
        <w:pageBreakBefore w:val="0"/>
        <w:widowControl w:val="0"/>
        <w:numPr>
          <w:ilvl w:val="0"/>
          <w:numId w:val="12"/>
        </w:numPr>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Times New Roman" w:hAnsi="Times New Roman" w:eastAsia="黑体" w:cs="Times New Roman"/>
          <w:b w:val="0"/>
          <w:bCs w:val="0"/>
          <w:color w:val="auto"/>
          <w:sz w:val="32"/>
          <w:szCs w:val="32"/>
          <w:highlight w:val="none"/>
          <w:lang w:val="en-US" w:eastAsia="zh-CN"/>
        </w:rPr>
      </w:pPr>
      <w:bookmarkStart w:id="218" w:name="_Toc24304"/>
      <w:bookmarkStart w:id="219" w:name="_Toc19922"/>
      <w:r>
        <w:rPr>
          <w:rFonts w:hint="default" w:ascii="Times New Roman" w:hAnsi="Times New Roman" w:eastAsia="黑体" w:cs="Times New Roman"/>
          <w:b w:val="0"/>
          <w:bCs w:val="0"/>
          <w:color w:val="auto"/>
          <w:sz w:val="32"/>
          <w:szCs w:val="32"/>
          <w:highlight w:val="none"/>
          <w:lang w:val="en-US" w:eastAsia="zh-CN"/>
        </w:rPr>
        <w:t>近期行动计划</w:t>
      </w:r>
      <w:bookmarkEnd w:id="218"/>
      <w:bookmarkEnd w:id="219"/>
    </w:p>
    <w:p w14:paraId="75354EAF">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一、</w:t>
      </w:r>
      <w:r>
        <w:rPr>
          <w:rFonts w:hint="default" w:ascii="Times New Roman" w:hAnsi="Times New Roman" w:eastAsia="楷体_GB2312" w:cs="Times New Roman"/>
          <w:b w:val="0"/>
          <w:bCs w:val="0"/>
          <w:color w:val="auto"/>
          <w:sz w:val="32"/>
          <w:szCs w:val="32"/>
          <w:highlight w:val="none"/>
          <w:lang w:val="en-US" w:eastAsia="zh-CN"/>
        </w:rPr>
        <w:t>近期建设目标</w:t>
      </w:r>
    </w:p>
    <w:p w14:paraId="1D6226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规划近期加速各类建设项目的实施，优先安排生态、农业和重要民生项目，完善各类公共服务设施、市政基础设施，改善民生福祉、提高生活质量；统筹实施山水林田湖草生态修复项目，改善生态环境，加强生态文明建设；加强农业产业园区规模化建设、引导建设绿色农业、智慧农业等农业产业项目，提升农业现代化水平，促进农民持续增收；规范各类产业项目，有效促进产业用地的合理布局，提升建设用地利用效率，提高经济效益。</w:t>
      </w:r>
    </w:p>
    <w:p w14:paraId="5A3AC73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600" w:lineRule="exact"/>
        <w:ind w:left="0" w:leftChars="0" w:firstLine="0" w:firstLineChars="0"/>
        <w:textAlignment w:val="auto"/>
        <w:rPr>
          <w:rFonts w:hint="default" w:ascii="Times New Roman" w:hAnsi="Times New Roman" w:eastAsia="楷体_GB2312" w:cs="Times New Roman"/>
          <w:b w:val="0"/>
          <w:bCs w:val="0"/>
          <w:color w:val="auto"/>
          <w:sz w:val="32"/>
          <w:szCs w:val="32"/>
          <w:highlight w:val="none"/>
          <w:lang w:val="en-US" w:eastAsia="zh-CN"/>
        </w:rPr>
      </w:pPr>
      <w:r>
        <w:rPr>
          <w:rFonts w:hint="eastAsia" w:ascii="Times New Roman" w:hAnsi="Times New Roman" w:eastAsia="楷体_GB2312" w:cs="Times New Roman"/>
          <w:b w:val="0"/>
          <w:bCs w:val="0"/>
          <w:color w:val="auto"/>
          <w:kern w:val="2"/>
          <w:sz w:val="32"/>
          <w:szCs w:val="32"/>
          <w:lang w:val="en-US" w:eastAsia="zh-CN" w:bidi="ar-SA"/>
        </w:rPr>
        <w:t>二、</w:t>
      </w:r>
      <w:r>
        <w:rPr>
          <w:rFonts w:hint="default" w:ascii="Times New Roman" w:hAnsi="Times New Roman" w:eastAsia="楷体_GB2312" w:cs="Times New Roman"/>
          <w:b w:val="0"/>
          <w:bCs w:val="0"/>
          <w:color w:val="auto"/>
          <w:sz w:val="32"/>
          <w:szCs w:val="32"/>
          <w:highlight w:val="none"/>
          <w:lang w:val="en-US" w:eastAsia="zh-CN"/>
        </w:rPr>
        <w:t>近期重点建设项目</w:t>
      </w:r>
    </w:p>
    <w:p w14:paraId="306590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规划落实省、市级重点项目，梳理</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十四五</w:t>
      </w:r>
      <w:r>
        <w:rPr>
          <w:rFonts w:hint="eastAsia"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重点项目清单和各专项规划项目安排，对重点项目进行分类，包含基础设施、民生保障、产业发展、生态环保等方面。</w:t>
      </w:r>
    </w:p>
    <w:sectPr>
      <w:footerReference r:id="rId9" w:type="default"/>
      <w:pgSz w:w="11906" w:h="16838"/>
      <w:pgMar w:top="1440" w:right="1797" w:bottom="1440" w:left="1797" w:header="851" w:footer="850"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503D163-0898-42BC-B92F-A3088408C3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6D0301E2-46E0-4A52-A9CA-0D08B0351C5E}"/>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AA93F350-FBF3-4AFE-B18D-BB0D56A98D1E}"/>
  </w:font>
  <w:font w:name="方正仿宋_GB2312">
    <w:panose1 w:val="02000000000000000000"/>
    <w:charset w:val="86"/>
    <w:family w:val="auto"/>
    <w:pitch w:val="default"/>
    <w:sig w:usb0="A00002BF" w:usb1="184F6CFA" w:usb2="00000012" w:usb3="00000000" w:csb0="00040001" w:csb1="00000000"/>
    <w:embedRegular r:id="rId4" w:fontKey="{80C85259-3226-4C59-ACC4-059501C16364}"/>
  </w:font>
  <w:font w:name="方正小标宋简体">
    <w:panose1 w:val="02000000000000000000"/>
    <w:charset w:val="86"/>
    <w:family w:val="auto"/>
    <w:pitch w:val="default"/>
    <w:sig w:usb0="A00002BF" w:usb1="184F6CFA" w:usb2="00000012" w:usb3="00000000" w:csb0="00040001" w:csb1="00000000"/>
    <w:embedRegular r:id="rId5" w:fontKey="{8D269490-91E9-49EF-A9F1-945C3896CCEA}"/>
  </w:font>
  <w:font w:name="楷体_GB2312">
    <w:panose1 w:val="02010609030101010101"/>
    <w:charset w:val="86"/>
    <w:family w:val="auto"/>
    <w:pitch w:val="default"/>
    <w:sig w:usb0="00000001" w:usb1="080E0000" w:usb2="00000000" w:usb3="00000000" w:csb0="00040000" w:csb1="00000000"/>
    <w:embedRegular r:id="rId6" w:fontKey="{9A53EF16-A08C-4B63-A570-3379308BC5B8}"/>
  </w:font>
  <w:font w:name="方正小标宋_GBK">
    <w:panose1 w:val="02000000000000000000"/>
    <w:charset w:val="86"/>
    <w:family w:val="auto"/>
    <w:pitch w:val="default"/>
    <w:sig w:usb0="A00002BF" w:usb1="38CF7CFA" w:usb2="00082016" w:usb3="00000000" w:csb0="00040001" w:csb1="00000000"/>
    <w:embedRegular r:id="rId7" w:fontKey="{010F668D-1030-4113-BAA2-8DD1E6BD8BF0}"/>
  </w:font>
  <w:font w:name="楷体">
    <w:panose1 w:val="02010609060101010101"/>
    <w:charset w:val="86"/>
    <w:family w:val="auto"/>
    <w:pitch w:val="default"/>
    <w:sig w:usb0="800002BF" w:usb1="38CF7CFA" w:usb2="00000016" w:usb3="00000000" w:csb0="00040001" w:csb1="00000000"/>
    <w:embedRegular r:id="rId8" w:fontKey="{AE490FEE-993E-44B1-949E-3C1D188540C8}"/>
  </w:font>
  <w:font w:name="微软雅黑">
    <w:panose1 w:val="020B0503020204020204"/>
    <w:charset w:val="86"/>
    <w:family w:val="auto"/>
    <w:pitch w:val="default"/>
    <w:sig w:usb0="80000287" w:usb1="2ACF3C50" w:usb2="00000016" w:usb3="00000000" w:csb0="0004001F" w:csb1="00000000"/>
    <w:embedRegular r:id="rId9" w:fontKey="{9AB55571-BC40-45FA-B7C6-37FF16D905B3}"/>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47199">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6C9C5">
                          <w:pPr>
                            <w:pStyle w:val="13"/>
                            <w:rPr>
                              <w:rFonts w:hint="default" w:ascii="Times New Roman" w:hAnsi="Times New Roman" w:eastAsia="方正小标宋简体" w:cs="Times New Roman"/>
                              <w:sz w:val="18"/>
                              <w:szCs w:val="18"/>
                            </w:rPr>
                          </w:pPr>
                          <w:r>
                            <w:rPr>
                              <w:rFonts w:hint="default" w:ascii="Times New Roman" w:hAnsi="Times New Roman" w:eastAsia="方正小标宋简体" w:cs="Times New Roman"/>
                              <w:sz w:val="18"/>
                              <w:szCs w:val="18"/>
                            </w:rPr>
                            <w:fldChar w:fldCharType="begin"/>
                          </w:r>
                          <w:r>
                            <w:rPr>
                              <w:rFonts w:hint="default" w:ascii="Times New Roman" w:hAnsi="Times New Roman" w:eastAsia="方正小标宋简体" w:cs="Times New Roman"/>
                              <w:sz w:val="18"/>
                              <w:szCs w:val="18"/>
                            </w:rPr>
                            <w:instrText xml:space="preserve"> PAGE  \* MERGEFORMAT </w:instrText>
                          </w:r>
                          <w:r>
                            <w:rPr>
                              <w:rFonts w:hint="default" w:ascii="Times New Roman" w:hAnsi="Times New Roman" w:eastAsia="方正小标宋简体" w:cs="Times New Roman"/>
                              <w:sz w:val="18"/>
                              <w:szCs w:val="18"/>
                            </w:rPr>
                            <w:fldChar w:fldCharType="separate"/>
                          </w:r>
                          <w:r>
                            <w:rPr>
                              <w:rFonts w:hint="default" w:ascii="Times New Roman" w:hAnsi="Times New Roman" w:eastAsia="方正小标宋简体" w:cs="Times New Roman"/>
                              <w:sz w:val="18"/>
                              <w:szCs w:val="18"/>
                            </w:rPr>
                            <w:t>1</w:t>
                          </w:r>
                          <w:r>
                            <w:rPr>
                              <w:rFonts w:hint="default" w:ascii="Times New Roman" w:hAnsi="Times New Roman" w:eastAsia="方正小标宋简体"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6B6C9C5">
                    <w:pPr>
                      <w:pStyle w:val="13"/>
                      <w:rPr>
                        <w:rFonts w:hint="default" w:ascii="Times New Roman" w:hAnsi="Times New Roman" w:eastAsia="方正小标宋简体" w:cs="Times New Roman"/>
                        <w:sz w:val="18"/>
                        <w:szCs w:val="18"/>
                      </w:rPr>
                    </w:pPr>
                    <w:r>
                      <w:rPr>
                        <w:rFonts w:hint="default" w:ascii="Times New Roman" w:hAnsi="Times New Roman" w:eastAsia="方正小标宋简体" w:cs="Times New Roman"/>
                        <w:sz w:val="18"/>
                        <w:szCs w:val="18"/>
                      </w:rPr>
                      <w:fldChar w:fldCharType="begin"/>
                    </w:r>
                    <w:r>
                      <w:rPr>
                        <w:rFonts w:hint="default" w:ascii="Times New Roman" w:hAnsi="Times New Roman" w:eastAsia="方正小标宋简体" w:cs="Times New Roman"/>
                        <w:sz w:val="18"/>
                        <w:szCs w:val="18"/>
                      </w:rPr>
                      <w:instrText xml:space="preserve"> PAGE  \* MERGEFORMAT </w:instrText>
                    </w:r>
                    <w:r>
                      <w:rPr>
                        <w:rFonts w:hint="default" w:ascii="Times New Roman" w:hAnsi="Times New Roman" w:eastAsia="方正小标宋简体" w:cs="Times New Roman"/>
                        <w:sz w:val="18"/>
                        <w:szCs w:val="18"/>
                      </w:rPr>
                      <w:fldChar w:fldCharType="separate"/>
                    </w:r>
                    <w:r>
                      <w:rPr>
                        <w:rFonts w:hint="default" w:ascii="Times New Roman" w:hAnsi="Times New Roman" w:eastAsia="方正小标宋简体" w:cs="Times New Roman"/>
                        <w:sz w:val="18"/>
                        <w:szCs w:val="18"/>
                      </w:rPr>
                      <w:t>1</w:t>
                    </w:r>
                    <w:r>
                      <w:rPr>
                        <w:rFonts w:hint="default" w:ascii="Times New Roman" w:hAnsi="Times New Roman" w:eastAsia="方正小标宋简体" w:cs="Times New Roman"/>
                        <w:sz w:val="18"/>
                        <w:szCs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797E1">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79711">
                          <w:pPr>
                            <w:pStyle w:val="13"/>
                            <w:jc w:val="center"/>
                            <w:rPr>
                              <w:rFonts w:hint="default" w:ascii="Times New Roman" w:hAnsi="Times New Roman" w:eastAsia="方正小标宋简体" w:cs="Times New Roman"/>
                              <w:sz w:val="18"/>
                              <w:szCs w:val="21"/>
                            </w:rPr>
                          </w:pPr>
                          <w:r>
                            <w:rPr>
                              <w:rFonts w:hint="default" w:ascii="Times New Roman" w:hAnsi="Times New Roman" w:eastAsia="方正小标宋简体" w:cs="Times New Roman"/>
                              <w:sz w:val="18"/>
                              <w:szCs w:val="21"/>
                            </w:rPr>
                            <w:fldChar w:fldCharType="begin"/>
                          </w:r>
                          <w:r>
                            <w:rPr>
                              <w:rFonts w:hint="default" w:ascii="Times New Roman" w:hAnsi="Times New Roman" w:eastAsia="方正小标宋简体" w:cs="Times New Roman"/>
                              <w:sz w:val="18"/>
                              <w:szCs w:val="21"/>
                            </w:rPr>
                            <w:instrText xml:space="preserve"> PAGE  \* MERGEFORMAT </w:instrText>
                          </w:r>
                          <w:r>
                            <w:rPr>
                              <w:rFonts w:hint="default" w:ascii="Times New Roman" w:hAnsi="Times New Roman" w:eastAsia="方正小标宋简体" w:cs="Times New Roman"/>
                              <w:sz w:val="18"/>
                              <w:szCs w:val="21"/>
                            </w:rPr>
                            <w:fldChar w:fldCharType="separate"/>
                          </w:r>
                          <w:r>
                            <w:rPr>
                              <w:rFonts w:hint="default" w:ascii="Times New Roman" w:hAnsi="Times New Roman" w:eastAsia="方正小标宋简体" w:cs="Times New Roman"/>
                              <w:sz w:val="18"/>
                              <w:szCs w:val="21"/>
                            </w:rPr>
                            <w:t>1</w:t>
                          </w:r>
                          <w:r>
                            <w:rPr>
                              <w:rFonts w:hint="default" w:ascii="Times New Roman" w:hAnsi="Times New Roman" w:eastAsia="方正小标宋简体" w:cs="Times New Roman"/>
                              <w:sz w:val="18"/>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E79711">
                    <w:pPr>
                      <w:pStyle w:val="13"/>
                      <w:jc w:val="center"/>
                      <w:rPr>
                        <w:rFonts w:hint="default" w:ascii="Times New Roman" w:hAnsi="Times New Roman" w:eastAsia="方正小标宋简体" w:cs="Times New Roman"/>
                        <w:sz w:val="18"/>
                        <w:szCs w:val="21"/>
                      </w:rPr>
                    </w:pPr>
                    <w:r>
                      <w:rPr>
                        <w:rFonts w:hint="default" w:ascii="Times New Roman" w:hAnsi="Times New Roman" w:eastAsia="方正小标宋简体" w:cs="Times New Roman"/>
                        <w:sz w:val="18"/>
                        <w:szCs w:val="21"/>
                      </w:rPr>
                      <w:fldChar w:fldCharType="begin"/>
                    </w:r>
                    <w:r>
                      <w:rPr>
                        <w:rFonts w:hint="default" w:ascii="Times New Roman" w:hAnsi="Times New Roman" w:eastAsia="方正小标宋简体" w:cs="Times New Roman"/>
                        <w:sz w:val="18"/>
                        <w:szCs w:val="21"/>
                      </w:rPr>
                      <w:instrText xml:space="preserve"> PAGE  \* MERGEFORMAT </w:instrText>
                    </w:r>
                    <w:r>
                      <w:rPr>
                        <w:rFonts w:hint="default" w:ascii="Times New Roman" w:hAnsi="Times New Roman" w:eastAsia="方正小标宋简体" w:cs="Times New Roman"/>
                        <w:sz w:val="18"/>
                        <w:szCs w:val="21"/>
                      </w:rPr>
                      <w:fldChar w:fldCharType="separate"/>
                    </w:r>
                    <w:r>
                      <w:rPr>
                        <w:rFonts w:hint="default" w:ascii="Times New Roman" w:hAnsi="Times New Roman" w:eastAsia="方正小标宋简体" w:cs="Times New Roman"/>
                        <w:sz w:val="18"/>
                        <w:szCs w:val="21"/>
                      </w:rPr>
                      <w:t>1</w:t>
                    </w:r>
                    <w:r>
                      <w:rPr>
                        <w:rFonts w:hint="default" w:ascii="Times New Roman" w:hAnsi="Times New Roman" w:eastAsia="方正小标宋简体" w:cs="Times New Roman"/>
                        <w:sz w:val="18"/>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90C91">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61D82">
                          <w:pPr>
                            <w:pStyle w:val="13"/>
                            <w:jc w:val="center"/>
                            <w:rPr>
                              <w:rFonts w:hint="default" w:ascii="Times New Roman" w:hAnsi="Times New Roman" w:eastAsia="方正小标宋简体" w:cs="Times New Roman"/>
                              <w:sz w:val="18"/>
                              <w:szCs w:val="18"/>
                            </w:rPr>
                          </w:pPr>
                          <w:r>
                            <w:rPr>
                              <w:rFonts w:hint="default" w:ascii="Times New Roman" w:hAnsi="Times New Roman" w:eastAsia="方正小标宋简体" w:cs="Times New Roman"/>
                              <w:sz w:val="18"/>
                              <w:szCs w:val="18"/>
                            </w:rPr>
                            <w:fldChar w:fldCharType="begin"/>
                          </w:r>
                          <w:r>
                            <w:rPr>
                              <w:rFonts w:hint="default" w:ascii="Times New Roman" w:hAnsi="Times New Roman" w:eastAsia="方正小标宋简体" w:cs="Times New Roman"/>
                              <w:sz w:val="18"/>
                              <w:szCs w:val="18"/>
                            </w:rPr>
                            <w:instrText xml:space="preserve"> PAGE  \* MERGEFORMAT </w:instrText>
                          </w:r>
                          <w:r>
                            <w:rPr>
                              <w:rFonts w:hint="default" w:ascii="Times New Roman" w:hAnsi="Times New Roman" w:eastAsia="方正小标宋简体" w:cs="Times New Roman"/>
                              <w:sz w:val="18"/>
                              <w:szCs w:val="18"/>
                            </w:rPr>
                            <w:fldChar w:fldCharType="separate"/>
                          </w:r>
                          <w:r>
                            <w:rPr>
                              <w:rFonts w:hint="default" w:ascii="Times New Roman" w:hAnsi="Times New Roman" w:eastAsia="方正小标宋简体" w:cs="Times New Roman"/>
                              <w:sz w:val="18"/>
                              <w:szCs w:val="18"/>
                            </w:rPr>
                            <w:t>1</w:t>
                          </w:r>
                          <w:r>
                            <w:rPr>
                              <w:rFonts w:hint="default" w:ascii="Times New Roman" w:hAnsi="Times New Roman" w:eastAsia="方正小标宋简体"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3161D82">
                    <w:pPr>
                      <w:pStyle w:val="13"/>
                      <w:jc w:val="center"/>
                      <w:rPr>
                        <w:rFonts w:hint="default" w:ascii="Times New Roman" w:hAnsi="Times New Roman" w:eastAsia="方正小标宋简体" w:cs="Times New Roman"/>
                        <w:sz w:val="18"/>
                        <w:szCs w:val="18"/>
                      </w:rPr>
                    </w:pPr>
                    <w:r>
                      <w:rPr>
                        <w:rFonts w:hint="default" w:ascii="Times New Roman" w:hAnsi="Times New Roman" w:eastAsia="方正小标宋简体" w:cs="Times New Roman"/>
                        <w:sz w:val="18"/>
                        <w:szCs w:val="18"/>
                      </w:rPr>
                      <w:fldChar w:fldCharType="begin"/>
                    </w:r>
                    <w:r>
                      <w:rPr>
                        <w:rFonts w:hint="default" w:ascii="Times New Roman" w:hAnsi="Times New Roman" w:eastAsia="方正小标宋简体" w:cs="Times New Roman"/>
                        <w:sz w:val="18"/>
                        <w:szCs w:val="18"/>
                      </w:rPr>
                      <w:instrText xml:space="preserve"> PAGE  \* MERGEFORMAT </w:instrText>
                    </w:r>
                    <w:r>
                      <w:rPr>
                        <w:rFonts w:hint="default" w:ascii="Times New Roman" w:hAnsi="Times New Roman" w:eastAsia="方正小标宋简体" w:cs="Times New Roman"/>
                        <w:sz w:val="18"/>
                        <w:szCs w:val="18"/>
                      </w:rPr>
                      <w:fldChar w:fldCharType="separate"/>
                    </w:r>
                    <w:r>
                      <w:rPr>
                        <w:rFonts w:hint="default" w:ascii="Times New Roman" w:hAnsi="Times New Roman" w:eastAsia="方正小标宋简体" w:cs="Times New Roman"/>
                        <w:sz w:val="18"/>
                        <w:szCs w:val="18"/>
                      </w:rPr>
                      <w:t>1</w:t>
                    </w:r>
                    <w:r>
                      <w:rPr>
                        <w:rFonts w:hint="default" w:ascii="Times New Roman" w:hAnsi="Times New Roman" w:eastAsia="方正小标宋简体" w:cs="Times New Roman"/>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123C0">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1033E">
                          <w:pPr>
                            <w:pStyle w:val="13"/>
                            <w:jc w:val="center"/>
                            <w:rPr>
                              <w:rFonts w:hint="default" w:ascii="Times New Roman" w:hAnsi="Times New Roman" w:eastAsia="方正小标宋简体" w:cs="Times New Roman"/>
                              <w:sz w:val="18"/>
                              <w:szCs w:val="18"/>
                            </w:rPr>
                          </w:pPr>
                          <w:r>
                            <w:rPr>
                              <w:rFonts w:hint="default" w:ascii="Times New Roman" w:hAnsi="Times New Roman" w:eastAsia="方正小标宋简体" w:cs="Times New Roman"/>
                              <w:sz w:val="18"/>
                              <w:szCs w:val="18"/>
                            </w:rPr>
                            <w:fldChar w:fldCharType="begin"/>
                          </w:r>
                          <w:r>
                            <w:rPr>
                              <w:rFonts w:hint="default" w:ascii="Times New Roman" w:hAnsi="Times New Roman" w:eastAsia="方正小标宋简体" w:cs="Times New Roman"/>
                              <w:sz w:val="18"/>
                              <w:szCs w:val="18"/>
                            </w:rPr>
                            <w:instrText xml:space="preserve"> PAGE  \* MERGEFORMAT </w:instrText>
                          </w:r>
                          <w:r>
                            <w:rPr>
                              <w:rFonts w:hint="default" w:ascii="Times New Roman" w:hAnsi="Times New Roman" w:eastAsia="方正小标宋简体" w:cs="Times New Roman"/>
                              <w:sz w:val="18"/>
                              <w:szCs w:val="18"/>
                            </w:rPr>
                            <w:fldChar w:fldCharType="separate"/>
                          </w:r>
                          <w:r>
                            <w:rPr>
                              <w:rFonts w:hint="default" w:ascii="Times New Roman" w:hAnsi="Times New Roman" w:eastAsia="方正小标宋简体" w:cs="Times New Roman"/>
                              <w:sz w:val="18"/>
                              <w:szCs w:val="18"/>
                            </w:rPr>
                            <w:t>1</w:t>
                          </w:r>
                          <w:r>
                            <w:rPr>
                              <w:rFonts w:hint="default" w:ascii="Times New Roman" w:hAnsi="Times New Roman" w:eastAsia="方正小标宋简体"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4F1033E">
                    <w:pPr>
                      <w:pStyle w:val="13"/>
                      <w:jc w:val="center"/>
                      <w:rPr>
                        <w:rFonts w:hint="default" w:ascii="Times New Roman" w:hAnsi="Times New Roman" w:eastAsia="方正小标宋简体" w:cs="Times New Roman"/>
                        <w:sz w:val="18"/>
                        <w:szCs w:val="18"/>
                      </w:rPr>
                    </w:pPr>
                    <w:r>
                      <w:rPr>
                        <w:rFonts w:hint="default" w:ascii="Times New Roman" w:hAnsi="Times New Roman" w:eastAsia="方正小标宋简体" w:cs="Times New Roman"/>
                        <w:sz w:val="18"/>
                        <w:szCs w:val="18"/>
                      </w:rPr>
                      <w:fldChar w:fldCharType="begin"/>
                    </w:r>
                    <w:r>
                      <w:rPr>
                        <w:rFonts w:hint="default" w:ascii="Times New Roman" w:hAnsi="Times New Roman" w:eastAsia="方正小标宋简体" w:cs="Times New Roman"/>
                        <w:sz w:val="18"/>
                        <w:szCs w:val="18"/>
                      </w:rPr>
                      <w:instrText xml:space="preserve"> PAGE  \* MERGEFORMAT </w:instrText>
                    </w:r>
                    <w:r>
                      <w:rPr>
                        <w:rFonts w:hint="default" w:ascii="Times New Roman" w:hAnsi="Times New Roman" w:eastAsia="方正小标宋简体" w:cs="Times New Roman"/>
                        <w:sz w:val="18"/>
                        <w:szCs w:val="18"/>
                      </w:rPr>
                      <w:fldChar w:fldCharType="separate"/>
                    </w:r>
                    <w:r>
                      <w:rPr>
                        <w:rFonts w:hint="default" w:ascii="Times New Roman" w:hAnsi="Times New Roman" w:eastAsia="方正小标宋简体" w:cs="Times New Roman"/>
                        <w:sz w:val="18"/>
                        <w:szCs w:val="18"/>
                      </w:rPr>
                      <w:t>1</w:t>
                    </w:r>
                    <w:r>
                      <w:rPr>
                        <w:rFonts w:hint="default" w:ascii="Times New Roman" w:hAnsi="Times New Roman" w:eastAsia="方正小标宋简体" w:cs="Times New Roman"/>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F2DA2">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22419D">
                          <w:pPr>
                            <w:pStyle w:val="13"/>
                            <w:jc w:val="center"/>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1</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322419D">
                    <w:pPr>
                      <w:pStyle w:val="13"/>
                      <w:jc w:val="center"/>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1</w:t>
                    </w:r>
                    <w:r>
                      <w:rPr>
                        <w:rFonts w:hint="default" w:ascii="Times New Roman" w:hAnsi="Times New Roman" w:cs="Times New Roman"/>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E83C6">
    <w:pPr>
      <w:pStyle w:val="12"/>
      <w:bidi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94411">
    <w:pPr>
      <w:pStyle w:val="12"/>
      <w:bidi w:val="0"/>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B7FD0F"/>
    <w:multiLevelType w:val="multilevel"/>
    <w:tmpl w:val="8FB7FD0F"/>
    <w:lvl w:ilvl="0" w:tentative="0">
      <w:start w:val="1"/>
      <w:numFmt w:val="chineseCountingThousand"/>
      <w:suff w:val="space"/>
      <w:lvlText w:val="第%1节"/>
      <w:lvlJc w:val="left"/>
      <w:pPr>
        <w:ind w:left="0" w:leftChars="0" w:firstLine="0" w:firstLineChars="0"/>
      </w:pPr>
      <w:rPr>
        <w:rFonts w:hint="eastAsia" w:ascii="黑体" w:hAnsi="黑体" w:eastAsia="黑体" w:cs="黑体"/>
        <w:sz w:val="32"/>
        <w:szCs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A0A91462"/>
    <w:multiLevelType w:val="multilevel"/>
    <w:tmpl w:val="A0A91462"/>
    <w:lvl w:ilvl="0" w:tentative="0">
      <w:start w:val="1"/>
      <w:numFmt w:val="chineseCountingThousand"/>
      <w:suff w:val="space"/>
      <w:lvlText w:val="第%1节"/>
      <w:lvlJc w:val="left"/>
      <w:pPr>
        <w:ind w:left="0" w:leftChars="0" w:firstLine="0" w:firstLineChars="0"/>
      </w:pPr>
      <w:rPr>
        <w:rFonts w:hint="eastAsia" w:ascii="黑体" w:hAnsi="黑体" w:eastAsia="黑体" w:cs="黑体"/>
        <w:sz w:val="32"/>
        <w:szCs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D0A157BB"/>
    <w:multiLevelType w:val="multilevel"/>
    <w:tmpl w:val="D0A157BB"/>
    <w:lvl w:ilvl="0" w:tentative="0">
      <w:start w:val="1"/>
      <w:numFmt w:val="chineseCountingThousand"/>
      <w:suff w:val="space"/>
      <w:lvlText w:val="第%1节"/>
      <w:lvlJc w:val="left"/>
      <w:pPr>
        <w:ind w:left="0" w:leftChars="0" w:firstLine="0" w:firstLineChars="0"/>
      </w:pPr>
      <w:rPr>
        <w:rFonts w:hint="eastAsia" w:ascii="黑体" w:hAnsi="黑体" w:eastAsia="黑体" w:cs="黑体"/>
        <w:sz w:val="32"/>
        <w:szCs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D4358E9C"/>
    <w:multiLevelType w:val="multilevel"/>
    <w:tmpl w:val="D4358E9C"/>
    <w:lvl w:ilvl="0" w:tentative="0">
      <w:start w:val="1"/>
      <w:numFmt w:val="chineseCountingThousand"/>
      <w:suff w:val="space"/>
      <w:lvlText w:val="第%1节"/>
      <w:lvlJc w:val="left"/>
      <w:pPr>
        <w:ind w:left="0" w:leftChars="0" w:firstLine="0" w:firstLineChars="0"/>
      </w:pPr>
      <w:rPr>
        <w:rFonts w:hint="eastAsia" w:ascii="黑体" w:hAnsi="黑体" w:eastAsia="黑体" w:cs="黑体"/>
        <w:sz w:val="32"/>
        <w:szCs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DEC08F9C"/>
    <w:multiLevelType w:val="multilevel"/>
    <w:tmpl w:val="DEC08F9C"/>
    <w:lvl w:ilvl="0" w:tentative="0">
      <w:start w:val="1"/>
      <w:numFmt w:val="chineseCountingThousand"/>
      <w:suff w:val="space"/>
      <w:lvlText w:val="第%1节"/>
      <w:lvlJc w:val="left"/>
      <w:pPr>
        <w:ind w:left="0" w:leftChars="0" w:firstLine="0" w:firstLineChars="0"/>
      </w:pPr>
      <w:rPr>
        <w:rFonts w:hint="eastAsia" w:ascii="黑体" w:hAnsi="黑体" w:eastAsia="黑体" w:cs="黑体"/>
        <w:sz w:val="32"/>
        <w:szCs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0400D16F"/>
    <w:multiLevelType w:val="multilevel"/>
    <w:tmpl w:val="0400D16F"/>
    <w:lvl w:ilvl="0" w:tentative="0">
      <w:start w:val="1"/>
      <w:numFmt w:val="chineseCountingThousand"/>
      <w:suff w:val="space"/>
      <w:lvlText w:val="第%1节"/>
      <w:lvlJc w:val="left"/>
      <w:pPr>
        <w:ind w:left="0" w:leftChars="0" w:firstLine="0" w:firstLineChars="0"/>
      </w:pPr>
      <w:rPr>
        <w:rFonts w:hint="eastAsia" w:ascii="黑体" w:hAnsi="黑体" w:eastAsia="黑体" w:cs="黑体"/>
        <w:sz w:val="32"/>
        <w:szCs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0F32D50F"/>
    <w:multiLevelType w:val="multilevel"/>
    <w:tmpl w:val="0F32D50F"/>
    <w:lvl w:ilvl="0" w:tentative="0">
      <w:start w:val="1"/>
      <w:numFmt w:val="chineseCountingThousand"/>
      <w:suff w:val="space"/>
      <w:lvlText w:val="第%1节"/>
      <w:lvlJc w:val="left"/>
      <w:pPr>
        <w:ind w:left="0" w:leftChars="0" w:firstLine="0" w:firstLineChars="0"/>
      </w:pPr>
      <w:rPr>
        <w:rFonts w:hint="eastAsia" w:ascii="黑体" w:hAnsi="黑体" w:eastAsia="黑体" w:cs="黑体"/>
        <w:sz w:val="32"/>
        <w:szCs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121686F7"/>
    <w:multiLevelType w:val="multilevel"/>
    <w:tmpl w:val="121686F7"/>
    <w:lvl w:ilvl="0" w:tentative="0">
      <w:start w:val="1"/>
      <w:numFmt w:val="chineseCountingThousand"/>
      <w:suff w:val="space"/>
      <w:lvlText w:val="第%1章"/>
      <w:lvlJc w:val="left"/>
      <w:pPr>
        <w:ind w:left="0" w:leftChars="0" w:firstLine="0" w:firstLineChars="0"/>
      </w:pPr>
      <w:rPr>
        <w:rFonts w:hint="eastAsia" w:ascii="Times New Roman" w:hAnsi="Times New Roman" w:eastAsia="方正小标宋简体" w:cs="Times New Roman"/>
        <w:sz w:val="36"/>
        <w:szCs w:val="36"/>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24519464"/>
    <w:multiLevelType w:val="multilevel"/>
    <w:tmpl w:val="24519464"/>
    <w:lvl w:ilvl="0" w:tentative="0">
      <w:start w:val="1"/>
      <w:numFmt w:val="chineseCountingThousand"/>
      <w:suff w:val="space"/>
      <w:lvlText w:val="第%1节"/>
      <w:lvlJc w:val="left"/>
      <w:pPr>
        <w:ind w:left="0" w:leftChars="0" w:firstLine="0" w:firstLineChars="0"/>
      </w:pPr>
      <w:rPr>
        <w:rFonts w:hint="eastAsia" w:ascii="黑体" w:hAnsi="黑体" w:eastAsia="黑体" w:cs="黑体"/>
        <w:sz w:val="32"/>
        <w:szCs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45951866"/>
    <w:multiLevelType w:val="multilevel"/>
    <w:tmpl w:val="45951866"/>
    <w:lvl w:ilvl="0" w:tentative="0">
      <w:start w:val="1"/>
      <w:numFmt w:val="chineseCountingThousand"/>
      <w:suff w:val="space"/>
      <w:lvlText w:val="第%1节"/>
      <w:lvlJc w:val="left"/>
      <w:pPr>
        <w:ind w:left="0" w:leftChars="0" w:firstLine="0" w:firstLineChars="0"/>
      </w:pPr>
      <w:rPr>
        <w:rFonts w:hint="eastAsia" w:ascii="Times New Roman" w:hAnsi="Times New Roman" w:eastAsia="黑体" w:cs="Times New Roman"/>
        <w:sz w:val="32"/>
        <w:szCs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48821A73"/>
    <w:multiLevelType w:val="multilevel"/>
    <w:tmpl w:val="48821A73"/>
    <w:lvl w:ilvl="0" w:tentative="0">
      <w:start w:val="1"/>
      <w:numFmt w:val="chineseCountingThousand"/>
      <w:suff w:val="space"/>
      <w:lvlText w:val="第%1节"/>
      <w:lvlJc w:val="left"/>
      <w:pPr>
        <w:ind w:left="0" w:leftChars="0" w:firstLine="0" w:firstLineChars="0"/>
      </w:pPr>
      <w:rPr>
        <w:rFonts w:hint="eastAsia" w:ascii="黑体" w:hAnsi="黑体" w:eastAsia="黑体" w:cs="黑体"/>
        <w:sz w:val="32"/>
        <w:szCs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59ACA354"/>
    <w:multiLevelType w:val="multilevel"/>
    <w:tmpl w:val="59ACA354"/>
    <w:lvl w:ilvl="0" w:tentative="0">
      <w:start w:val="1"/>
      <w:numFmt w:val="chineseCountingThousand"/>
      <w:suff w:val="space"/>
      <w:lvlText w:val="第%1节"/>
      <w:lvlJc w:val="left"/>
      <w:pPr>
        <w:ind w:left="0" w:leftChars="0" w:firstLine="0" w:firstLineChars="0"/>
      </w:pPr>
      <w:rPr>
        <w:rFonts w:hint="eastAsia" w:ascii="黑体" w:hAnsi="黑体" w:eastAsia="黑体" w:cs="黑体"/>
        <w:sz w:val="32"/>
        <w:szCs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7"/>
  </w:num>
  <w:num w:numId="2">
    <w:abstractNumId w:val="9"/>
  </w:num>
  <w:num w:numId="3">
    <w:abstractNumId w:val="4"/>
  </w:num>
  <w:num w:numId="4">
    <w:abstractNumId w:val="11"/>
  </w:num>
  <w:num w:numId="5">
    <w:abstractNumId w:val="10"/>
  </w:num>
  <w:num w:numId="6">
    <w:abstractNumId w:val="6"/>
  </w:num>
  <w:num w:numId="7">
    <w:abstractNumId w:val="5"/>
  </w:num>
  <w:num w:numId="8">
    <w:abstractNumId w:val="2"/>
  </w:num>
  <w:num w:numId="9">
    <w:abstractNumId w:val="1"/>
  </w:num>
  <w:num w:numId="10">
    <w:abstractNumId w:val="0"/>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JhOWRjODM3NDgyZmI2NzA2YTAxMmU3ZWYzYjAyZDYifQ=="/>
    <w:docVar w:name="KSO_WPS_MARK_KEY" w:val="8077bfc1-5f8d-4f48-b1db-a5e9821d3e8a"/>
  </w:docVars>
  <w:rsids>
    <w:rsidRoot w:val="00172A27"/>
    <w:rsid w:val="000704C7"/>
    <w:rsid w:val="000C04E6"/>
    <w:rsid w:val="00113AE2"/>
    <w:rsid w:val="0013794E"/>
    <w:rsid w:val="00140466"/>
    <w:rsid w:val="001F25F5"/>
    <w:rsid w:val="002275A0"/>
    <w:rsid w:val="00254A36"/>
    <w:rsid w:val="0028674C"/>
    <w:rsid w:val="002B4882"/>
    <w:rsid w:val="002F7F5C"/>
    <w:rsid w:val="00334D8F"/>
    <w:rsid w:val="003361FB"/>
    <w:rsid w:val="00372947"/>
    <w:rsid w:val="00377F93"/>
    <w:rsid w:val="003D462A"/>
    <w:rsid w:val="0041691C"/>
    <w:rsid w:val="004871F3"/>
    <w:rsid w:val="004D7B40"/>
    <w:rsid w:val="00525396"/>
    <w:rsid w:val="006C5EAB"/>
    <w:rsid w:val="007002AB"/>
    <w:rsid w:val="0079068E"/>
    <w:rsid w:val="00851963"/>
    <w:rsid w:val="00855F0D"/>
    <w:rsid w:val="00877BA9"/>
    <w:rsid w:val="0088397E"/>
    <w:rsid w:val="00895BF6"/>
    <w:rsid w:val="008D22D4"/>
    <w:rsid w:val="008E3BFF"/>
    <w:rsid w:val="008F549C"/>
    <w:rsid w:val="009639AF"/>
    <w:rsid w:val="009A6534"/>
    <w:rsid w:val="00A63EB4"/>
    <w:rsid w:val="00A87294"/>
    <w:rsid w:val="00B24DBE"/>
    <w:rsid w:val="00B305F7"/>
    <w:rsid w:val="00B618FA"/>
    <w:rsid w:val="00B61E4D"/>
    <w:rsid w:val="00B71F91"/>
    <w:rsid w:val="00BC6C8D"/>
    <w:rsid w:val="00BE5AE3"/>
    <w:rsid w:val="00C60765"/>
    <w:rsid w:val="00C651F7"/>
    <w:rsid w:val="00C87032"/>
    <w:rsid w:val="00CA1128"/>
    <w:rsid w:val="00CB1578"/>
    <w:rsid w:val="00D642F1"/>
    <w:rsid w:val="00D848D5"/>
    <w:rsid w:val="00D915F3"/>
    <w:rsid w:val="00D91EDB"/>
    <w:rsid w:val="00E63A69"/>
    <w:rsid w:val="00ED2E92"/>
    <w:rsid w:val="00ED306F"/>
    <w:rsid w:val="00EE35FD"/>
    <w:rsid w:val="00EE644C"/>
    <w:rsid w:val="00F46253"/>
    <w:rsid w:val="00F73F48"/>
    <w:rsid w:val="00FA0F78"/>
    <w:rsid w:val="00FB1500"/>
    <w:rsid w:val="00FD5F24"/>
    <w:rsid w:val="012258D6"/>
    <w:rsid w:val="01225D05"/>
    <w:rsid w:val="01577A78"/>
    <w:rsid w:val="01592A54"/>
    <w:rsid w:val="015E6884"/>
    <w:rsid w:val="015E741F"/>
    <w:rsid w:val="02262D02"/>
    <w:rsid w:val="02AA1F7F"/>
    <w:rsid w:val="02AB56B6"/>
    <w:rsid w:val="02C92423"/>
    <w:rsid w:val="02DA40D8"/>
    <w:rsid w:val="02E37E9B"/>
    <w:rsid w:val="033923C2"/>
    <w:rsid w:val="034C3E91"/>
    <w:rsid w:val="038B3DDC"/>
    <w:rsid w:val="039008E7"/>
    <w:rsid w:val="03CB018A"/>
    <w:rsid w:val="03DA3508"/>
    <w:rsid w:val="040B01CB"/>
    <w:rsid w:val="041411A2"/>
    <w:rsid w:val="042B6520"/>
    <w:rsid w:val="043720D7"/>
    <w:rsid w:val="044F4E1E"/>
    <w:rsid w:val="049C3C26"/>
    <w:rsid w:val="04A2759B"/>
    <w:rsid w:val="04BC5B32"/>
    <w:rsid w:val="04BD56E7"/>
    <w:rsid w:val="04CD34EE"/>
    <w:rsid w:val="04ED41A7"/>
    <w:rsid w:val="051404F4"/>
    <w:rsid w:val="052805C9"/>
    <w:rsid w:val="052D4EEB"/>
    <w:rsid w:val="052F2A11"/>
    <w:rsid w:val="053C7961"/>
    <w:rsid w:val="05704893"/>
    <w:rsid w:val="057A17B3"/>
    <w:rsid w:val="05805263"/>
    <w:rsid w:val="058E5C40"/>
    <w:rsid w:val="05AC4062"/>
    <w:rsid w:val="05B2719F"/>
    <w:rsid w:val="05B6018F"/>
    <w:rsid w:val="05BB0908"/>
    <w:rsid w:val="05E80BD8"/>
    <w:rsid w:val="05F144A2"/>
    <w:rsid w:val="060202A6"/>
    <w:rsid w:val="062B4331"/>
    <w:rsid w:val="069D12CD"/>
    <w:rsid w:val="06A04EA8"/>
    <w:rsid w:val="06BA455D"/>
    <w:rsid w:val="06E653B5"/>
    <w:rsid w:val="072467D6"/>
    <w:rsid w:val="073A38EF"/>
    <w:rsid w:val="074B6869"/>
    <w:rsid w:val="07870C85"/>
    <w:rsid w:val="07A14D31"/>
    <w:rsid w:val="07A77AC1"/>
    <w:rsid w:val="07AA06A4"/>
    <w:rsid w:val="07BC2556"/>
    <w:rsid w:val="08114679"/>
    <w:rsid w:val="08193505"/>
    <w:rsid w:val="08373FB9"/>
    <w:rsid w:val="08376CB3"/>
    <w:rsid w:val="084022C7"/>
    <w:rsid w:val="08471131"/>
    <w:rsid w:val="0874304D"/>
    <w:rsid w:val="08BF22FE"/>
    <w:rsid w:val="08D90DCF"/>
    <w:rsid w:val="08E6156B"/>
    <w:rsid w:val="08E91FF2"/>
    <w:rsid w:val="09080360"/>
    <w:rsid w:val="096C321F"/>
    <w:rsid w:val="09AB63DF"/>
    <w:rsid w:val="09E20FF7"/>
    <w:rsid w:val="09E3460A"/>
    <w:rsid w:val="09F956A9"/>
    <w:rsid w:val="0A1A56B6"/>
    <w:rsid w:val="0A2B4793"/>
    <w:rsid w:val="0A6A2020"/>
    <w:rsid w:val="0A770208"/>
    <w:rsid w:val="0A8D4ED3"/>
    <w:rsid w:val="0AA22007"/>
    <w:rsid w:val="0AA95DD5"/>
    <w:rsid w:val="0AB458F8"/>
    <w:rsid w:val="0ADA1E80"/>
    <w:rsid w:val="0B5B60BF"/>
    <w:rsid w:val="0BAB4912"/>
    <w:rsid w:val="0BF174B8"/>
    <w:rsid w:val="0C000C64"/>
    <w:rsid w:val="0C1069CD"/>
    <w:rsid w:val="0C3E353A"/>
    <w:rsid w:val="0C4C4ED8"/>
    <w:rsid w:val="0C5F4169"/>
    <w:rsid w:val="0C607B67"/>
    <w:rsid w:val="0C6503A8"/>
    <w:rsid w:val="0CA84E57"/>
    <w:rsid w:val="0CDF4744"/>
    <w:rsid w:val="0CED174C"/>
    <w:rsid w:val="0CF167FE"/>
    <w:rsid w:val="0D1A5D55"/>
    <w:rsid w:val="0D385C8F"/>
    <w:rsid w:val="0D441EB5"/>
    <w:rsid w:val="0D5C3880"/>
    <w:rsid w:val="0DE21D2C"/>
    <w:rsid w:val="0DE90E7B"/>
    <w:rsid w:val="0E1A6C42"/>
    <w:rsid w:val="0E370B89"/>
    <w:rsid w:val="0E547045"/>
    <w:rsid w:val="0E795434"/>
    <w:rsid w:val="0EA80ECC"/>
    <w:rsid w:val="0EB7022D"/>
    <w:rsid w:val="0EBC70B1"/>
    <w:rsid w:val="0EC51ACA"/>
    <w:rsid w:val="0EC62B21"/>
    <w:rsid w:val="0EC94C75"/>
    <w:rsid w:val="0F082BF6"/>
    <w:rsid w:val="0F087E2F"/>
    <w:rsid w:val="0F187889"/>
    <w:rsid w:val="0F1B7987"/>
    <w:rsid w:val="0F380715"/>
    <w:rsid w:val="0F3E06C6"/>
    <w:rsid w:val="0F566DED"/>
    <w:rsid w:val="0F64150A"/>
    <w:rsid w:val="0F7E6A90"/>
    <w:rsid w:val="0FD72C0C"/>
    <w:rsid w:val="0FDB5546"/>
    <w:rsid w:val="0FF8235F"/>
    <w:rsid w:val="0FFC7994"/>
    <w:rsid w:val="100578CD"/>
    <w:rsid w:val="100E7EE7"/>
    <w:rsid w:val="102220FF"/>
    <w:rsid w:val="105D5FBB"/>
    <w:rsid w:val="107514F4"/>
    <w:rsid w:val="10853E2D"/>
    <w:rsid w:val="10FF0AC2"/>
    <w:rsid w:val="11101230"/>
    <w:rsid w:val="111D16FB"/>
    <w:rsid w:val="11435349"/>
    <w:rsid w:val="11575FBC"/>
    <w:rsid w:val="11910F0D"/>
    <w:rsid w:val="11A544ED"/>
    <w:rsid w:val="11B81FE1"/>
    <w:rsid w:val="11EE77B0"/>
    <w:rsid w:val="12307DC9"/>
    <w:rsid w:val="123917A9"/>
    <w:rsid w:val="12500C0A"/>
    <w:rsid w:val="125D0492"/>
    <w:rsid w:val="12673E82"/>
    <w:rsid w:val="12751C80"/>
    <w:rsid w:val="128F6B7C"/>
    <w:rsid w:val="12955E7E"/>
    <w:rsid w:val="12CA3D79"/>
    <w:rsid w:val="12D1026D"/>
    <w:rsid w:val="12D76FE5"/>
    <w:rsid w:val="130A061A"/>
    <w:rsid w:val="13205E7B"/>
    <w:rsid w:val="132635A1"/>
    <w:rsid w:val="132E73E9"/>
    <w:rsid w:val="13347445"/>
    <w:rsid w:val="133D09EF"/>
    <w:rsid w:val="13575D37"/>
    <w:rsid w:val="13597121"/>
    <w:rsid w:val="13634D98"/>
    <w:rsid w:val="13971B98"/>
    <w:rsid w:val="13A66595"/>
    <w:rsid w:val="13F122C1"/>
    <w:rsid w:val="13F84916"/>
    <w:rsid w:val="140159F7"/>
    <w:rsid w:val="140C6D97"/>
    <w:rsid w:val="14156107"/>
    <w:rsid w:val="141E108F"/>
    <w:rsid w:val="14224EAF"/>
    <w:rsid w:val="1444680B"/>
    <w:rsid w:val="147B48FA"/>
    <w:rsid w:val="149208C7"/>
    <w:rsid w:val="14922163"/>
    <w:rsid w:val="14E904B0"/>
    <w:rsid w:val="14EA27AA"/>
    <w:rsid w:val="14F50E56"/>
    <w:rsid w:val="15681628"/>
    <w:rsid w:val="15731DA0"/>
    <w:rsid w:val="157D344D"/>
    <w:rsid w:val="15806EEE"/>
    <w:rsid w:val="15A6217A"/>
    <w:rsid w:val="15B430D3"/>
    <w:rsid w:val="163159FA"/>
    <w:rsid w:val="1647748F"/>
    <w:rsid w:val="168103F5"/>
    <w:rsid w:val="169B5D93"/>
    <w:rsid w:val="16A576CC"/>
    <w:rsid w:val="16BE3BF5"/>
    <w:rsid w:val="16F61C6B"/>
    <w:rsid w:val="1719707D"/>
    <w:rsid w:val="1720665E"/>
    <w:rsid w:val="172239CB"/>
    <w:rsid w:val="174F32CB"/>
    <w:rsid w:val="175E7186"/>
    <w:rsid w:val="17613EC7"/>
    <w:rsid w:val="17A24C92"/>
    <w:rsid w:val="17BF57C3"/>
    <w:rsid w:val="17C0399D"/>
    <w:rsid w:val="17D40417"/>
    <w:rsid w:val="1800023D"/>
    <w:rsid w:val="1806151F"/>
    <w:rsid w:val="181830AD"/>
    <w:rsid w:val="18194E5B"/>
    <w:rsid w:val="1836143D"/>
    <w:rsid w:val="184616E8"/>
    <w:rsid w:val="189A4602"/>
    <w:rsid w:val="18BF21A4"/>
    <w:rsid w:val="18D771F0"/>
    <w:rsid w:val="18E96CD0"/>
    <w:rsid w:val="18F356AC"/>
    <w:rsid w:val="18F549DA"/>
    <w:rsid w:val="191F1F46"/>
    <w:rsid w:val="193261D5"/>
    <w:rsid w:val="19365E0B"/>
    <w:rsid w:val="194B76F1"/>
    <w:rsid w:val="194B799F"/>
    <w:rsid w:val="195C271B"/>
    <w:rsid w:val="19667C2D"/>
    <w:rsid w:val="19721A8F"/>
    <w:rsid w:val="197C6DD6"/>
    <w:rsid w:val="19AF7825"/>
    <w:rsid w:val="19D63004"/>
    <w:rsid w:val="19E46D2D"/>
    <w:rsid w:val="1A0A0F64"/>
    <w:rsid w:val="1A0A65CA"/>
    <w:rsid w:val="1A101DA1"/>
    <w:rsid w:val="1A3A3365"/>
    <w:rsid w:val="1A467E6B"/>
    <w:rsid w:val="1A620D3B"/>
    <w:rsid w:val="1A6949D6"/>
    <w:rsid w:val="1A8012AA"/>
    <w:rsid w:val="1A857AD4"/>
    <w:rsid w:val="1AAD6142"/>
    <w:rsid w:val="1AB70330"/>
    <w:rsid w:val="1AC27A2C"/>
    <w:rsid w:val="1AC762C5"/>
    <w:rsid w:val="1ADB17FF"/>
    <w:rsid w:val="1AFF2F14"/>
    <w:rsid w:val="1B014DAA"/>
    <w:rsid w:val="1B244E9E"/>
    <w:rsid w:val="1B376F2D"/>
    <w:rsid w:val="1B43291B"/>
    <w:rsid w:val="1B5A345F"/>
    <w:rsid w:val="1B6678C0"/>
    <w:rsid w:val="1B6B1E72"/>
    <w:rsid w:val="1B746F78"/>
    <w:rsid w:val="1B812F99"/>
    <w:rsid w:val="1B99253B"/>
    <w:rsid w:val="1BD25888"/>
    <w:rsid w:val="1BF23C3D"/>
    <w:rsid w:val="1C3E77DF"/>
    <w:rsid w:val="1C4A26CC"/>
    <w:rsid w:val="1C575F68"/>
    <w:rsid w:val="1C8B7C71"/>
    <w:rsid w:val="1CA44FA6"/>
    <w:rsid w:val="1CAC44F0"/>
    <w:rsid w:val="1CB735C0"/>
    <w:rsid w:val="1CDA2E0B"/>
    <w:rsid w:val="1CFF67A6"/>
    <w:rsid w:val="1D0F6D15"/>
    <w:rsid w:val="1D306ECF"/>
    <w:rsid w:val="1D3648D1"/>
    <w:rsid w:val="1D4434AC"/>
    <w:rsid w:val="1D4A32D5"/>
    <w:rsid w:val="1D4E496C"/>
    <w:rsid w:val="1D551429"/>
    <w:rsid w:val="1D615E46"/>
    <w:rsid w:val="1DCB1423"/>
    <w:rsid w:val="1DD26DCC"/>
    <w:rsid w:val="1DD709F6"/>
    <w:rsid w:val="1DEA333C"/>
    <w:rsid w:val="1DF0411E"/>
    <w:rsid w:val="1DF45D48"/>
    <w:rsid w:val="1DF966AA"/>
    <w:rsid w:val="1E085D3E"/>
    <w:rsid w:val="1E1C7D89"/>
    <w:rsid w:val="1EDB10BC"/>
    <w:rsid w:val="1F040D2C"/>
    <w:rsid w:val="1F0C3543"/>
    <w:rsid w:val="1F3D1C70"/>
    <w:rsid w:val="1F4E5D32"/>
    <w:rsid w:val="1F891679"/>
    <w:rsid w:val="1F8C360F"/>
    <w:rsid w:val="1FA12306"/>
    <w:rsid w:val="1FA141F8"/>
    <w:rsid w:val="1FCE46B5"/>
    <w:rsid w:val="1FD123FB"/>
    <w:rsid w:val="1FD60316"/>
    <w:rsid w:val="1FE43FA1"/>
    <w:rsid w:val="201A1D80"/>
    <w:rsid w:val="20255414"/>
    <w:rsid w:val="203474F7"/>
    <w:rsid w:val="20440E9F"/>
    <w:rsid w:val="20633569"/>
    <w:rsid w:val="20670215"/>
    <w:rsid w:val="209470AB"/>
    <w:rsid w:val="20A6024A"/>
    <w:rsid w:val="20AE74C2"/>
    <w:rsid w:val="20C11723"/>
    <w:rsid w:val="20E45483"/>
    <w:rsid w:val="20E7441D"/>
    <w:rsid w:val="212435D9"/>
    <w:rsid w:val="214D44F3"/>
    <w:rsid w:val="216677C8"/>
    <w:rsid w:val="21974A6F"/>
    <w:rsid w:val="21A351BA"/>
    <w:rsid w:val="21AA24F8"/>
    <w:rsid w:val="21B576D8"/>
    <w:rsid w:val="21D56297"/>
    <w:rsid w:val="21E45445"/>
    <w:rsid w:val="21F37E41"/>
    <w:rsid w:val="22064865"/>
    <w:rsid w:val="221544C6"/>
    <w:rsid w:val="221D6CF9"/>
    <w:rsid w:val="223B1908"/>
    <w:rsid w:val="224A31FF"/>
    <w:rsid w:val="22541AC5"/>
    <w:rsid w:val="22590039"/>
    <w:rsid w:val="22767CC4"/>
    <w:rsid w:val="22781797"/>
    <w:rsid w:val="22A75E85"/>
    <w:rsid w:val="22C83F56"/>
    <w:rsid w:val="22ED7A1E"/>
    <w:rsid w:val="230E2408"/>
    <w:rsid w:val="232B2C22"/>
    <w:rsid w:val="234848A5"/>
    <w:rsid w:val="238826AD"/>
    <w:rsid w:val="239A1546"/>
    <w:rsid w:val="23B56C8D"/>
    <w:rsid w:val="23BE0BF9"/>
    <w:rsid w:val="23DC3539"/>
    <w:rsid w:val="23FA0A02"/>
    <w:rsid w:val="240D3A3F"/>
    <w:rsid w:val="24507E57"/>
    <w:rsid w:val="24603302"/>
    <w:rsid w:val="2480073C"/>
    <w:rsid w:val="249C6873"/>
    <w:rsid w:val="24C1432C"/>
    <w:rsid w:val="24CB2359"/>
    <w:rsid w:val="24F00EBB"/>
    <w:rsid w:val="24F1163A"/>
    <w:rsid w:val="24F60E62"/>
    <w:rsid w:val="25025008"/>
    <w:rsid w:val="250674E3"/>
    <w:rsid w:val="250E28BC"/>
    <w:rsid w:val="25124F7E"/>
    <w:rsid w:val="251946ED"/>
    <w:rsid w:val="25694473"/>
    <w:rsid w:val="25973AF4"/>
    <w:rsid w:val="259C54CD"/>
    <w:rsid w:val="25C40AFC"/>
    <w:rsid w:val="262F68BA"/>
    <w:rsid w:val="265F24C5"/>
    <w:rsid w:val="26760469"/>
    <w:rsid w:val="268D33F9"/>
    <w:rsid w:val="272F01F7"/>
    <w:rsid w:val="27417518"/>
    <w:rsid w:val="275C6238"/>
    <w:rsid w:val="275D6D11"/>
    <w:rsid w:val="27A801DC"/>
    <w:rsid w:val="27C0724C"/>
    <w:rsid w:val="27C55247"/>
    <w:rsid w:val="27E56B08"/>
    <w:rsid w:val="27E674F0"/>
    <w:rsid w:val="28016D99"/>
    <w:rsid w:val="280671AA"/>
    <w:rsid w:val="280979F2"/>
    <w:rsid w:val="28475245"/>
    <w:rsid w:val="28507CF1"/>
    <w:rsid w:val="286914E7"/>
    <w:rsid w:val="28C27784"/>
    <w:rsid w:val="28C435E3"/>
    <w:rsid w:val="28F7785A"/>
    <w:rsid w:val="290942B5"/>
    <w:rsid w:val="29181BE3"/>
    <w:rsid w:val="29292190"/>
    <w:rsid w:val="2940049A"/>
    <w:rsid w:val="294D633F"/>
    <w:rsid w:val="29564EDD"/>
    <w:rsid w:val="296C5733"/>
    <w:rsid w:val="29946A38"/>
    <w:rsid w:val="299C2A61"/>
    <w:rsid w:val="29B03871"/>
    <w:rsid w:val="29FD57F9"/>
    <w:rsid w:val="2A04236A"/>
    <w:rsid w:val="2A0F17F1"/>
    <w:rsid w:val="2A683494"/>
    <w:rsid w:val="2A6C0E3C"/>
    <w:rsid w:val="2A922F77"/>
    <w:rsid w:val="2ADC41F2"/>
    <w:rsid w:val="2AE74CA7"/>
    <w:rsid w:val="2AEB07F7"/>
    <w:rsid w:val="2AEE3648"/>
    <w:rsid w:val="2B5E10AB"/>
    <w:rsid w:val="2B714EE3"/>
    <w:rsid w:val="2B7168E7"/>
    <w:rsid w:val="2BC74BC9"/>
    <w:rsid w:val="2BCB6464"/>
    <w:rsid w:val="2BEB1CC5"/>
    <w:rsid w:val="2C0365D5"/>
    <w:rsid w:val="2C0D4233"/>
    <w:rsid w:val="2C2153AA"/>
    <w:rsid w:val="2C491D5B"/>
    <w:rsid w:val="2C640943"/>
    <w:rsid w:val="2C955DBA"/>
    <w:rsid w:val="2CB63A29"/>
    <w:rsid w:val="2CC60333"/>
    <w:rsid w:val="2CE35D0C"/>
    <w:rsid w:val="2CFC3377"/>
    <w:rsid w:val="2D1A49E2"/>
    <w:rsid w:val="2D7F3280"/>
    <w:rsid w:val="2DC160CA"/>
    <w:rsid w:val="2DD90E4E"/>
    <w:rsid w:val="2DEF06E0"/>
    <w:rsid w:val="2DEF2EBE"/>
    <w:rsid w:val="2E147121"/>
    <w:rsid w:val="2E156399"/>
    <w:rsid w:val="2E28225E"/>
    <w:rsid w:val="2E3B2982"/>
    <w:rsid w:val="2E526350"/>
    <w:rsid w:val="2E6D6E41"/>
    <w:rsid w:val="2E771DCC"/>
    <w:rsid w:val="2E787DA9"/>
    <w:rsid w:val="2EA15273"/>
    <w:rsid w:val="2EB8293D"/>
    <w:rsid w:val="2EBA4B10"/>
    <w:rsid w:val="2EBE2783"/>
    <w:rsid w:val="2EC5365E"/>
    <w:rsid w:val="2ECE397B"/>
    <w:rsid w:val="2EED6EC6"/>
    <w:rsid w:val="2F032695"/>
    <w:rsid w:val="2F2151FD"/>
    <w:rsid w:val="2F2215EC"/>
    <w:rsid w:val="2F230642"/>
    <w:rsid w:val="2F3002F0"/>
    <w:rsid w:val="2F310113"/>
    <w:rsid w:val="2F3308DA"/>
    <w:rsid w:val="2F371A1F"/>
    <w:rsid w:val="2F736A53"/>
    <w:rsid w:val="2F821D5B"/>
    <w:rsid w:val="2F8C16B8"/>
    <w:rsid w:val="2FAF7398"/>
    <w:rsid w:val="2FC65585"/>
    <w:rsid w:val="3025663B"/>
    <w:rsid w:val="30536D05"/>
    <w:rsid w:val="30741AFB"/>
    <w:rsid w:val="307759E6"/>
    <w:rsid w:val="30855567"/>
    <w:rsid w:val="30D13698"/>
    <w:rsid w:val="311B6240"/>
    <w:rsid w:val="3143321D"/>
    <w:rsid w:val="314A595D"/>
    <w:rsid w:val="3153608B"/>
    <w:rsid w:val="318B6FF6"/>
    <w:rsid w:val="31A95942"/>
    <w:rsid w:val="320A31B2"/>
    <w:rsid w:val="3216448E"/>
    <w:rsid w:val="322A297D"/>
    <w:rsid w:val="32405511"/>
    <w:rsid w:val="32650071"/>
    <w:rsid w:val="32843667"/>
    <w:rsid w:val="32903A98"/>
    <w:rsid w:val="32BE3613"/>
    <w:rsid w:val="32E83078"/>
    <w:rsid w:val="33001AD9"/>
    <w:rsid w:val="336974A8"/>
    <w:rsid w:val="336D309F"/>
    <w:rsid w:val="336D632F"/>
    <w:rsid w:val="33CB6616"/>
    <w:rsid w:val="34005EB2"/>
    <w:rsid w:val="3408616B"/>
    <w:rsid w:val="344058DF"/>
    <w:rsid w:val="34494038"/>
    <w:rsid w:val="34550682"/>
    <w:rsid w:val="345F6CBE"/>
    <w:rsid w:val="349D2C44"/>
    <w:rsid w:val="34B173A9"/>
    <w:rsid w:val="34BB67DC"/>
    <w:rsid w:val="34C35324"/>
    <w:rsid w:val="34CD22F6"/>
    <w:rsid w:val="34D16D92"/>
    <w:rsid w:val="34E51F46"/>
    <w:rsid w:val="34EA5636"/>
    <w:rsid w:val="34EE308A"/>
    <w:rsid w:val="34F605A6"/>
    <w:rsid w:val="34F70A61"/>
    <w:rsid w:val="351746A6"/>
    <w:rsid w:val="351B4D2E"/>
    <w:rsid w:val="351D5B33"/>
    <w:rsid w:val="352769B2"/>
    <w:rsid w:val="3535371D"/>
    <w:rsid w:val="353C245D"/>
    <w:rsid w:val="358B13C6"/>
    <w:rsid w:val="35914B35"/>
    <w:rsid w:val="35B4378A"/>
    <w:rsid w:val="35B51B66"/>
    <w:rsid w:val="35E80CBE"/>
    <w:rsid w:val="36182C18"/>
    <w:rsid w:val="36213401"/>
    <w:rsid w:val="36574EEA"/>
    <w:rsid w:val="365A52E5"/>
    <w:rsid w:val="36763CE6"/>
    <w:rsid w:val="36932551"/>
    <w:rsid w:val="36A119DD"/>
    <w:rsid w:val="36B23676"/>
    <w:rsid w:val="36BE35EA"/>
    <w:rsid w:val="36D81DC5"/>
    <w:rsid w:val="36DB73C4"/>
    <w:rsid w:val="36EE4479"/>
    <w:rsid w:val="36EF4908"/>
    <w:rsid w:val="370C1C5B"/>
    <w:rsid w:val="37243651"/>
    <w:rsid w:val="37295C80"/>
    <w:rsid w:val="374C0952"/>
    <w:rsid w:val="37647A49"/>
    <w:rsid w:val="37707177"/>
    <w:rsid w:val="37710A72"/>
    <w:rsid w:val="377755F4"/>
    <w:rsid w:val="379535E1"/>
    <w:rsid w:val="379D0C5F"/>
    <w:rsid w:val="37A3712E"/>
    <w:rsid w:val="37D36141"/>
    <w:rsid w:val="37E40367"/>
    <w:rsid w:val="37F83544"/>
    <w:rsid w:val="38321B9D"/>
    <w:rsid w:val="386E39BE"/>
    <w:rsid w:val="38A46F02"/>
    <w:rsid w:val="38B74CC2"/>
    <w:rsid w:val="38C1115F"/>
    <w:rsid w:val="38C22C79"/>
    <w:rsid w:val="38CF6131"/>
    <w:rsid w:val="38EA0422"/>
    <w:rsid w:val="38EA6674"/>
    <w:rsid w:val="38FC4156"/>
    <w:rsid w:val="392D0554"/>
    <w:rsid w:val="393F4187"/>
    <w:rsid w:val="39573FBB"/>
    <w:rsid w:val="398C25DB"/>
    <w:rsid w:val="39BD78E5"/>
    <w:rsid w:val="39C57967"/>
    <w:rsid w:val="39EA7A22"/>
    <w:rsid w:val="39F113B2"/>
    <w:rsid w:val="39FC56F6"/>
    <w:rsid w:val="39FC7731"/>
    <w:rsid w:val="3A0C58C4"/>
    <w:rsid w:val="3A195058"/>
    <w:rsid w:val="3A2B3153"/>
    <w:rsid w:val="3AAA6089"/>
    <w:rsid w:val="3AAE1B07"/>
    <w:rsid w:val="3AB46F3A"/>
    <w:rsid w:val="3AD13648"/>
    <w:rsid w:val="3B10005C"/>
    <w:rsid w:val="3B27546C"/>
    <w:rsid w:val="3B4D68A6"/>
    <w:rsid w:val="3B4E3F21"/>
    <w:rsid w:val="3B8406BA"/>
    <w:rsid w:val="3BC92571"/>
    <w:rsid w:val="3BD41192"/>
    <w:rsid w:val="3BE4443E"/>
    <w:rsid w:val="3BE524A0"/>
    <w:rsid w:val="3BFD0918"/>
    <w:rsid w:val="3C14310A"/>
    <w:rsid w:val="3C156A1E"/>
    <w:rsid w:val="3C1D3CA5"/>
    <w:rsid w:val="3C474D16"/>
    <w:rsid w:val="3C48651D"/>
    <w:rsid w:val="3C535933"/>
    <w:rsid w:val="3C86272E"/>
    <w:rsid w:val="3CE100A2"/>
    <w:rsid w:val="3CF824A0"/>
    <w:rsid w:val="3CFC3587"/>
    <w:rsid w:val="3D17730C"/>
    <w:rsid w:val="3D2008B6"/>
    <w:rsid w:val="3D294FD4"/>
    <w:rsid w:val="3D2E5D5F"/>
    <w:rsid w:val="3D342DB3"/>
    <w:rsid w:val="3D365941"/>
    <w:rsid w:val="3D3C7EAF"/>
    <w:rsid w:val="3D4D0222"/>
    <w:rsid w:val="3D54716E"/>
    <w:rsid w:val="3D65451B"/>
    <w:rsid w:val="3D6C150A"/>
    <w:rsid w:val="3D71454B"/>
    <w:rsid w:val="3DA30DDA"/>
    <w:rsid w:val="3DBE1258"/>
    <w:rsid w:val="3DC360DB"/>
    <w:rsid w:val="3DDE08C1"/>
    <w:rsid w:val="3E0930F8"/>
    <w:rsid w:val="3E1201FF"/>
    <w:rsid w:val="3E38524C"/>
    <w:rsid w:val="3E7013C9"/>
    <w:rsid w:val="3E784FAE"/>
    <w:rsid w:val="3E926B92"/>
    <w:rsid w:val="3ED40CC6"/>
    <w:rsid w:val="3ED9288F"/>
    <w:rsid w:val="3EF14D03"/>
    <w:rsid w:val="3F0538C0"/>
    <w:rsid w:val="3F125FDD"/>
    <w:rsid w:val="3F13065F"/>
    <w:rsid w:val="3F141D55"/>
    <w:rsid w:val="3F39283C"/>
    <w:rsid w:val="3F48643C"/>
    <w:rsid w:val="3F5B0CB4"/>
    <w:rsid w:val="3F634AF1"/>
    <w:rsid w:val="3F763B50"/>
    <w:rsid w:val="3F7B4DCE"/>
    <w:rsid w:val="3FF65CE8"/>
    <w:rsid w:val="4037219F"/>
    <w:rsid w:val="403F206C"/>
    <w:rsid w:val="40512D4E"/>
    <w:rsid w:val="406A5E3B"/>
    <w:rsid w:val="40A30DD6"/>
    <w:rsid w:val="40D84324"/>
    <w:rsid w:val="40EB11DB"/>
    <w:rsid w:val="412C0532"/>
    <w:rsid w:val="41510BA5"/>
    <w:rsid w:val="41553E56"/>
    <w:rsid w:val="41A21103"/>
    <w:rsid w:val="41AF3473"/>
    <w:rsid w:val="41B166E0"/>
    <w:rsid w:val="41D113AB"/>
    <w:rsid w:val="41FB78C9"/>
    <w:rsid w:val="41FD06AE"/>
    <w:rsid w:val="420D6A4A"/>
    <w:rsid w:val="424E76E0"/>
    <w:rsid w:val="427077F6"/>
    <w:rsid w:val="4271774B"/>
    <w:rsid w:val="428C40C1"/>
    <w:rsid w:val="42CC2A74"/>
    <w:rsid w:val="42D76AA7"/>
    <w:rsid w:val="42ED415A"/>
    <w:rsid w:val="42FF16EA"/>
    <w:rsid w:val="432C3ABC"/>
    <w:rsid w:val="433B14DC"/>
    <w:rsid w:val="4379735B"/>
    <w:rsid w:val="43B14918"/>
    <w:rsid w:val="43BD56FE"/>
    <w:rsid w:val="43C42299"/>
    <w:rsid w:val="43D001EA"/>
    <w:rsid w:val="440302DD"/>
    <w:rsid w:val="4427252A"/>
    <w:rsid w:val="44467852"/>
    <w:rsid w:val="44511355"/>
    <w:rsid w:val="44627A06"/>
    <w:rsid w:val="44867996"/>
    <w:rsid w:val="44CF2B43"/>
    <w:rsid w:val="44FF20B3"/>
    <w:rsid w:val="45541BA7"/>
    <w:rsid w:val="455530C7"/>
    <w:rsid w:val="456142F3"/>
    <w:rsid w:val="456F2BF8"/>
    <w:rsid w:val="457841DC"/>
    <w:rsid w:val="45DF1831"/>
    <w:rsid w:val="45E306D3"/>
    <w:rsid w:val="45E32C73"/>
    <w:rsid w:val="460D1ABD"/>
    <w:rsid w:val="46362EF9"/>
    <w:rsid w:val="4641708B"/>
    <w:rsid w:val="46626485"/>
    <w:rsid w:val="46753A21"/>
    <w:rsid w:val="467D0334"/>
    <w:rsid w:val="467F4674"/>
    <w:rsid w:val="469169C3"/>
    <w:rsid w:val="46AE17A4"/>
    <w:rsid w:val="46AF3D2D"/>
    <w:rsid w:val="46B5134F"/>
    <w:rsid w:val="46D71FE6"/>
    <w:rsid w:val="46DD15C6"/>
    <w:rsid w:val="46F26E20"/>
    <w:rsid w:val="470017CD"/>
    <w:rsid w:val="470704E1"/>
    <w:rsid w:val="4712301E"/>
    <w:rsid w:val="47212E5B"/>
    <w:rsid w:val="473467DE"/>
    <w:rsid w:val="47554794"/>
    <w:rsid w:val="47614E2B"/>
    <w:rsid w:val="47796440"/>
    <w:rsid w:val="47925F0D"/>
    <w:rsid w:val="47AA14A8"/>
    <w:rsid w:val="47B330AB"/>
    <w:rsid w:val="47EC76B1"/>
    <w:rsid w:val="484A2C8B"/>
    <w:rsid w:val="48677399"/>
    <w:rsid w:val="48687D4E"/>
    <w:rsid w:val="486E697A"/>
    <w:rsid w:val="4876582E"/>
    <w:rsid w:val="487E2FA3"/>
    <w:rsid w:val="489531EA"/>
    <w:rsid w:val="489A151D"/>
    <w:rsid w:val="489C6620"/>
    <w:rsid w:val="48AB464E"/>
    <w:rsid w:val="48D6451F"/>
    <w:rsid w:val="48E11FE9"/>
    <w:rsid w:val="49156327"/>
    <w:rsid w:val="492928A1"/>
    <w:rsid w:val="49971EDF"/>
    <w:rsid w:val="499E503D"/>
    <w:rsid w:val="49A07481"/>
    <w:rsid w:val="49AA2F5E"/>
    <w:rsid w:val="49AB2384"/>
    <w:rsid w:val="49B66DC9"/>
    <w:rsid w:val="49CD0F4B"/>
    <w:rsid w:val="49E62540"/>
    <w:rsid w:val="4A064990"/>
    <w:rsid w:val="4A232041"/>
    <w:rsid w:val="4A2F5C9E"/>
    <w:rsid w:val="4A40208D"/>
    <w:rsid w:val="4A47013B"/>
    <w:rsid w:val="4A510301"/>
    <w:rsid w:val="4A691BFB"/>
    <w:rsid w:val="4A7746E8"/>
    <w:rsid w:val="4A911979"/>
    <w:rsid w:val="4A91694F"/>
    <w:rsid w:val="4A98299B"/>
    <w:rsid w:val="4AC779BE"/>
    <w:rsid w:val="4AE864DA"/>
    <w:rsid w:val="4B0E516F"/>
    <w:rsid w:val="4B1C08C8"/>
    <w:rsid w:val="4B490FD8"/>
    <w:rsid w:val="4B4D5BB6"/>
    <w:rsid w:val="4B4F5C44"/>
    <w:rsid w:val="4B577F21"/>
    <w:rsid w:val="4B5F2489"/>
    <w:rsid w:val="4B7214C8"/>
    <w:rsid w:val="4B9F037E"/>
    <w:rsid w:val="4BA34B8C"/>
    <w:rsid w:val="4BB73B85"/>
    <w:rsid w:val="4BEA6F64"/>
    <w:rsid w:val="4BF03A99"/>
    <w:rsid w:val="4C150E22"/>
    <w:rsid w:val="4C2A705C"/>
    <w:rsid w:val="4C5F21D9"/>
    <w:rsid w:val="4C8A5CE6"/>
    <w:rsid w:val="4C907945"/>
    <w:rsid w:val="4CD55E10"/>
    <w:rsid w:val="4CF22A44"/>
    <w:rsid w:val="4CF25CD6"/>
    <w:rsid w:val="4D052E9A"/>
    <w:rsid w:val="4D063625"/>
    <w:rsid w:val="4D0E2188"/>
    <w:rsid w:val="4D444120"/>
    <w:rsid w:val="4D517531"/>
    <w:rsid w:val="4D551EB6"/>
    <w:rsid w:val="4D626C37"/>
    <w:rsid w:val="4D781B61"/>
    <w:rsid w:val="4D7E765F"/>
    <w:rsid w:val="4D907FA7"/>
    <w:rsid w:val="4DC31356"/>
    <w:rsid w:val="4DCB03CA"/>
    <w:rsid w:val="4DF47056"/>
    <w:rsid w:val="4E4B32B9"/>
    <w:rsid w:val="4E7F59C6"/>
    <w:rsid w:val="4E887AFA"/>
    <w:rsid w:val="4E9473BA"/>
    <w:rsid w:val="4EB1136E"/>
    <w:rsid w:val="4EEE6BEE"/>
    <w:rsid w:val="4EFA630C"/>
    <w:rsid w:val="4F20353F"/>
    <w:rsid w:val="4F2B0A0E"/>
    <w:rsid w:val="4F3B1580"/>
    <w:rsid w:val="4F542532"/>
    <w:rsid w:val="4F564279"/>
    <w:rsid w:val="4F5D115C"/>
    <w:rsid w:val="4F602D94"/>
    <w:rsid w:val="4F686F20"/>
    <w:rsid w:val="4F877151"/>
    <w:rsid w:val="4F8810DB"/>
    <w:rsid w:val="500D5FE3"/>
    <w:rsid w:val="501D7231"/>
    <w:rsid w:val="501E0C85"/>
    <w:rsid w:val="501E52BF"/>
    <w:rsid w:val="50290A68"/>
    <w:rsid w:val="50372339"/>
    <w:rsid w:val="503738EB"/>
    <w:rsid w:val="504C4779"/>
    <w:rsid w:val="505E6A27"/>
    <w:rsid w:val="509264DA"/>
    <w:rsid w:val="509947B0"/>
    <w:rsid w:val="50D365FB"/>
    <w:rsid w:val="50F934A0"/>
    <w:rsid w:val="50FC4599"/>
    <w:rsid w:val="51170852"/>
    <w:rsid w:val="512C73D2"/>
    <w:rsid w:val="51547C64"/>
    <w:rsid w:val="51667704"/>
    <w:rsid w:val="518E167E"/>
    <w:rsid w:val="51CD1DAC"/>
    <w:rsid w:val="51DD5A7A"/>
    <w:rsid w:val="51E36D90"/>
    <w:rsid w:val="51F55A5E"/>
    <w:rsid w:val="520B7287"/>
    <w:rsid w:val="524073F6"/>
    <w:rsid w:val="52CD6576"/>
    <w:rsid w:val="52D41094"/>
    <w:rsid w:val="52F01600"/>
    <w:rsid w:val="52F061DD"/>
    <w:rsid w:val="53151894"/>
    <w:rsid w:val="531E2A01"/>
    <w:rsid w:val="53227C8E"/>
    <w:rsid w:val="532D1663"/>
    <w:rsid w:val="53326F35"/>
    <w:rsid w:val="53392574"/>
    <w:rsid w:val="53780D56"/>
    <w:rsid w:val="539E557C"/>
    <w:rsid w:val="53A771E4"/>
    <w:rsid w:val="53E63B03"/>
    <w:rsid w:val="53EC6FEB"/>
    <w:rsid w:val="53F64189"/>
    <w:rsid w:val="54072748"/>
    <w:rsid w:val="540E13ED"/>
    <w:rsid w:val="54216ECC"/>
    <w:rsid w:val="54387E3C"/>
    <w:rsid w:val="544B2608"/>
    <w:rsid w:val="54AE5881"/>
    <w:rsid w:val="54BF63BA"/>
    <w:rsid w:val="54C067AF"/>
    <w:rsid w:val="54D20336"/>
    <w:rsid w:val="54E61A5D"/>
    <w:rsid w:val="550F327B"/>
    <w:rsid w:val="551E3C7C"/>
    <w:rsid w:val="556C30CA"/>
    <w:rsid w:val="55711857"/>
    <w:rsid w:val="557175CB"/>
    <w:rsid w:val="557C4F19"/>
    <w:rsid w:val="558E2D1A"/>
    <w:rsid w:val="55A7635E"/>
    <w:rsid w:val="55E8095C"/>
    <w:rsid w:val="55E94C53"/>
    <w:rsid w:val="55FC7A68"/>
    <w:rsid w:val="569F1A74"/>
    <w:rsid w:val="56AE20B4"/>
    <w:rsid w:val="56AF4CA4"/>
    <w:rsid w:val="56CC1298"/>
    <w:rsid w:val="574568F3"/>
    <w:rsid w:val="575B41D5"/>
    <w:rsid w:val="57762C9C"/>
    <w:rsid w:val="5796283D"/>
    <w:rsid w:val="579C37EF"/>
    <w:rsid w:val="57BB0989"/>
    <w:rsid w:val="57D936E4"/>
    <w:rsid w:val="580F5357"/>
    <w:rsid w:val="58174A57"/>
    <w:rsid w:val="582F100E"/>
    <w:rsid w:val="586F4122"/>
    <w:rsid w:val="588D0593"/>
    <w:rsid w:val="58C8710F"/>
    <w:rsid w:val="58F972B8"/>
    <w:rsid w:val="592349B3"/>
    <w:rsid w:val="59377486"/>
    <w:rsid w:val="598248DD"/>
    <w:rsid w:val="599865A7"/>
    <w:rsid w:val="599E322B"/>
    <w:rsid w:val="59BD6AF3"/>
    <w:rsid w:val="59CB07F4"/>
    <w:rsid w:val="5AA32154"/>
    <w:rsid w:val="5AA45AFC"/>
    <w:rsid w:val="5B3C2907"/>
    <w:rsid w:val="5B667984"/>
    <w:rsid w:val="5BA54009"/>
    <w:rsid w:val="5BBD0EC8"/>
    <w:rsid w:val="5C583771"/>
    <w:rsid w:val="5C6022E4"/>
    <w:rsid w:val="5C756B6F"/>
    <w:rsid w:val="5C89392A"/>
    <w:rsid w:val="5C901F0C"/>
    <w:rsid w:val="5C9C661A"/>
    <w:rsid w:val="5CB3299E"/>
    <w:rsid w:val="5CD56B70"/>
    <w:rsid w:val="5CD60213"/>
    <w:rsid w:val="5CE2026D"/>
    <w:rsid w:val="5CEA3F75"/>
    <w:rsid w:val="5D1933D0"/>
    <w:rsid w:val="5D2B5D28"/>
    <w:rsid w:val="5D323FC2"/>
    <w:rsid w:val="5D3E5E17"/>
    <w:rsid w:val="5D957C20"/>
    <w:rsid w:val="5DA57506"/>
    <w:rsid w:val="5DB449D7"/>
    <w:rsid w:val="5DBC28C2"/>
    <w:rsid w:val="5DC12B30"/>
    <w:rsid w:val="5DC56BE4"/>
    <w:rsid w:val="5DE45CFD"/>
    <w:rsid w:val="5E435D5B"/>
    <w:rsid w:val="5E625CE6"/>
    <w:rsid w:val="5E892B4C"/>
    <w:rsid w:val="5E8E6FD6"/>
    <w:rsid w:val="5EA54320"/>
    <w:rsid w:val="5EB36AEE"/>
    <w:rsid w:val="5EF808F3"/>
    <w:rsid w:val="5EFF7FE7"/>
    <w:rsid w:val="5F0E077E"/>
    <w:rsid w:val="5F1020E1"/>
    <w:rsid w:val="5F1D70FC"/>
    <w:rsid w:val="5F317DA1"/>
    <w:rsid w:val="5F325652"/>
    <w:rsid w:val="5F5A609A"/>
    <w:rsid w:val="5F78151C"/>
    <w:rsid w:val="5F92128A"/>
    <w:rsid w:val="5FBC23D6"/>
    <w:rsid w:val="5FC35F22"/>
    <w:rsid w:val="5FE16D17"/>
    <w:rsid w:val="5FF53085"/>
    <w:rsid w:val="601F47C0"/>
    <w:rsid w:val="602A5424"/>
    <w:rsid w:val="603E67DA"/>
    <w:rsid w:val="604223DA"/>
    <w:rsid w:val="604C0EF7"/>
    <w:rsid w:val="604F4E8B"/>
    <w:rsid w:val="60702EC3"/>
    <w:rsid w:val="60747297"/>
    <w:rsid w:val="608027CF"/>
    <w:rsid w:val="60863A71"/>
    <w:rsid w:val="608D09A3"/>
    <w:rsid w:val="60BE2E6F"/>
    <w:rsid w:val="60DF18DD"/>
    <w:rsid w:val="60E0792C"/>
    <w:rsid w:val="60E119FB"/>
    <w:rsid w:val="61006C22"/>
    <w:rsid w:val="61471AF0"/>
    <w:rsid w:val="614A2C54"/>
    <w:rsid w:val="617C0CE9"/>
    <w:rsid w:val="61834DEC"/>
    <w:rsid w:val="61966CA6"/>
    <w:rsid w:val="61976BA3"/>
    <w:rsid w:val="61E55571"/>
    <w:rsid w:val="61E562F7"/>
    <w:rsid w:val="61EE47DE"/>
    <w:rsid w:val="61F176D7"/>
    <w:rsid w:val="61F41846"/>
    <w:rsid w:val="61FA5EA8"/>
    <w:rsid w:val="6210426E"/>
    <w:rsid w:val="622E4978"/>
    <w:rsid w:val="625E4BA8"/>
    <w:rsid w:val="626B39D7"/>
    <w:rsid w:val="62717F43"/>
    <w:rsid w:val="628801E0"/>
    <w:rsid w:val="62E809CC"/>
    <w:rsid w:val="63051E06"/>
    <w:rsid w:val="63163A3E"/>
    <w:rsid w:val="63560721"/>
    <w:rsid w:val="637C3161"/>
    <w:rsid w:val="63A86D8C"/>
    <w:rsid w:val="63E466B5"/>
    <w:rsid w:val="63E562C2"/>
    <w:rsid w:val="64171B2B"/>
    <w:rsid w:val="64784CB8"/>
    <w:rsid w:val="64A71A70"/>
    <w:rsid w:val="64C02EEF"/>
    <w:rsid w:val="64EF2E12"/>
    <w:rsid w:val="64F96F70"/>
    <w:rsid w:val="650020C9"/>
    <w:rsid w:val="651E6B7B"/>
    <w:rsid w:val="652402DC"/>
    <w:rsid w:val="65350AA8"/>
    <w:rsid w:val="65375905"/>
    <w:rsid w:val="65430192"/>
    <w:rsid w:val="655B17D7"/>
    <w:rsid w:val="657956A9"/>
    <w:rsid w:val="657D1B52"/>
    <w:rsid w:val="65874C89"/>
    <w:rsid w:val="65876E75"/>
    <w:rsid w:val="65A46FBF"/>
    <w:rsid w:val="65AB048F"/>
    <w:rsid w:val="65AF25E9"/>
    <w:rsid w:val="65D26E3C"/>
    <w:rsid w:val="65DF4740"/>
    <w:rsid w:val="65E00ACE"/>
    <w:rsid w:val="65EB11B2"/>
    <w:rsid w:val="661A33C9"/>
    <w:rsid w:val="663F2B45"/>
    <w:rsid w:val="66A004DD"/>
    <w:rsid w:val="66A43EDA"/>
    <w:rsid w:val="66AB161E"/>
    <w:rsid w:val="66AE09B0"/>
    <w:rsid w:val="66C022CE"/>
    <w:rsid w:val="66EC1F51"/>
    <w:rsid w:val="66ED33BD"/>
    <w:rsid w:val="670D7BFD"/>
    <w:rsid w:val="672C7CD4"/>
    <w:rsid w:val="67774F5E"/>
    <w:rsid w:val="678457C2"/>
    <w:rsid w:val="678C5C82"/>
    <w:rsid w:val="678E3F11"/>
    <w:rsid w:val="67A17E0B"/>
    <w:rsid w:val="67A94E81"/>
    <w:rsid w:val="67B8563D"/>
    <w:rsid w:val="67BC0CE0"/>
    <w:rsid w:val="682E182A"/>
    <w:rsid w:val="68317A01"/>
    <w:rsid w:val="6856701D"/>
    <w:rsid w:val="686F0CA2"/>
    <w:rsid w:val="687906F4"/>
    <w:rsid w:val="688E2782"/>
    <w:rsid w:val="689618A9"/>
    <w:rsid w:val="68A13B49"/>
    <w:rsid w:val="68A82244"/>
    <w:rsid w:val="68B11A8D"/>
    <w:rsid w:val="68C84D72"/>
    <w:rsid w:val="68DF170D"/>
    <w:rsid w:val="68F3520C"/>
    <w:rsid w:val="690A6873"/>
    <w:rsid w:val="691715B3"/>
    <w:rsid w:val="693C6C3B"/>
    <w:rsid w:val="69431305"/>
    <w:rsid w:val="695F1FE4"/>
    <w:rsid w:val="696658C8"/>
    <w:rsid w:val="69A97E73"/>
    <w:rsid w:val="69C778BE"/>
    <w:rsid w:val="69D8120E"/>
    <w:rsid w:val="69F16773"/>
    <w:rsid w:val="69F30635"/>
    <w:rsid w:val="69F942E8"/>
    <w:rsid w:val="6A43783D"/>
    <w:rsid w:val="6A4D41E9"/>
    <w:rsid w:val="6A9328D1"/>
    <w:rsid w:val="6A935974"/>
    <w:rsid w:val="6ABE62BC"/>
    <w:rsid w:val="6AD37EE9"/>
    <w:rsid w:val="6AEB57B0"/>
    <w:rsid w:val="6AF14ECA"/>
    <w:rsid w:val="6AF335C4"/>
    <w:rsid w:val="6B0C1F3A"/>
    <w:rsid w:val="6B546DA9"/>
    <w:rsid w:val="6B680024"/>
    <w:rsid w:val="6BB25DC5"/>
    <w:rsid w:val="6C0116B1"/>
    <w:rsid w:val="6C50785E"/>
    <w:rsid w:val="6C71169E"/>
    <w:rsid w:val="6C7D060B"/>
    <w:rsid w:val="6C8903C8"/>
    <w:rsid w:val="6CB93F79"/>
    <w:rsid w:val="6CBF3887"/>
    <w:rsid w:val="6CC16310"/>
    <w:rsid w:val="6CE0345E"/>
    <w:rsid w:val="6D505D9E"/>
    <w:rsid w:val="6D885538"/>
    <w:rsid w:val="6D9013CC"/>
    <w:rsid w:val="6D9C0FE4"/>
    <w:rsid w:val="6DC8377E"/>
    <w:rsid w:val="6DC95C1C"/>
    <w:rsid w:val="6DEF2A6B"/>
    <w:rsid w:val="6DF16AFF"/>
    <w:rsid w:val="6E0876BE"/>
    <w:rsid w:val="6E0B0643"/>
    <w:rsid w:val="6E2F41B9"/>
    <w:rsid w:val="6E56388D"/>
    <w:rsid w:val="6E72784A"/>
    <w:rsid w:val="6EE905B3"/>
    <w:rsid w:val="6F850236"/>
    <w:rsid w:val="6F8D1474"/>
    <w:rsid w:val="6FB70357"/>
    <w:rsid w:val="6FC41BEE"/>
    <w:rsid w:val="6FC747C4"/>
    <w:rsid w:val="6FE365A4"/>
    <w:rsid w:val="6FF156B3"/>
    <w:rsid w:val="6FF976D2"/>
    <w:rsid w:val="703F7B12"/>
    <w:rsid w:val="704D7E21"/>
    <w:rsid w:val="70741DA4"/>
    <w:rsid w:val="707A0E1A"/>
    <w:rsid w:val="707A560C"/>
    <w:rsid w:val="70FE25CD"/>
    <w:rsid w:val="710F3B4F"/>
    <w:rsid w:val="713353C6"/>
    <w:rsid w:val="71386E4C"/>
    <w:rsid w:val="714A1482"/>
    <w:rsid w:val="71551717"/>
    <w:rsid w:val="718920D4"/>
    <w:rsid w:val="718E0E2C"/>
    <w:rsid w:val="71922E29"/>
    <w:rsid w:val="71985863"/>
    <w:rsid w:val="71A33B18"/>
    <w:rsid w:val="71AA2486"/>
    <w:rsid w:val="71AC3EEB"/>
    <w:rsid w:val="71CF377E"/>
    <w:rsid w:val="71E216E7"/>
    <w:rsid w:val="71ED214E"/>
    <w:rsid w:val="71F57CF8"/>
    <w:rsid w:val="71F72CF8"/>
    <w:rsid w:val="720A29C0"/>
    <w:rsid w:val="721D0462"/>
    <w:rsid w:val="723F27E7"/>
    <w:rsid w:val="724539F8"/>
    <w:rsid w:val="725A2764"/>
    <w:rsid w:val="72680DDD"/>
    <w:rsid w:val="729F6DF9"/>
    <w:rsid w:val="730438B3"/>
    <w:rsid w:val="73136583"/>
    <w:rsid w:val="7349663D"/>
    <w:rsid w:val="7364072B"/>
    <w:rsid w:val="73711E81"/>
    <w:rsid w:val="73784A31"/>
    <w:rsid w:val="73846894"/>
    <w:rsid w:val="739A5FC5"/>
    <w:rsid w:val="73B306AF"/>
    <w:rsid w:val="73B57A63"/>
    <w:rsid w:val="73B70A60"/>
    <w:rsid w:val="73EB4634"/>
    <w:rsid w:val="74285D81"/>
    <w:rsid w:val="742F1C34"/>
    <w:rsid w:val="744F5002"/>
    <w:rsid w:val="745613BB"/>
    <w:rsid w:val="74A470FC"/>
    <w:rsid w:val="74D726C9"/>
    <w:rsid w:val="75953988"/>
    <w:rsid w:val="75C23E38"/>
    <w:rsid w:val="75E1479D"/>
    <w:rsid w:val="75F414BD"/>
    <w:rsid w:val="760F39BF"/>
    <w:rsid w:val="761B3877"/>
    <w:rsid w:val="763D1B70"/>
    <w:rsid w:val="764A3CD3"/>
    <w:rsid w:val="766906A5"/>
    <w:rsid w:val="768371E5"/>
    <w:rsid w:val="76DC1F72"/>
    <w:rsid w:val="76F14DAA"/>
    <w:rsid w:val="7700773B"/>
    <w:rsid w:val="77707D4D"/>
    <w:rsid w:val="77A305C2"/>
    <w:rsid w:val="77A60210"/>
    <w:rsid w:val="77C4717C"/>
    <w:rsid w:val="77D42430"/>
    <w:rsid w:val="77FD5769"/>
    <w:rsid w:val="780D6D66"/>
    <w:rsid w:val="780E6178"/>
    <w:rsid w:val="78206C5D"/>
    <w:rsid w:val="784C6FB2"/>
    <w:rsid w:val="78694A98"/>
    <w:rsid w:val="787E7C64"/>
    <w:rsid w:val="789273BF"/>
    <w:rsid w:val="78997723"/>
    <w:rsid w:val="78A269D6"/>
    <w:rsid w:val="78B42F3A"/>
    <w:rsid w:val="78B7340B"/>
    <w:rsid w:val="78C7022B"/>
    <w:rsid w:val="78D42FD2"/>
    <w:rsid w:val="78E91415"/>
    <w:rsid w:val="78EF7EC6"/>
    <w:rsid w:val="7927654D"/>
    <w:rsid w:val="79297DA9"/>
    <w:rsid w:val="793B7903"/>
    <w:rsid w:val="794469E7"/>
    <w:rsid w:val="79615598"/>
    <w:rsid w:val="79B505CA"/>
    <w:rsid w:val="79B6078A"/>
    <w:rsid w:val="79BA4CCB"/>
    <w:rsid w:val="79ED2441"/>
    <w:rsid w:val="7A301CC1"/>
    <w:rsid w:val="7A407EA1"/>
    <w:rsid w:val="7A467459"/>
    <w:rsid w:val="7A5E1AFB"/>
    <w:rsid w:val="7A6C1719"/>
    <w:rsid w:val="7A8F6158"/>
    <w:rsid w:val="7A942B92"/>
    <w:rsid w:val="7AC329B6"/>
    <w:rsid w:val="7ACA7228"/>
    <w:rsid w:val="7AE42992"/>
    <w:rsid w:val="7AF31883"/>
    <w:rsid w:val="7B782377"/>
    <w:rsid w:val="7B9514FA"/>
    <w:rsid w:val="7BA0206E"/>
    <w:rsid w:val="7BAB1C9B"/>
    <w:rsid w:val="7BBA15A2"/>
    <w:rsid w:val="7BC34237"/>
    <w:rsid w:val="7BD76B73"/>
    <w:rsid w:val="7BEF03AB"/>
    <w:rsid w:val="7BF32625"/>
    <w:rsid w:val="7C0B0A27"/>
    <w:rsid w:val="7C216684"/>
    <w:rsid w:val="7C240B22"/>
    <w:rsid w:val="7C3746C5"/>
    <w:rsid w:val="7C5F7DAC"/>
    <w:rsid w:val="7C661DEF"/>
    <w:rsid w:val="7C7F3F3D"/>
    <w:rsid w:val="7CA364FE"/>
    <w:rsid w:val="7D511680"/>
    <w:rsid w:val="7D537911"/>
    <w:rsid w:val="7D5611AF"/>
    <w:rsid w:val="7D607855"/>
    <w:rsid w:val="7D6A7E30"/>
    <w:rsid w:val="7D836470"/>
    <w:rsid w:val="7D8A547F"/>
    <w:rsid w:val="7D8A6173"/>
    <w:rsid w:val="7DC223A1"/>
    <w:rsid w:val="7DC33A7D"/>
    <w:rsid w:val="7DDA27CE"/>
    <w:rsid w:val="7DE42296"/>
    <w:rsid w:val="7E060754"/>
    <w:rsid w:val="7E292D8B"/>
    <w:rsid w:val="7E294497"/>
    <w:rsid w:val="7E33504C"/>
    <w:rsid w:val="7E377387"/>
    <w:rsid w:val="7E7224D7"/>
    <w:rsid w:val="7E950D42"/>
    <w:rsid w:val="7EA35355"/>
    <w:rsid w:val="7EBC14E6"/>
    <w:rsid w:val="7EC34FC3"/>
    <w:rsid w:val="7ED405DD"/>
    <w:rsid w:val="7EE87C32"/>
    <w:rsid w:val="7EED78F1"/>
    <w:rsid w:val="7EEF3370"/>
    <w:rsid w:val="7F0750F3"/>
    <w:rsid w:val="7F12618E"/>
    <w:rsid w:val="7F1352DA"/>
    <w:rsid w:val="7F170F44"/>
    <w:rsid w:val="7F4D520C"/>
    <w:rsid w:val="7F5A43C6"/>
    <w:rsid w:val="7F7B3692"/>
    <w:rsid w:val="7F99331A"/>
    <w:rsid w:val="7FBF6ED8"/>
    <w:rsid w:val="7FCA0222"/>
    <w:rsid w:val="7FE81DD4"/>
    <w:rsid w:val="7FE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name="Date"/>
    <w:lsdException w:qFormat="1" w:unhideWhenUsed="0"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unhideWhenUsed/>
    <w:qFormat/>
    <w:uiPriority w:val="0"/>
    <w:pPr>
      <w:ind w:firstLine="420"/>
    </w:pPr>
  </w:style>
  <w:style w:type="paragraph" w:styleId="6">
    <w:name w:val="annotation text"/>
    <w:basedOn w:val="1"/>
    <w:semiHidden/>
    <w:unhideWhenUsed/>
    <w:qFormat/>
    <w:uiPriority w:val="99"/>
    <w:pPr>
      <w:jc w:val="left"/>
    </w:pPr>
  </w:style>
  <w:style w:type="paragraph" w:styleId="7">
    <w:name w:val="Salutation"/>
    <w:basedOn w:val="1"/>
    <w:next w:val="1"/>
    <w:qFormat/>
    <w:uiPriority w:val="0"/>
  </w:style>
  <w:style w:type="paragraph" w:styleId="8">
    <w:name w:val="Body Text"/>
    <w:basedOn w:val="1"/>
    <w:next w:val="1"/>
    <w:qFormat/>
    <w:uiPriority w:val="99"/>
    <w:pPr>
      <w:spacing w:after="120"/>
    </w:pPr>
  </w:style>
  <w:style w:type="paragraph" w:styleId="9">
    <w:name w:val="Body Text Indent"/>
    <w:basedOn w:val="1"/>
    <w:link w:val="31"/>
    <w:unhideWhenUsed/>
    <w:qFormat/>
    <w:uiPriority w:val="99"/>
    <w:pPr>
      <w:spacing w:after="120"/>
      <w:ind w:left="420" w:leftChars="200"/>
    </w:pPr>
  </w:style>
  <w:style w:type="paragraph" w:styleId="10">
    <w:name w:val="Plain Text"/>
    <w:basedOn w:val="1"/>
    <w:unhideWhenUsed/>
    <w:qFormat/>
    <w:uiPriority w:val="99"/>
    <w:rPr>
      <w:rFonts w:ascii="宋体" w:hAnsi="Courier New"/>
      <w:sz w:val="21"/>
      <w:szCs w:val="20"/>
    </w:rPr>
  </w:style>
  <w:style w:type="paragraph" w:styleId="11">
    <w:name w:val="Date"/>
    <w:basedOn w:val="1"/>
    <w:next w:val="1"/>
    <w:link w:val="27"/>
    <w:semiHidden/>
    <w:unhideWhenUsed/>
    <w:qFormat/>
    <w:uiPriority w:val="99"/>
    <w:pPr>
      <w:ind w:left="100" w:leftChars="2500"/>
    </w:pPr>
  </w:style>
  <w:style w:type="paragraph" w:styleId="12">
    <w:name w:val="Body Text Indent 2"/>
    <w:basedOn w:val="1"/>
    <w:qFormat/>
    <w:uiPriority w:val="0"/>
    <w:pPr>
      <w:ind w:firstLine="576"/>
    </w:pPr>
    <w:rPr>
      <w:sz w:val="28"/>
      <w:szCs w:val="20"/>
    </w:rPr>
  </w:style>
  <w:style w:type="paragraph" w:styleId="13">
    <w:name w:val="footer"/>
    <w:basedOn w:val="1"/>
    <w:link w:val="25"/>
    <w:unhideWhenUsed/>
    <w:qFormat/>
    <w:uiPriority w:val="99"/>
    <w:pPr>
      <w:tabs>
        <w:tab w:val="center" w:pos="4153"/>
        <w:tab w:val="right" w:pos="8306"/>
      </w:tabs>
      <w:snapToGrid w:val="0"/>
      <w:jc w:val="left"/>
    </w:pPr>
    <w:rPr>
      <w:sz w:val="18"/>
      <w:szCs w:val="18"/>
    </w:rPr>
  </w:style>
  <w:style w:type="paragraph" w:styleId="14">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unhideWhenUsed/>
    <w:qFormat/>
    <w:uiPriority w:val="39"/>
  </w:style>
  <w:style w:type="paragraph" w:styleId="16">
    <w:name w:val="toc 2"/>
    <w:basedOn w:val="1"/>
    <w:next w:val="1"/>
    <w:semiHidden/>
    <w:unhideWhenUsed/>
    <w:qFormat/>
    <w:uiPriority w:val="39"/>
    <w:pPr>
      <w:ind w:left="420" w:leftChars="200"/>
    </w:pPr>
  </w:style>
  <w:style w:type="paragraph" w:styleId="17">
    <w:name w:val="Normal (Web)"/>
    <w:basedOn w:val="1"/>
    <w:semiHidden/>
    <w:unhideWhenUsed/>
    <w:qFormat/>
    <w:uiPriority w:val="99"/>
    <w:rPr>
      <w:sz w:val="24"/>
    </w:rPr>
  </w:style>
  <w:style w:type="paragraph" w:styleId="18">
    <w:name w:val="Body Text First Indent"/>
    <w:basedOn w:val="8"/>
    <w:qFormat/>
    <w:uiPriority w:val="99"/>
    <w:pPr>
      <w:ind w:firstLine="420" w:firstLineChars="100"/>
    </w:pPr>
  </w:style>
  <w:style w:type="paragraph" w:styleId="19">
    <w:name w:val="Body Text First Indent 2"/>
    <w:basedOn w:val="9"/>
    <w:link w:val="32"/>
    <w:unhideWhenUsed/>
    <w:qFormat/>
    <w:uiPriority w:val="99"/>
    <w:pPr>
      <w:spacing w:after="0"/>
      <w:ind w:left="0" w:leftChars="0"/>
      <w:jc w:val="center"/>
    </w:pPr>
    <w:rPr>
      <w:rFonts w:ascii="仿宋_GB2312" w:hAnsi="仿宋_GB2312" w:eastAsia="宋体" w:cs="Times New Roman"/>
      <w:bCs/>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_Style 1"/>
    <w:basedOn w:val="1"/>
    <w:qFormat/>
    <w:uiPriority w:val="99"/>
    <w:pPr>
      <w:ind w:firstLine="420"/>
    </w:pPr>
    <w:rPr>
      <w:szCs w:val="24"/>
    </w:rPr>
  </w:style>
  <w:style w:type="character" w:customStyle="1" w:styleId="24">
    <w:name w:val="页眉 字符"/>
    <w:basedOn w:val="22"/>
    <w:link w:val="14"/>
    <w:qFormat/>
    <w:uiPriority w:val="99"/>
    <w:rPr>
      <w:sz w:val="18"/>
      <w:szCs w:val="18"/>
    </w:rPr>
  </w:style>
  <w:style w:type="character" w:customStyle="1" w:styleId="25">
    <w:name w:val="页脚 字符"/>
    <w:basedOn w:val="22"/>
    <w:link w:val="13"/>
    <w:qFormat/>
    <w:uiPriority w:val="99"/>
    <w:rPr>
      <w:sz w:val="18"/>
      <w:szCs w:val="18"/>
    </w:rPr>
  </w:style>
  <w:style w:type="character" w:customStyle="1" w:styleId="26">
    <w:name w:val="标题 2 字符"/>
    <w:basedOn w:val="22"/>
    <w:link w:val="3"/>
    <w:qFormat/>
    <w:uiPriority w:val="9"/>
    <w:rPr>
      <w:rFonts w:asciiTheme="majorHAnsi" w:hAnsiTheme="majorHAnsi" w:eastAsiaTheme="majorEastAsia" w:cstheme="majorBidi"/>
      <w:b/>
      <w:bCs/>
      <w:sz w:val="32"/>
      <w:szCs w:val="32"/>
    </w:rPr>
  </w:style>
  <w:style w:type="character" w:customStyle="1" w:styleId="27">
    <w:name w:val="日期 字符"/>
    <w:basedOn w:val="22"/>
    <w:link w:val="11"/>
    <w:semiHidden/>
    <w:qFormat/>
    <w:uiPriority w:val="99"/>
    <w:rPr>
      <w:rFonts w:ascii="等线" w:hAnsi="等线" w:eastAsia="等线" w:cs="宋体"/>
    </w:rPr>
  </w:style>
  <w:style w:type="character" w:customStyle="1" w:styleId="28">
    <w:name w:val="标题 1 字符"/>
    <w:basedOn w:val="22"/>
    <w:link w:val="2"/>
    <w:qFormat/>
    <w:uiPriority w:val="9"/>
    <w:rPr>
      <w:rFonts w:ascii="等线" w:hAnsi="等线" w:eastAsia="等线" w:cs="宋体"/>
      <w:b/>
      <w:bCs/>
      <w:kern w:val="44"/>
      <w:sz w:val="44"/>
      <w:szCs w:val="44"/>
    </w:rPr>
  </w:style>
  <w:style w:type="paragraph" w:styleId="29">
    <w:name w:val="List Paragraph"/>
    <w:basedOn w:val="1"/>
    <w:qFormat/>
    <w:uiPriority w:val="34"/>
    <w:pPr>
      <w:ind w:firstLine="420" w:firstLineChars="200"/>
    </w:pPr>
  </w:style>
  <w:style w:type="character" w:customStyle="1" w:styleId="30">
    <w:name w:val="标题 3 字符"/>
    <w:basedOn w:val="22"/>
    <w:link w:val="4"/>
    <w:qFormat/>
    <w:uiPriority w:val="9"/>
    <w:rPr>
      <w:rFonts w:ascii="等线" w:hAnsi="等线" w:eastAsia="等线" w:cs="宋体"/>
      <w:b/>
      <w:bCs/>
      <w:sz w:val="32"/>
      <w:szCs w:val="32"/>
    </w:rPr>
  </w:style>
  <w:style w:type="character" w:customStyle="1" w:styleId="31">
    <w:name w:val="正文文本缩进 字符"/>
    <w:basedOn w:val="22"/>
    <w:link w:val="9"/>
    <w:semiHidden/>
    <w:qFormat/>
    <w:uiPriority w:val="99"/>
    <w:rPr>
      <w:rFonts w:ascii="等线" w:hAnsi="等线" w:eastAsia="等线" w:cs="宋体"/>
    </w:rPr>
  </w:style>
  <w:style w:type="character" w:customStyle="1" w:styleId="32">
    <w:name w:val="正文文本首行缩进 2 字符"/>
    <w:basedOn w:val="31"/>
    <w:link w:val="19"/>
    <w:qFormat/>
    <w:uiPriority w:val="99"/>
    <w:rPr>
      <w:rFonts w:ascii="仿宋_GB2312" w:hAnsi="仿宋_GB2312" w:eastAsia="宋体" w:cs="Times New Roman"/>
      <w:bCs/>
      <w:szCs w:val="24"/>
    </w:rPr>
  </w:style>
  <w:style w:type="character" w:customStyle="1" w:styleId="33">
    <w:name w:val="font11"/>
    <w:basedOn w:val="22"/>
    <w:qFormat/>
    <w:uiPriority w:val="0"/>
    <w:rPr>
      <w:rFonts w:hint="default" w:ascii="仿宋_GB2312" w:eastAsia="仿宋_GB2312" w:cs="仿宋_GB2312"/>
      <w:color w:val="000000"/>
      <w:sz w:val="22"/>
      <w:szCs w:val="22"/>
      <w:u w:val="none"/>
    </w:rPr>
  </w:style>
  <w:style w:type="character" w:customStyle="1" w:styleId="34">
    <w:name w:val="font01"/>
    <w:basedOn w:val="22"/>
    <w:qFormat/>
    <w:uiPriority w:val="0"/>
    <w:rPr>
      <w:rFonts w:hint="default" w:ascii="Times New Roman" w:hAnsi="Times New Roman" w:cs="Times New Roman"/>
      <w:color w:val="000000"/>
      <w:sz w:val="21"/>
      <w:szCs w:val="21"/>
      <w:u w:val="none"/>
    </w:rPr>
  </w:style>
  <w:style w:type="character" w:customStyle="1" w:styleId="35">
    <w:name w:val="font31"/>
    <w:basedOn w:val="22"/>
    <w:qFormat/>
    <w:uiPriority w:val="0"/>
    <w:rPr>
      <w:rFonts w:hint="default" w:ascii="仿宋_GB2312" w:eastAsia="仿宋_GB2312" w:cs="仿宋_GB2312"/>
      <w:color w:val="000000"/>
      <w:sz w:val="21"/>
      <w:szCs w:val="21"/>
      <w:u w:val="none"/>
    </w:rPr>
  </w:style>
  <w:style w:type="paragraph" w:customStyle="1" w:styleId="36">
    <w:name w:val="样式 小四 行距: 固定值 22 磅 首行缩进:  2 字符"/>
    <w:basedOn w:val="1"/>
    <w:qFormat/>
    <w:uiPriority w:val="0"/>
    <w:pPr>
      <w:spacing w:line="440" w:lineRule="exact"/>
      <w:ind w:firstLine="480" w:firstLineChars="200"/>
    </w:pPr>
    <w:rPr>
      <w:rFonts w:cs="宋体"/>
      <w:sz w:val="24"/>
      <w:szCs w:val="20"/>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customStyle="1" w:styleId="38">
    <w:name w:val="WPSOffice手动目录 2"/>
    <w:qFormat/>
    <w:uiPriority w:val="0"/>
    <w:pPr>
      <w:ind w:leftChars="200"/>
    </w:pPr>
    <w:rPr>
      <w:rFonts w:ascii="Times New Roman" w:hAnsi="Times New Roman" w:eastAsia="宋体" w:cs="Times New Roman"/>
      <w:sz w:val="20"/>
      <w:szCs w:val="20"/>
    </w:rPr>
  </w:style>
  <w:style w:type="paragraph" w:customStyle="1" w:styleId="39">
    <w:name w:val="样式 10 磅5"/>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41">
    <w:name w:val="font61"/>
    <w:basedOn w:val="22"/>
    <w:qFormat/>
    <w:uiPriority w:val="0"/>
    <w:rPr>
      <w:rFonts w:hint="default" w:ascii="Times New Roman" w:hAnsi="Times New Roman" w:cs="Times New Roman"/>
      <w:color w:val="000000"/>
      <w:sz w:val="22"/>
      <w:szCs w:val="22"/>
      <w:u w:val="none"/>
    </w:rPr>
  </w:style>
  <w:style w:type="character" w:customStyle="1" w:styleId="42">
    <w:name w:val="font71"/>
    <w:basedOn w:val="22"/>
    <w:qFormat/>
    <w:uiPriority w:val="0"/>
    <w:rPr>
      <w:rFonts w:hint="eastAsia" w:ascii="宋体" w:hAnsi="宋体" w:eastAsia="宋体" w:cs="宋体"/>
      <w:color w:val="000000"/>
      <w:sz w:val="22"/>
      <w:szCs w:val="22"/>
      <w:u w:val="none"/>
    </w:rPr>
  </w:style>
  <w:style w:type="character" w:customStyle="1" w:styleId="43">
    <w:name w:val="font21"/>
    <w:basedOn w:val="22"/>
    <w:qFormat/>
    <w:uiPriority w:val="0"/>
    <w:rPr>
      <w:rFonts w:hint="default" w:ascii="方正仿宋_GB2312" w:hAnsi="方正仿宋_GB2312" w:eastAsia="方正仿宋_GB2312" w:cs="方正仿宋_GB2312"/>
      <w:color w:val="000000"/>
      <w:sz w:val="21"/>
      <w:szCs w:val="21"/>
      <w:u w:val="none"/>
    </w:rPr>
  </w:style>
  <w:style w:type="character" w:customStyle="1" w:styleId="44">
    <w:name w:val="font41"/>
    <w:basedOn w:val="22"/>
    <w:qFormat/>
    <w:uiPriority w:val="0"/>
    <w:rPr>
      <w:rFonts w:hint="eastAsia" w:ascii="宋体" w:hAnsi="宋体" w:eastAsia="宋体" w:cs="宋体"/>
      <w:color w:val="000000"/>
      <w:sz w:val="21"/>
      <w:szCs w:val="21"/>
      <w:u w:val="none"/>
    </w:rPr>
  </w:style>
  <w:style w:type="character" w:customStyle="1" w:styleId="45">
    <w:name w:val="font81"/>
    <w:basedOn w:val="22"/>
    <w:qFormat/>
    <w:uiPriority w:val="0"/>
    <w:rPr>
      <w:rFonts w:hint="eastAsia" w:ascii="宋体" w:hAnsi="宋体" w:eastAsia="宋体" w:cs="宋体"/>
      <w:color w:val="FF0000"/>
      <w:sz w:val="21"/>
      <w:szCs w:val="21"/>
      <w:u w:val="none"/>
    </w:rPr>
  </w:style>
  <w:style w:type="character" w:customStyle="1" w:styleId="46">
    <w:name w:val="font51"/>
    <w:basedOn w:val="22"/>
    <w:qFormat/>
    <w:uiPriority w:val="0"/>
    <w:rPr>
      <w:rFonts w:hint="default" w:ascii="Times New Roman" w:hAnsi="Times New Roman" w:cs="Times New Roman"/>
      <w:color w:val="000000"/>
      <w:sz w:val="22"/>
      <w:szCs w:val="22"/>
      <w:u w:val="none"/>
    </w:rPr>
  </w:style>
  <w:style w:type="character" w:customStyle="1" w:styleId="47">
    <w:name w:val="font121"/>
    <w:basedOn w:val="22"/>
    <w:qFormat/>
    <w:uiPriority w:val="0"/>
    <w:rPr>
      <w:rFonts w:hint="eastAsia" w:ascii="宋体" w:hAnsi="宋体" w:eastAsia="宋体" w:cs="宋体"/>
      <w:color w:val="FF0000"/>
      <w:sz w:val="21"/>
      <w:szCs w:val="21"/>
      <w:u w:val="none"/>
    </w:rPr>
  </w:style>
  <w:style w:type="character" w:customStyle="1" w:styleId="48">
    <w:name w:val="font22"/>
    <w:basedOn w:val="22"/>
    <w:qFormat/>
    <w:uiPriority w:val="0"/>
    <w:rPr>
      <w:rFonts w:hint="default" w:ascii="Times New Roman" w:hAnsi="Times New Roman" w:cs="Times New Roman"/>
      <w:color w:val="000000"/>
      <w:sz w:val="22"/>
      <w:szCs w:val="22"/>
      <w:u w:val="none"/>
    </w:rPr>
  </w:style>
  <w:style w:type="character" w:customStyle="1" w:styleId="49">
    <w:name w:val="font261"/>
    <w:basedOn w:val="22"/>
    <w:qFormat/>
    <w:uiPriority w:val="0"/>
    <w:rPr>
      <w:rFonts w:hint="default" w:ascii="Times New Roman" w:hAnsi="Times New Roman" w:cs="Times New Roman"/>
      <w:color w:val="000000"/>
      <w:sz w:val="20"/>
      <w:szCs w:val="20"/>
      <w:u w:val="none"/>
    </w:rPr>
  </w:style>
  <w:style w:type="character" w:customStyle="1" w:styleId="50">
    <w:name w:val="font151"/>
    <w:basedOn w:val="22"/>
    <w:qFormat/>
    <w:uiPriority w:val="0"/>
    <w:rPr>
      <w:rFonts w:hint="eastAsia" w:ascii="宋体" w:hAnsi="宋体" w:eastAsia="宋体" w:cs="宋体"/>
      <w:color w:val="000000"/>
      <w:sz w:val="20"/>
      <w:szCs w:val="20"/>
      <w:u w:val="none"/>
    </w:rPr>
  </w:style>
  <w:style w:type="character" w:customStyle="1" w:styleId="51">
    <w:name w:val="font112"/>
    <w:basedOn w:val="22"/>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112</Pages>
  <Words>1523</Words>
  <Characters>1631</Characters>
  <Lines>78</Lines>
  <Paragraphs>22</Paragraphs>
  <TotalTime>6</TotalTime>
  <ScaleCrop>false</ScaleCrop>
  <LinksUpToDate>false</LinksUpToDate>
  <CharactersWithSpaces>1915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2021-08-17T01:17:00Z</dcterms:created>
  <dc:creator>xbany</dc:creator>
  <cp:lastModifiedBy>北纬45度</cp:lastModifiedBy>
  <dcterms:modified xsi:type="dcterms:W3CDTF">2024-11-12T08:01:58Z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C2758F1C6BB645A18C515CFF01DA4FB0_13</vt:lpwstr>
  </property>
</Properties>
</file>