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绥滨县住房和城乡建设局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年度报告</w:t>
      </w:r>
    </w:p>
    <w:p>
      <w:pPr>
        <w:rPr>
          <w:rFonts w:ascii="微软雅黑" w:hAnsi="微软雅黑" w:eastAsia="微软雅黑" w:cs="微软雅黑"/>
          <w:i w:val="0"/>
          <w:iCs w:val="0"/>
          <w:caps w:val="0"/>
          <w:color w:val="333333"/>
          <w:spacing w:val="0"/>
          <w:sz w:val="22"/>
          <w:szCs w:val="22"/>
          <w:shd w:val="clear" w:fill="FFFFFF"/>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华人民共和国政府信息公开条例》及绥滨县人民政府办公室有关规定，我单位认真按照上级的部署和要求，切实抓好政府信息公开工作。为进一步保障公民的知情权和监督权，现向社会公布本单位2021年度政府信息公开工作年度报告，联系电话：0468-7862036。</w:t>
      </w:r>
    </w:p>
    <w:p>
      <w:p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一、总体情况</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2021年，我局政府信息公开工作坚持以习近平新时代中国特色社会主义思想为指导，认真贯彻落实《中华人民共和国政府信息公开条例》和县委县政府的要求，紧紧围绕全县和住建局的中心工作，以“公开、透明、规范、廉洁、高效”为目标，以群众满意为最基本要求，健全机制，拓宽渠道，着力构建程序规范、运转协调、公开透明、便捷高效的政务公开长效机制，有效推动全局整体工作提高。具体做法如下：</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领导重视。局领导高度重视政府信息公开工作，成立了由局长任组长、分管副局长任副组长、相关科室和各科室负责人为成员的政府信息公开领导小组，严格落实各单位的职能职责，指定专人负责政府信息公开工作，形成一级抓一级、层层抓落实的局面，保证了本年度政府信息公开工作的有序推进，并取得较好成绩。</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机制健全。一是制定相关制度，同时建立健全保密审查、依申请公开、评议考核、责任追究等配套工作制度，使政府信息公开工作做到有计划、有目标、有措施；二是规范信息发布程序。坚持“先审查、后公开”、“一事一审”、“上网不涉密，涉密不上网”等原则，做好政府信息公开审查工作，确保不发生泄密问题；三是明确工作职责。由办公室负责全局的政府信息公开工作，指定专人负责，及时更新动态信息以及主动公开政府信息等工作，方便群众查询、获取信息。</w:t>
      </w:r>
    </w:p>
    <w:p>
      <w:pPr>
        <w:ind w:firstLine="640" w:firstLineChars="200"/>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三）措施到位。我局坚持把政务公开工作作为依法行政、加强监督、勤政廉政建设的一项基本制度，及时对信息公开目录、公开指南及时地进行了编制和更新，确保了信息更新及时，积极拓宽公开渠道，使人民群众的知情权、参与权和监督权得到充分保障。同时利用集中学习的时间，多次组织学习《信息公开条例》和上级相关文件精神，进一步提高信息公开工作能力。</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二、主动公开政府信息情况</w:t>
      </w:r>
    </w:p>
    <w:tbl>
      <w:tblPr>
        <w:tblStyle w:val="2"/>
        <w:tblW w:w="8140" w:type="dxa"/>
        <w:jc w:val="center"/>
        <w:shd w:val="clear" w:color="auto" w:fill="auto"/>
        <w:tblLayout w:type="fixed"/>
        <w:tblCellMar>
          <w:top w:w="0" w:type="dxa"/>
          <w:left w:w="0" w:type="dxa"/>
          <w:bottom w:w="0" w:type="dxa"/>
          <w:right w:w="0" w:type="dxa"/>
        </w:tblCellMar>
      </w:tblPr>
      <w:tblGrid>
        <w:gridCol w:w="3113"/>
        <w:gridCol w:w="1696"/>
        <w:gridCol w:w="1450"/>
        <w:gridCol w:w="1881"/>
      </w:tblGrid>
      <w:tr>
        <w:tblPrEx>
          <w:shd w:val="clear" w:color="auto" w:fill="auto"/>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shd w:val="clear" w:color="auto" w:fill="auto"/>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1696"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本年制发件数</w:t>
            </w:r>
          </w:p>
        </w:tc>
        <w:tc>
          <w:tcPr>
            <w:tcW w:w="14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本年废止件数</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现行有效件数</w:t>
            </w:r>
          </w:p>
        </w:tc>
      </w:tr>
      <w:tr>
        <w:tblPrEx>
          <w:shd w:val="clear" w:color="auto" w:fill="auto"/>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规章</w:t>
            </w:r>
          </w:p>
        </w:tc>
        <w:tc>
          <w:tcPr>
            <w:tcW w:w="1696"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4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shd w:val="clear" w:color="auto" w:fill="auto"/>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规范性文件</w:t>
            </w:r>
          </w:p>
        </w:tc>
        <w:tc>
          <w:tcPr>
            <w:tcW w:w="1696"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4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shd w:val="clear" w:color="auto" w:fill="auto"/>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shd w:val="clear" w:color="auto" w:fill="auto"/>
          <w:tblCellMar>
            <w:top w:w="0" w:type="dxa"/>
            <w:left w:w="0" w:type="dxa"/>
            <w:bottom w:w="0" w:type="dxa"/>
            <w:right w:w="0" w:type="dxa"/>
          </w:tblCellMar>
        </w:tblPrEx>
        <w:trPr>
          <w:trHeight w:val="634" w:hRule="atLeast"/>
          <w:jc w:val="center"/>
        </w:trPr>
        <w:tc>
          <w:tcPr>
            <w:tcW w:w="3113"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5027" w:type="dxa"/>
            <w:gridSpan w:val="3"/>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本年处理决定数量</w:t>
            </w:r>
          </w:p>
        </w:tc>
      </w:tr>
      <w:tr>
        <w:tblPrEx>
          <w:shd w:val="clear" w:color="auto" w:fill="auto"/>
          <w:tblCellMar>
            <w:top w:w="0" w:type="dxa"/>
            <w:left w:w="0" w:type="dxa"/>
            <w:bottom w:w="0" w:type="dxa"/>
            <w:right w:w="0" w:type="dxa"/>
          </w:tblCellMar>
        </w:tblPrEx>
        <w:trPr>
          <w:trHeight w:val="528" w:hRule="atLeast"/>
          <w:jc w:val="center"/>
        </w:trPr>
        <w:tc>
          <w:tcPr>
            <w:tcW w:w="3113"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5027"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200</w:t>
            </w:r>
          </w:p>
        </w:tc>
      </w:tr>
      <w:tr>
        <w:tblPrEx>
          <w:shd w:val="clear" w:color="auto" w:fill="auto"/>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shd w:val="clear" w:color="auto" w:fill="auto"/>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5027"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本年处理决定数量</w:t>
            </w:r>
          </w:p>
        </w:tc>
      </w:tr>
      <w:tr>
        <w:tblPrEx>
          <w:shd w:val="clear" w:color="auto" w:fill="auto"/>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5027"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6</w:t>
            </w:r>
          </w:p>
        </w:tc>
      </w:tr>
      <w:tr>
        <w:tblPrEx>
          <w:shd w:val="clear" w:color="auto" w:fill="auto"/>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5027"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eastAsiaTheme="minorEastAsia"/>
                <w:lang w:val="en-US" w:eastAsia="zh-CN"/>
              </w:rPr>
            </w:pPr>
            <w:r>
              <w:rPr>
                <w:rFonts w:hint="eastAsia"/>
                <w:lang w:val="en-US" w:eastAsia="zh-CN"/>
              </w:rPr>
              <w:t>0</w:t>
            </w:r>
          </w:p>
        </w:tc>
      </w:tr>
      <w:tr>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5027" w:type="dxa"/>
            <w:gridSpan w:val="3"/>
            <w:tcBorders>
              <w:top w:val="nil"/>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本年收费金额（单位：万元）</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5027" w:type="dxa"/>
            <w:gridSpan w:val="3"/>
            <w:tcBorders>
              <w:top w:val="nil"/>
              <w:left w:val="nil"/>
              <w:bottom w:val="single" w:color="auto" w:sz="8" w:space="0"/>
              <w:right w:val="single" w:color="000000" w:sz="8" w:space="0"/>
            </w:tcBorders>
            <w:shd w:val="clear" w:color="auto" w:fill="auto"/>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449.5</w:t>
            </w:r>
          </w:p>
        </w:tc>
      </w:tr>
    </w:tbl>
    <w:p>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三、收到和处理政府信息公开申请情况</w:t>
      </w:r>
    </w:p>
    <w:tbl>
      <w:tblPr>
        <w:tblStyle w:val="2"/>
        <w:tblW w:w="91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818"/>
        <w:gridCol w:w="852"/>
        <w:gridCol w:w="2026"/>
        <w:gridCol w:w="797"/>
        <w:gridCol w:w="741"/>
        <w:gridCol w:w="741"/>
        <w:gridCol w:w="797"/>
        <w:gridCol w:w="951"/>
        <w:gridCol w:w="699"/>
        <w:gridCol w:w="6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3696" w:type="dxa"/>
            <w:gridSpan w:val="3"/>
            <w:vMerge w:val="restart"/>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410" w:type="dxa"/>
            <w:gridSpan w:val="7"/>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3696" w:type="dxa"/>
            <w:gridSpan w:val="3"/>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797" w:type="dxa"/>
            <w:vMerge w:val="restart"/>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自然人</w:t>
            </w:r>
          </w:p>
        </w:tc>
        <w:tc>
          <w:tcPr>
            <w:tcW w:w="3929" w:type="dxa"/>
            <w:gridSpan w:val="5"/>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法人或其他组织</w:t>
            </w:r>
          </w:p>
        </w:tc>
        <w:tc>
          <w:tcPr>
            <w:tcW w:w="684" w:type="dxa"/>
            <w:vMerge w:val="restart"/>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3696" w:type="dxa"/>
            <w:gridSpan w:val="3"/>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797"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商业企业</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科研机构</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社会公益组织</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法律服务机构</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其他</w:t>
            </w:r>
          </w:p>
        </w:tc>
        <w:tc>
          <w:tcPr>
            <w:tcW w:w="684"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3696" w:type="dxa"/>
            <w:gridSpan w:val="3"/>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3696" w:type="dxa"/>
            <w:gridSpan w:val="3"/>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restart"/>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三、本年度办理结果</w:t>
            </w:r>
          </w:p>
        </w:tc>
        <w:tc>
          <w:tcPr>
            <w:tcW w:w="2878" w:type="dxa"/>
            <w:gridSpan w:val="2"/>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ascii="楷体" w:hAnsi="楷体" w:eastAsia="楷体" w:cs="楷体"/>
                <w:kern w:val="0"/>
                <w:sz w:val="20"/>
                <w:szCs w:val="20"/>
                <w:lang w:val="en-US" w:eastAsia="zh-CN" w:bidi="ar"/>
              </w:rPr>
              <w:t>（一）予以公开</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878" w:type="dxa"/>
            <w:gridSpan w:val="2"/>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（二）部分公开（区分处理的，只计这一情形，不计其他情形）</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restart"/>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（三）不予公开</w:t>
            </w: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1.属于国家秘密</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2.其他法律行政法规禁止公开</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3.危及“三安全一稳定”</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4.保护第三方合法权益</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605" w:hRule="atLeast"/>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5.属于三类内部事务信息</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6.属于四类过程性信息</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7.属于行政执法案卷</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8.属于行政查询事项</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restart"/>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（四）无法提供</w:t>
            </w: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1.本机关不掌握相关政府信息</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2.没有现成信息需要另行制作</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3.补正后申请内容仍不明确</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restart"/>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（五）不予处理</w:t>
            </w: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1.信访举报投诉类申请</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2.重复申请</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3.要求提供公开出版物</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4.无正当理由大量反复申请</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5.要求行政机关确认或重新出具已获取信息</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restart"/>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（六）其他处理</w:t>
            </w: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1.申请人无正当理由逾期不补正、行政机关不再处理其政府信息公开申请</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楷体" w:hAnsi="楷体" w:eastAsia="楷体" w:cs="楷体"/>
                <w:kern w:val="0"/>
                <w:sz w:val="20"/>
                <w:szCs w:val="20"/>
                <w:lang w:val="en-US" w:eastAsia="zh-CN" w:bidi="ar"/>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2.申请人逾期未按收费通知要求缴纳费用、行政机关不再处理其政府信息公开申请</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Calibri" w:hAnsi="Calibri" w:cs="Calibri" w:eastAsiaTheme="minorEastAsia"/>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852" w:type="dxa"/>
            <w:vMerge w:val="continue"/>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楷体" w:hAnsi="楷体" w:eastAsia="楷体" w:cs="楷体"/>
                <w:kern w:val="0"/>
                <w:sz w:val="20"/>
                <w:szCs w:val="20"/>
                <w:lang w:val="en-US" w:eastAsia="zh-CN" w:bidi="ar"/>
              </w:rPr>
            </w:pPr>
          </w:p>
        </w:tc>
        <w:tc>
          <w:tcPr>
            <w:tcW w:w="2026"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楷体" w:hAnsi="楷体" w:eastAsia="楷体" w:cs="楷体"/>
                <w:kern w:val="0"/>
                <w:sz w:val="20"/>
                <w:szCs w:val="20"/>
                <w:lang w:val="en-US" w:eastAsia="zh-CN" w:bidi="ar"/>
              </w:rPr>
            </w:pPr>
            <w:r>
              <w:rPr>
                <w:rFonts w:hint="eastAsia" w:ascii="楷体" w:hAnsi="楷体" w:eastAsia="楷体" w:cs="楷体"/>
                <w:kern w:val="0"/>
                <w:sz w:val="20"/>
                <w:szCs w:val="20"/>
                <w:lang w:val="en-US" w:eastAsia="zh-CN" w:bidi="ar"/>
              </w:rPr>
              <w:t>3.其他</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ascii="Calibri" w:hAnsi="Calibri" w:cs="Calibri"/>
                <w:kern w:val="0"/>
                <w:sz w:val="20"/>
                <w:szCs w:val="20"/>
                <w:lang w:val="en-US" w:eastAsia="zh-CN" w:bidi="ar"/>
              </w:rPr>
            </w:pP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ascii="Calibri" w:hAnsi="Calibri" w:cs="Calibri"/>
                <w:kern w:val="0"/>
                <w:sz w:val="20"/>
                <w:szCs w:val="20"/>
                <w:lang w:val="en-US" w:eastAsia="zh-CN" w:bidi="ar"/>
              </w:rPr>
            </w:pP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ascii="Calibri" w:hAnsi="Calibri" w:cs="Calibri"/>
                <w:kern w:val="0"/>
                <w:sz w:val="20"/>
                <w:szCs w:val="20"/>
                <w:lang w:val="en-US" w:eastAsia="zh-CN" w:bidi="ar"/>
              </w:rPr>
            </w:pP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ascii="Calibri" w:hAnsi="Calibri" w:cs="Calibri"/>
                <w:kern w:val="0"/>
                <w:sz w:val="20"/>
                <w:szCs w:val="20"/>
                <w:lang w:val="en-US" w:eastAsia="zh-CN" w:bidi="ar"/>
              </w:rPr>
            </w:pP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ascii="Calibri" w:hAnsi="Calibri" w:cs="Calibri"/>
                <w:kern w:val="0"/>
                <w:sz w:val="20"/>
                <w:szCs w:val="20"/>
                <w:lang w:val="en-US" w:eastAsia="zh-CN" w:bidi="ar"/>
              </w:rPr>
            </w:pP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rPr>
                <w:rFonts w:hint="eastAsia" w:ascii="Calibri" w:hAnsi="Calibri" w:cs="Calibri"/>
                <w:kern w:val="0"/>
                <w:sz w:val="20"/>
                <w:szCs w:val="20"/>
                <w:lang w:val="en-US" w:eastAsia="zh-CN" w:bidi="ar"/>
              </w:rPr>
            </w:pP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Calibri" w:hAnsi="Calibri" w:cs="Calibri" w:eastAsiaTheme="minorEastAsia"/>
                <w:kern w:val="0"/>
                <w:sz w:val="20"/>
                <w:szCs w:val="20"/>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8" w:type="dxa"/>
            <w:vMerge w:val="continue"/>
            <w:tcBorders>
              <w:tl2br w:val="nil"/>
              <w:tr2bl w:val="nil"/>
            </w:tcBorders>
            <w:shd w:val="clear" w:color="auto" w:fill="auto"/>
            <w:tcMar>
              <w:left w:w="108" w:type="dxa"/>
              <w:right w:w="108" w:type="dxa"/>
            </w:tcMar>
            <w:vAlign w:val="center"/>
          </w:tcPr>
          <w:p>
            <w:pPr>
              <w:rPr>
                <w:rFonts w:hint="eastAsia" w:ascii="宋体"/>
                <w:sz w:val="24"/>
                <w:szCs w:val="24"/>
              </w:rPr>
            </w:pPr>
          </w:p>
        </w:tc>
        <w:tc>
          <w:tcPr>
            <w:tcW w:w="2878" w:type="dxa"/>
            <w:gridSpan w:val="2"/>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楷体" w:hAnsi="楷体" w:eastAsia="楷体" w:cs="楷体"/>
                <w:kern w:val="0"/>
                <w:sz w:val="20"/>
                <w:szCs w:val="20"/>
                <w:lang w:val="en-US" w:eastAsia="zh-CN" w:bidi="ar"/>
              </w:rPr>
              <w:t>（七）总计</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3696" w:type="dxa"/>
            <w:gridSpan w:val="3"/>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4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797"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951"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9" w:type="dxa"/>
            <w:tcBorders>
              <w:tl2br w:val="nil"/>
              <w:tr2bl w:val="nil"/>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4" w:type="dxa"/>
            <w:tcBorders>
              <w:tl2br w:val="nil"/>
              <w:tr2bl w:val="nil"/>
            </w:tcBorders>
            <w:shd w:val="clear" w:color="auto" w:fill="auto"/>
            <w:tcMar>
              <w:left w:w="108" w:type="dxa"/>
              <w:right w:w="108" w:type="dxa"/>
            </w:tcMar>
            <w:vAlign w:val="top"/>
          </w:tcPr>
          <w:p>
            <w:pPr>
              <w:jc w:val="center"/>
              <w:rPr>
                <w:rFonts w:hint="eastAsia" w:ascii="宋体" w:eastAsiaTheme="minorEastAsia"/>
                <w:sz w:val="24"/>
                <w:szCs w:val="24"/>
                <w:lang w:val="en-US" w:eastAsia="zh-CN"/>
              </w:rPr>
            </w:pPr>
            <w:r>
              <w:rPr>
                <w:rFonts w:hint="eastAsia" w:ascii="Calibri" w:hAnsi="Calibri" w:cs="Calibri"/>
                <w:kern w:val="0"/>
                <w:sz w:val="20"/>
                <w:szCs w:val="20"/>
                <w:lang w:val="en-US" w:eastAsia="zh-CN" w:bidi="ar"/>
              </w:rPr>
              <w:t>0</w:t>
            </w:r>
          </w:p>
        </w:tc>
      </w:tr>
    </w:tbl>
    <w:p>
      <w:p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四、政府信息公开行政复议、行政诉讼情况</w:t>
      </w:r>
    </w:p>
    <w:p>
      <w:pPr>
        <w:rPr>
          <w:rFonts w:hint="eastAsia" w:ascii="宋体" w:hAnsi="宋体" w:eastAsia="宋体" w:cs="宋体"/>
          <w:i w:val="0"/>
          <w:iCs w:val="0"/>
          <w:caps w:val="0"/>
          <w:color w:val="333333"/>
          <w:spacing w:val="0"/>
          <w:sz w:val="24"/>
          <w:szCs w:val="24"/>
        </w:rPr>
      </w:pPr>
    </w:p>
    <w:tbl>
      <w:tblPr>
        <w:tblStyle w:val="2"/>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Arial" w:hAnsi="Arial" w:cs="Arial"/>
                <w:sz w:val="21"/>
                <w:szCs w:val="21"/>
                <w:lang w:val="en-US"/>
              </w:rPr>
            </w:pPr>
            <w:r>
              <w:rPr>
                <w:rFonts w:hint="default" w:ascii="Arial" w:hAnsi="Arial" w:cs="Arial"/>
                <w:kern w:val="0"/>
                <w:sz w:val="21"/>
                <w:szCs w:val="21"/>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Arial" w:hAnsi="Arial" w:cs="Arial"/>
                <w:sz w:val="21"/>
                <w:szCs w:val="21"/>
                <w:lang w:val="en-US"/>
              </w:rPr>
            </w:pPr>
            <w:r>
              <w:rPr>
                <w:rFonts w:hint="default" w:ascii="Arial" w:hAnsi="Arial" w:cs="Arial"/>
                <w:kern w:val="0"/>
                <w:sz w:val="21"/>
                <w:szCs w:val="21"/>
                <w:lang w:val="en-US" w:eastAsia="zh-CN" w:bidi="ar"/>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Arial" w:hAnsi="Arial" w:cs="Arial"/>
                <w:sz w:val="21"/>
                <w:szCs w:val="21"/>
                <w:lang w:val="en-US"/>
              </w:rPr>
            </w:pPr>
            <w:r>
              <w:rPr>
                <w:rFonts w:hint="eastAsia" w:ascii="Arial" w:hAnsi="Arial" w:cs="Arial"/>
                <w:kern w:val="0"/>
                <w:sz w:val="21"/>
                <w:szCs w:val="21"/>
                <w:lang w:val="en-US" w:eastAsia="zh-CN" w:bidi="ar"/>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Arial" w:hAnsi="Arial" w:cs="Arial"/>
                <w:sz w:val="21"/>
                <w:szCs w:val="21"/>
                <w:lang w:val="en-US"/>
              </w:rPr>
            </w:pPr>
            <w:r>
              <w:rPr>
                <w:rFonts w:hint="default" w:ascii="Arial" w:hAnsi="Arial" w:cs="Arial"/>
                <w:kern w:val="0"/>
                <w:sz w:val="21"/>
                <w:szCs w:val="21"/>
                <w:lang w:val="en-US" w:eastAsia="zh-CN" w:bidi="ar"/>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Arial" w:hAnsi="Arial" w:cs="Arial"/>
                <w:sz w:val="21"/>
                <w:szCs w:val="21"/>
              </w:rPr>
            </w:pPr>
            <w:r>
              <w:rPr>
                <w:rFonts w:hint="default" w:ascii="Arial" w:hAnsi="Arial" w:cs="Arial"/>
                <w:kern w:val="0"/>
                <w:sz w:val="21"/>
                <w:szCs w:val="21"/>
                <w:lang w:val="en-US" w:eastAsia="zh-CN" w:bidi="ar"/>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Arial" w:hAnsi="Arial" w:cs="Arial"/>
                <w:sz w:val="21"/>
                <w:szCs w:val="21"/>
                <w:lang w:val="en-US"/>
              </w:rPr>
            </w:pPr>
            <w:r>
              <w:rPr>
                <w:rFonts w:hint="default" w:ascii="Arial" w:hAnsi="Arial" w:eastAsia="宋体" w:cs="Arial"/>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Arial" w:hAnsi="Arial" w:cs="Arial"/>
                <w:sz w:val="21"/>
                <w:szCs w:val="21"/>
                <w:lang w:val="en-US"/>
              </w:rPr>
            </w:pPr>
            <w:r>
              <w:rPr>
                <w:rFonts w:hint="default" w:ascii="Arial" w:hAnsi="Arial" w:eastAsia="宋体" w:cs="Arial"/>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Arial" w:hAnsi="Arial" w:cs="Arial"/>
                <w:sz w:val="21"/>
                <w:szCs w:val="21"/>
                <w:lang w:val="en-US"/>
              </w:rPr>
            </w:pPr>
            <w:r>
              <w:rPr>
                <w:rFonts w:hint="default" w:ascii="Arial" w:hAnsi="Arial" w:eastAsia="宋体" w:cs="Arial"/>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Arial" w:hAnsi="Arial" w:cs="Arial"/>
                <w:sz w:val="21"/>
                <w:szCs w:val="21"/>
              </w:rPr>
            </w:pPr>
            <w:r>
              <w:rPr>
                <w:rFonts w:hint="default" w:ascii="Arial" w:hAnsi="Arial" w:eastAsia="宋体" w:cs="Arial"/>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Arial" w:hAnsi="Arial" w:cs="Arial"/>
                <w:sz w:val="21"/>
                <w:szCs w:val="21"/>
              </w:rPr>
            </w:pPr>
            <w:r>
              <w:rPr>
                <w:rFonts w:hint="default" w:ascii="Arial" w:hAnsi="Arial" w:eastAsia="宋体" w:cs="Arial"/>
                <w:color w:val="000000"/>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Arial" w:hAnsi="Arial" w:cs="Arial"/>
                <w:sz w:val="21"/>
                <w:szCs w:val="21"/>
                <w:lang w:val="en-US"/>
              </w:rPr>
            </w:pPr>
            <w:r>
              <w:rPr>
                <w:rFonts w:hint="default" w:ascii="Arial" w:hAnsi="Arial" w:eastAsia="宋体" w:cs="Arial"/>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Arial" w:hAnsi="Arial" w:cs="Arial"/>
                <w:sz w:val="21"/>
                <w:szCs w:val="21"/>
                <w:lang w:val="en-US"/>
              </w:rPr>
            </w:pPr>
            <w:r>
              <w:rPr>
                <w:rFonts w:hint="default" w:ascii="Arial" w:hAnsi="Arial" w:eastAsia="宋体" w:cs="Arial"/>
                <w:kern w:val="0"/>
                <w:sz w:val="21"/>
                <w:szCs w:val="21"/>
                <w:lang w:val="en-US" w:eastAsia="zh-CN" w:bidi="ar"/>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Arial" w:hAnsi="Arial" w:cs="Arial"/>
                <w:sz w:val="21"/>
                <w:szCs w:val="21"/>
                <w:lang w:val="en-US"/>
              </w:rPr>
            </w:pPr>
            <w:r>
              <w:rPr>
                <w:rFonts w:hint="default" w:ascii="Arial" w:hAnsi="Arial" w:eastAsia="宋体" w:cs="Arial"/>
                <w:color w:val="000000"/>
                <w:kern w:val="0"/>
                <w:sz w:val="21"/>
                <w:szCs w:val="21"/>
                <w:lang w:val="en-US" w:eastAsia="zh-CN" w:bidi="ar"/>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default" w:ascii="Arial" w:hAnsi="Arial" w:cs="Arial"/>
                <w:sz w:val="21"/>
                <w:szCs w:val="21"/>
                <w:lang w:val="en-US"/>
              </w:rPr>
            </w:pPr>
            <w:r>
              <w:rPr>
                <w:rFonts w:hint="default" w:ascii="Arial" w:hAnsi="Arial" w:eastAsia="宋体" w:cs="Arial"/>
                <w:kern w:val="0"/>
                <w:sz w:val="21"/>
                <w:szCs w:val="21"/>
                <w:lang w:val="en-US" w:eastAsia="zh-CN" w:bidi="ar"/>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top"/>
          </w:tcPr>
          <w:p>
            <w:pPr>
              <w:jc w:val="center"/>
              <w:rPr>
                <w:rFonts w:hint="default" w:ascii="Arial" w:hAnsi="Arial" w:cs="Arial" w:eastAsiaTheme="minorEastAsia"/>
                <w:sz w:val="21"/>
                <w:szCs w:val="21"/>
                <w:lang w:val="en-US" w:eastAsia="zh-CN"/>
              </w:rPr>
            </w:pPr>
            <w:r>
              <w:rPr>
                <w:rFonts w:hint="default" w:ascii="Arial" w:hAnsi="Arial" w:eastAsia="宋体" w:cs="Arial"/>
                <w:kern w:val="0"/>
                <w:sz w:val="21"/>
                <w:szCs w:val="21"/>
                <w:lang w:val="en-US" w:eastAsia="zh-CN" w:bidi="ar"/>
              </w:rPr>
              <w:t>0</w:t>
            </w:r>
          </w:p>
        </w:tc>
      </w:tr>
    </w:tbl>
    <w:p>
      <w:pPr>
        <w:rPr>
          <w:rFonts w:hint="eastAsia" w:ascii="宋体" w:hAnsi="宋体" w:eastAsia="宋体" w:cs="宋体"/>
          <w:i w:val="0"/>
          <w:iCs w:val="0"/>
          <w:caps w:val="0"/>
          <w:color w:val="333333"/>
          <w:spacing w:val="0"/>
          <w:sz w:val="24"/>
          <w:szCs w:val="24"/>
        </w:rPr>
      </w:pPr>
    </w:p>
    <w:p>
      <w:p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五、存在的主要问题及改进情况</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（一）存在的主要问题和困难</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w:t>
      </w:r>
      <w:r>
        <w:rPr>
          <w:rFonts w:hint="default" w:ascii="仿宋_GB2312" w:hAnsi="仿宋_GB2312" w:eastAsia="仿宋_GB2312" w:cs="仿宋_GB2312"/>
          <w:color w:val="auto"/>
          <w:sz w:val="32"/>
          <w:szCs w:val="32"/>
          <w:lang w:val="en-US" w:eastAsia="zh-CN"/>
        </w:rPr>
        <w:t>信息更新还不够及时，公开质量有待提高。二是部分工作人员政务信息公开的意识有待进一步提高，主动公开政务信息的责任意识还比较薄弱。三是政务公开工作力量薄弱，队伍建设还需加强，需要加大人员配置。</w:t>
      </w:r>
    </w:p>
    <w:p>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（二）改进措施</w:t>
      </w:r>
    </w:p>
    <w:p>
      <w:pPr>
        <w:ind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一是统一认识规范工作流程。进一步梳理所掌握的政务信息，及时提供定期维护，确保政务信息公开工作能按照既定的工作流程有效运作，公众能够方便查询。二是认真梳理充实公开内容。本局将进一步梳理政务信息，及时完善更新主动公开的政务信息目录，保证公开信息的完整性和准确性。同时要及时总结政务公开实践中积累的好做法和新鲜经验，充分发挥其作用，不断提高政务公开工作的质量和水平。三是进一步加大培训力度提升业务水平。开展政务信息公开业务培训，不断提高政务信息工作人员的综合素质，增强处理信息的能力，提高信息质量。同时建立健全政务信息公开工作的考核评估、监督检查评议等工作制度，确保我局政务信息公开工作顺利开展。</w:t>
      </w:r>
    </w:p>
    <w:p>
      <w:p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六、其他需要报告的事项</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pPr>
        <w:ind w:firstLine="640" w:firstLineChars="200"/>
        <w:rPr>
          <w:rFonts w:hint="eastAsia" w:ascii="仿宋_GB2312" w:hAnsi="仿宋_GB2312" w:eastAsia="仿宋_GB2312" w:cs="仿宋_GB2312"/>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p>
    <w:p>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27888"/>
    <w:rsid w:val="11BB1775"/>
    <w:rsid w:val="37571DF8"/>
    <w:rsid w:val="3CA26EA2"/>
    <w:rsid w:val="3CC52A82"/>
    <w:rsid w:val="50B12E29"/>
    <w:rsid w:val="71327888"/>
    <w:rsid w:val="7E071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2022-01-07T08:03:00Z</dcterms:created>
  <dc:creator>陶老爷</dc:creator>
  <cp:lastModifiedBy>Administrator</cp:lastModifiedBy>
  <cp:lastPrinted>2022-01-11T08:37:00Z</cp:lastPrinted>
  <dcterms:modified xsi:type="dcterms:W3CDTF">2022-01-26T06:54:02Z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0EA1281285F64299A2B09B64FACCF97F</vt:lpwstr>
  </property>
</Properties>
</file>