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44"/>
          <w:szCs w:val="44"/>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w:t>
      </w:r>
      <w:r>
        <w:rPr>
          <w:rFonts w:hint="eastAsia" w:asciiTheme="minorEastAsia" w:hAnsiTheme="minorEastAsia" w:eastAsiaTheme="minorEastAsia" w:cstheme="minorEastAsia"/>
          <w:b/>
          <w:color w:val="333333"/>
          <w:sz w:val="44"/>
          <w:szCs w:val="44"/>
          <w:lang w:val="en-US" w:eastAsia="zh-CN"/>
        </w:rPr>
        <w:t xml:space="preserve"> 201</w:t>
      </w:r>
      <w:r>
        <w:rPr>
          <w:rFonts w:hint="eastAsia" w:asciiTheme="minorEastAsia" w:hAnsiTheme="minorEastAsia" w:cstheme="minorEastAsia"/>
          <w:b/>
          <w:color w:val="333333"/>
          <w:sz w:val="44"/>
          <w:szCs w:val="44"/>
          <w:lang w:val="en-US" w:eastAsia="zh-CN"/>
        </w:rPr>
        <w:t>9</w:t>
      </w:r>
      <w:r>
        <w:rPr>
          <w:rFonts w:hint="eastAsia" w:asciiTheme="minorEastAsia" w:hAnsiTheme="minorEastAsia" w:eastAsiaTheme="minorEastAsia" w:cstheme="minorEastAsia"/>
          <w:b/>
          <w:color w:val="333333"/>
          <w:sz w:val="44"/>
          <w:szCs w:val="44"/>
          <w:lang w:val="en-US" w:eastAsia="zh-CN"/>
        </w:rPr>
        <w:t>年度</w:t>
      </w:r>
      <w:r>
        <w:rPr>
          <w:rFonts w:hint="eastAsia" w:asciiTheme="minorEastAsia" w:hAnsiTheme="minorEastAsia" w:cstheme="minorEastAsia"/>
          <w:b/>
          <w:color w:val="333333"/>
          <w:sz w:val="44"/>
          <w:szCs w:val="44"/>
          <w:lang w:val="en-US" w:eastAsia="zh-CN"/>
        </w:rPr>
        <w:t>中医院</w:t>
      </w:r>
      <w:r>
        <w:rPr>
          <w:rFonts w:hint="eastAsia" w:asciiTheme="minorEastAsia" w:hAnsiTheme="minorEastAsia" w:eastAsiaTheme="minorEastAsia" w:cstheme="minorEastAsia"/>
          <w:b/>
          <w:color w:val="333333"/>
          <w:sz w:val="44"/>
          <w:szCs w:val="44"/>
          <w:lang w:val="en-US" w:eastAsia="zh-CN"/>
        </w:rPr>
        <w:t>决算文字说明</w:t>
      </w: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numPr>
          <w:ilvl w:val="0"/>
          <w:numId w:val="1"/>
        </w:numPr>
        <w:spacing w:line="360" w:lineRule="auto"/>
        <w:ind w:left="0"/>
        <w:rPr>
          <w:rFonts w:hint="eastAsia" w:ascii="黑体" w:hAnsi="黑体" w:eastAsia="黑体" w:cs="黑体"/>
          <w:sz w:val="32"/>
          <w:szCs w:val="32"/>
        </w:rPr>
      </w:pPr>
      <w:r>
        <w:rPr>
          <w:rFonts w:hint="eastAsia" w:ascii="黑体" w:hAnsi="黑体" w:eastAsia="黑体" w:cs="黑体"/>
          <w:sz w:val="32"/>
          <w:szCs w:val="32"/>
        </w:rPr>
        <w:t>部门职责</w:t>
      </w:r>
    </w:p>
    <w:p>
      <w:pPr>
        <w:ind w:firstLine="630" w:firstLineChars="300"/>
        <w:rPr>
          <w:rFonts w:hint="eastAsia" w:ascii="宋体" w:hAnsi="宋体" w:eastAsia="宋体" w:cs="宋体"/>
          <w:sz w:val="32"/>
          <w:szCs w:val="32"/>
          <w:lang w:val="en-US" w:eastAsia="zh-CN"/>
        </w:rPr>
      </w:pPr>
      <w:r>
        <w:rPr>
          <w:rFonts w:hint="eastAsia"/>
          <w:lang w:val="en-US" w:eastAsia="zh-CN"/>
        </w:rPr>
        <w:t>（</w:t>
      </w:r>
      <w:r>
        <w:rPr>
          <w:rFonts w:hint="eastAsia" w:ascii="宋体" w:hAnsi="宋体" w:eastAsia="宋体" w:cs="宋体"/>
          <w:sz w:val="32"/>
          <w:szCs w:val="32"/>
          <w:lang w:val="en-US" w:eastAsia="zh-CN"/>
        </w:rPr>
        <w:t>一）为群众提供中西医医疗、预防、保健、计划生育、康复等医疗卫生服务。</w:t>
      </w:r>
      <w:r>
        <w:rPr>
          <w:rFonts w:hint="eastAsia" w:ascii="宋体" w:hAnsi="宋体" w:eastAsia="宋体" w:cs="宋体"/>
          <w:sz w:val="32"/>
          <w:szCs w:val="32"/>
          <w:lang w:val="en-US" w:eastAsia="zh-CN"/>
        </w:rPr>
        <w:br w:type="textWrapping"/>
      </w:r>
      <w:r>
        <w:rPr>
          <w:rFonts w:hint="eastAsia" w:ascii="宋体" w:hAnsi="宋体" w:eastAsia="宋体" w:cs="宋体"/>
          <w:sz w:val="32"/>
          <w:szCs w:val="32"/>
          <w:lang w:val="en-US" w:eastAsia="zh-CN"/>
        </w:rPr>
        <w:t xml:space="preserve">   </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   （二）贯彻落实医药卫生体制改革、中西医并重方针和国家中医药法律法规，执行中医药政策；拟定实施中医药、民族医药和中西医结合发展战略、规划；指导全县各医疗机构发展中医药和中西医结合业务建设。</w:t>
      </w:r>
      <w:r>
        <w:rPr>
          <w:rFonts w:hint="eastAsia" w:ascii="宋体" w:hAnsi="宋体" w:eastAsia="宋体" w:cs="宋体"/>
          <w:sz w:val="32"/>
          <w:szCs w:val="32"/>
          <w:lang w:val="en-US" w:eastAsia="zh-CN"/>
        </w:rPr>
        <w:br w:type="textWrapping"/>
      </w:r>
      <w:r>
        <w:rPr>
          <w:rFonts w:hint="eastAsia" w:ascii="宋体" w:hAnsi="宋体" w:eastAsia="宋体" w:cs="宋体"/>
          <w:sz w:val="32"/>
          <w:szCs w:val="32"/>
          <w:lang w:val="en-US" w:eastAsia="zh-CN"/>
        </w:rPr>
        <w:t xml:space="preserve">  </w:t>
      </w:r>
    </w:p>
    <w:p>
      <w:pPr>
        <w:numPr>
          <w:ilvl w:val="0"/>
          <w:numId w:val="0"/>
        </w:num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  （三）确保全县人民中西医疗健康需求，建立与地方经济发展相适应的中西医结合医疗环境。加强医院标准化管理。</w:t>
      </w:r>
      <w:r>
        <w:rPr>
          <w:rFonts w:hint="eastAsia" w:ascii="宋体" w:hAnsi="宋体" w:eastAsia="宋体" w:cs="宋体"/>
          <w:sz w:val="32"/>
          <w:szCs w:val="32"/>
          <w:lang w:val="en-US" w:eastAsia="zh-CN"/>
        </w:rPr>
        <w:br w:type="textWrapping"/>
      </w:r>
      <w:r>
        <w:rPr>
          <w:rFonts w:hint="eastAsia" w:ascii="宋体" w:hAnsi="宋体" w:eastAsia="宋体" w:cs="宋体"/>
          <w:sz w:val="32"/>
          <w:szCs w:val="32"/>
          <w:lang w:val="en-US" w:eastAsia="zh-CN"/>
        </w:rPr>
        <w:t xml:space="preserve">  </w:t>
      </w:r>
    </w:p>
    <w:p>
      <w:pPr>
        <w:numPr>
          <w:ilvl w:val="0"/>
          <w:numId w:val="0"/>
        </w:num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  （四）贯彻落实国家基本药物制度和药品集中采购工作，执行医用耗材集中采购工作；负责医院内部的药品和医疗器械管理工作。承担意外灾害事故、疫情等突发公共卫生事件的医疗急救及社区预防、保健和康复医疗服务工作。承担体检工作，开展各种医疗保健卫生知识宣传。</w:t>
      </w:r>
      <w:r>
        <w:rPr>
          <w:rFonts w:hint="eastAsia" w:ascii="宋体" w:hAnsi="宋体" w:eastAsia="宋体" w:cs="宋体"/>
          <w:sz w:val="32"/>
          <w:szCs w:val="32"/>
          <w:lang w:val="en-US" w:eastAsia="zh-CN"/>
        </w:rPr>
        <w:br w:type="textWrapping"/>
      </w:r>
      <w:r>
        <w:rPr>
          <w:rFonts w:hint="eastAsia" w:ascii="宋体" w:hAnsi="宋体" w:eastAsia="宋体" w:cs="宋体"/>
          <w:sz w:val="32"/>
          <w:szCs w:val="32"/>
          <w:lang w:val="en-US" w:eastAsia="zh-CN"/>
        </w:rPr>
        <w:t xml:space="preserve"> </w:t>
      </w:r>
    </w:p>
    <w:p>
      <w:pPr>
        <w:numPr>
          <w:ilvl w:val="0"/>
          <w:numId w:val="0"/>
        </w:num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  （五）组织实施中西医药科学研究，推进医学科技成果转化和推广应用；承担中医药人才培养，中医药继续医学教育工作。</w:t>
      </w:r>
      <w:r>
        <w:rPr>
          <w:rFonts w:hint="eastAsia" w:ascii="宋体" w:hAnsi="宋体" w:eastAsia="宋体" w:cs="宋体"/>
          <w:sz w:val="32"/>
          <w:szCs w:val="32"/>
          <w:lang w:val="en-US" w:eastAsia="zh-CN"/>
        </w:rPr>
        <w:br w:type="textWrapping"/>
      </w:r>
      <w:r>
        <w:rPr>
          <w:rFonts w:hint="eastAsia" w:ascii="宋体" w:hAnsi="宋体" w:eastAsia="宋体" w:cs="宋体"/>
          <w:sz w:val="32"/>
          <w:szCs w:val="32"/>
          <w:lang w:val="en-US" w:eastAsia="zh-CN"/>
        </w:rPr>
        <w:t xml:space="preserve"> </w:t>
      </w:r>
    </w:p>
    <w:p>
      <w:pPr>
        <w:numPr>
          <w:ilvl w:val="0"/>
          <w:numId w:val="0"/>
        </w:num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  （六）做好城镇职工医疗保险、城乡居民合作医疗保险等定点医疗机构的各项工作。参与卫生扶贫、重要会议与重大活动的医疗卫生保障工作。承担上级部门及县卫生局交办的其他卫生工作。</w:t>
      </w: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p>
    <w:p>
      <w:pPr>
        <w:pStyle w:val="3"/>
        <w:keepNext w:val="0"/>
        <w:keepLines w:val="0"/>
        <w:widowControl/>
        <w:numPr>
          <w:ilvl w:val="0"/>
          <w:numId w:val="1"/>
        </w:numPr>
        <w:suppressLineNumbers w:val="0"/>
        <w:spacing w:before="180" w:beforeAutospacing="0" w:after="360" w:afterAutospacing="0" w:line="450" w:lineRule="atLeast"/>
        <w:ind w:left="0" w:leftChars="0" w:right="0" w:firstLine="0" w:firstLineChars="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机构设置及部门决算单位构成</w:t>
      </w:r>
    </w:p>
    <w:p>
      <w:pPr>
        <w:pStyle w:val="3"/>
        <w:keepNext w:val="0"/>
        <w:keepLines w:val="0"/>
        <w:widowControl/>
        <w:numPr>
          <w:ilvl w:val="0"/>
          <w:numId w:val="0"/>
        </w:numPr>
        <w:suppressLineNumbers w:val="0"/>
        <w:spacing w:before="180" w:beforeAutospacing="0" w:after="360" w:afterAutospacing="0" w:line="450" w:lineRule="atLeast"/>
        <w:ind w:leftChars="0" w:right="0" w:rightChars="0" w:firstLine="960" w:firstLineChars="300"/>
        <w:jc w:val="left"/>
        <w:rPr>
          <w:rFonts w:hint="eastAsia" w:asciiTheme="minorEastAsia" w:hAnsiTheme="minorEastAsia" w:eastAsiaTheme="minorEastAsia" w:cstheme="minorEastAsia"/>
          <w:sz w:val="28"/>
          <w:szCs w:val="28"/>
        </w:rPr>
      </w:pPr>
      <w:r>
        <w:rPr>
          <w:rFonts w:hint="eastAsia" w:ascii="宋体" w:hAnsi="宋体" w:eastAsia="宋体" w:cs="宋体"/>
          <w:color w:val="3D3D3D"/>
          <w:sz w:val="32"/>
          <w:szCs w:val="32"/>
          <w:lang w:eastAsia="zh-CN"/>
        </w:rPr>
        <w:t>绥滨县中医院</w:t>
      </w:r>
      <w:r>
        <w:rPr>
          <w:rFonts w:hint="eastAsia" w:ascii="宋体" w:hAnsi="宋体" w:eastAsia="宋体" w:cs="宋体"/>
          <w:sz w:val="32"/>
          <w:szCs w:val="32"/>
        </w:rPr>
        <w:t>内设</w:t>
      </w:r>
      <w:r>
        <w:rPr>
          <w:rFonts w:hint="eastAsia" w:ascii="宋体" w:hAnsi="宋体" w:eastAsia="宋体" w:cs="宋体"/>
          <w:sz w:val="32"/>
          <w:szCs w:val="32"/>
          <w:lang w:eastAsia="zh-CN"/>
        </w:rPr>
        <w:t>个科室</w:t>
      </w:r>
      <w:r>
        <w:rPr>
          <w:rFonts w:hint="eastAsia" w:ascii="宋体" w:hAnsi="宋体" w:eastAsia="宋体" w:cs="宋体"/>
          <w:sz w:val="32"/>
          <w:szCs w:val="32"/>
        </w:rPr>
        <w:t>，包括</w:t>
      </w:r>
      <w:r>
        <w:rPr>
          <w:rFonts w:hint="eastAsia" w:ascii="宋体" w:hAnsi="宋体" w:eastAsia="宋体" w:cs="宋体"/>
          <w:sz w:val="32"/>
          <w:szCs w:val="32"/>
          <w:lang w:eastAsia="zh-CN"/>
        </w:rPr>
        <w:t>：</w:t>
      </w:r>
      <w:r>
        <w:rPr>
          <w:rFonts w:hint="eastAsia" w:ascii="宋体" w:hAnsi="宋体" w:eastAsia="宋体" w:cs="宋体"/>
          <w:color w:val="3D3D3D"/>
          <w:sz w:val="32"/>
          <w:szCs w:val="32"/>
          <w:lang w:eastAsia="zh-CN"/>
        </w:rPr>
        <w:t>内科、外科、妇科产、儿科、肛肠科、眼科、口腔科，五官科，镶复科、中医科、治未病科、体检科、针灸科、理疗科、保健科、总务科、医务科、护理部、办公室、病案室、财务室等</w:t>
      </w:r>
      <w:r>
        <w:rPr>
          <w:rFonts w:hint="eastAsia" w:ascii="宋体" w:hAnsi="宋体" w:eastAsia="宋体" w:cs="宋体"/>
          <w:color w:val="3D3D3D"/>
          <w:sz w:val="32"/>
          <w:szCs w:val="32"/>
          <w:lang w:val="en-US" w:eastAsia="zh-CN"/>
        </w:rPr>
        <w:t>21个</w:t>
      </w:r>
      <w:r>
        <w:rPr>
          <w:rFonts w:hint="eastAsia" w:ascii="宋体" w:hAnsi="宋体" w:eastAsia="宋体" w:cs="宋体"/>
          <w:color w:val="3D3D3D"/>
          <w:sz w:val="32"/>
          <w:szCs w:val="32"/>
        </w:rPr>
        <w:t>科室。</w:t>
      </w:r>
    </w:p>
    <w:p>
      <w:pPr>
        <w:pStyle w:val="3"/>
        <w:keepNext w:val="0"/>
        <w:keepLines w:val="0"/>
        <w:widowControl/>
        <w:suppressLineNumbers w:val="0"/>
        <w:spacing w:before="180" w:beforeAutospacing="0" w:after="360" w:afterAutospacing="0" w:line="450" w:lineRule="atLeast"/>
        <w:ind w:right="0" w:firstLine="1120" w:firstLineChars="4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w:t>
      </w:r>
      <w:r>
        <w:rPr>
          <w:rFonts w:hint="eastAsia" w:asciiTheme="minorEastAsia" w:hAnsiTheme="minorEastAsia" w:cstheme="minorEastAsia"/>
          <w:color w:val="333333"/>
          <w:sz w:val="28"/>
          <w:szCs w:val="28"/>
          <w:lang w:eastAsia="zh-CN"/>
        </w:rPr>
        <w:t>事业单位</w:t>
      </w:r>
      <w:r>
        <w:rPr>
          <w:rFonts w:hint="eastAsia" w:asciiTheme="minorEastAsia" w:hAnsiTheme="minorEastAsia" w:eastAsiaTheme="minorEastAsia" w:cstheme="minorEastAsia"/>
          <w:color w:val="333333"/>
          <w:sz w:val="28"/>
          <w:szCs w:val="28"/>
        </w:rPr>
        <w:t>，内设</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3"/>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3"/>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事业编制</w:t>
      </w:r>
      <w:r>
        <w:rPr>
          <w:rFonts w:hint="eastAsia" w:asciiTheme="minorEastAsia" w:hAnsiTheme="minorEastAsia" w:cstheme="minorEastAsia"/>
          <w:color w:val="333333"/>
          <w:sz w:val="28"/>
          <w:szCs w:val="28"/>
          <w:lang w:val="en-US" w:eastAsia="zh-CN"/>
        </w:rPr>
        <w:t>148</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98</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50</w:t>
      </w:r>
      <w:r>
        <w:rPr>
          <w:rFonts w:hint="eastAsia" w:asciiTheme="minorEastAsia" w:hAnsiTheme="minorEastAsia" w:eastAsiaTheme="minorEastAsia" w:cstheme="minorEastAsia"/>
          <w:color w:val="333333"/>
          <w:sz w:val="28"/>
          <w:szCs w:val="28"/>
        </w:rPr>
        <w:t>人。</w:t>
      </w: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3218.5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3429.8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770.5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31</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979.8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39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3218.5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1082.6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33.6</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2135.8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66.4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3429.8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3007.2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87</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422.6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1082.6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19</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1290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0.03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1290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37</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0.03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1290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1202.7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6"/>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1290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1290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1202.7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1202.7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23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23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867.1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803.3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63.8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万元，占%；公务接待费支出决算</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3"/>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w:t>
      </w:r>
      <w:r>
        <w:rPr>
          <w:rFonts w:hint="eastAsia" w:asciiTheme="minorEastAsia" w:hAnsiTheme="minorEastAsia" w:cstheme="minorEastAsia"/>
          <w:color w:val="333333"/>
          <w:sz w:val="28"/>
          <w:szCs w:val="28"/>
          <w:lang w:eastAsia="zh-CN"/>
        </w:rPr>
        <w:t>。</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3"/>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辆，其他用车主要是办案用车；单位价值 50 万万元以上通用设备台</w:t>
      </w:r>
      <w:r>
        <w:rPr>
          <w:rFonts w:hint="eastAsia" w:asciiTheme="minorEastAsia" w:hAnsiTheme="minorEastAsia" w:cstheme="minorEastAsia"/>
          <w:color w:val="333333"/>
          <w:sz w:val="28"/>
          <w:szCs w:val="28"/>
          <w:lang w:val="en-US" w:eastAsia="zh-CN"/>
        </w:rPr>
        <w:t>1</w:t>
      </w:r>
      <w:bookmarkStart w:id="0" w:name="_GoBack"/>
      <w:bookmarkEnd w:id="0"/>
      <w:r>
        <w:rPr>
          <w:rFonts w:hint="eastAsia" w:asciiTheme="minorEastAsia" w:hAnsiTheme="minorEastAsia" w:eastAsiaTheme="minorEastAsia" w:cstheme="minorEastAsia"/>
          <w:color w:val="333333"/>
          <w:sz w:val="28"/>
          <w:szCs w:val="28"/>
        </w:rPr>
        <w:t>（套），单价100 万万元以上专用设备</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台（套）。</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3"/>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134146"/>
    <w:multiLevelType w:val="singleLevel"/>
    <w:tmpl w:val="A6134146"/>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03F6D98"/>
    <w:rsid w:val="179B676B"/>
    <w:rsid w:val="1A1F65C5"/>
    <w:rsid w:val="1CFB22BC"/>
    <w:rsid w:val="22396A11"/>
    <w:rsid w:val="260E34F8"/>
    <w:rsid w:val="2A054FEB"/>
    <w:rsid w:val="2DE7389C"/>
    <w:rsid w:val="3964752F"/>
    <w:rsid w:val="3DDC6AB6"/>
    <w:rsid w:val="3E7434E4"/>
    <w:rsid w:val="3F98625C"/>
    <w:rsid w:val="419008B3"/>
    <w:rsid w:val="51BE4B9F"/>
    <w:rsid w:val="577B7DCA"/>
    <w:rsid w:val="62763A6A"/>
    <w:rsid w:val="6AEE37EB"/>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260"/>
    </w:pPr>
    <w:rPr>
      <w:rFonts w:ascii="宋体" w:hAnsi="宋体" w:eastAsia="宋体" w:cs="宋体"/>
      <w:sz w:val="32"/>
      <w:szCs w:val="32"/>
      <w:lang w:val="zh-CN" w:eastAsia="zh-CN" w:bidi="zh-C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333333"/>
      <w:sz w:val="18"/>
      <w:szCs w:val="18"/>
      <w:u w:val="none"/>
    </w:rPr>
  </w:style>
  <w:style w:type="character" w:styleId="8">
    <w:name w:val="Emphasis"/>
    <w:basedOn w:val="5"/>
    <w:qFormat/>
    <w:uiPriority w:val="0"/>
    <w:rPr>
      <w:i/>
    </w:rPr>
  </w:style>
  <w:style w:type="character" w:styleId="9">
    <w:name w:val="Hyperlink"/>
    <w:basedOn w:val="5"/>
    <w:qFormat/>
    <w:uiPriority w:val="0"/>
    <w:rPr>
      <w:color w:val="333333"/>
      <w:sz w:val="18"/>
      <w:szCs w:val="18"/>
      <w:u w:val="none"/>
    </w:rPr>
  </w:style>
  <w:style w:type="character" w:customStyle="1" w:styleId="10">
    <w:name w:val="laiy"/>
    <w:basedOn w:val="5"/>
    <w:qFormat/>
    <w:uiPriority w:val="0"/>
  </w:style>
  <w:style w:type="character" w:customStyle="1" w:styleId="11">
    <w:name w:val="zuoz"/>
    <w:basedOn w:val="5"/>
    <w:qFormat/>
    <w:uiPriority w:val="0"/>
  </w:style>
  <w:style w:type="character" w:customStyle="1" w:styleId="12">
    <w:name w:val="update"/>
    <w:basedOn w:val="5"/>
    <w:qFormat/>
    <w:uiPriority w:val="0"/>
  </w:style>
  <w:style w:type="character" w:customStyle="1" w:styleId="13">
    <w:name w:val="hot1"/>
    <w:basedOn w:val="5"/>
    <w:qFormat/>
    <w:uiPriority w:val="0"/>
  </w:style>
  <w:style w:type="character" w:customStyle="1" w:styleId="14">
    <w:name w:val="td12"/>
    <w:basedOn w:val="5"/>
    <w:qFormat/>
    <w:uiPriority w:val="0"/>
    <w:rPr>
      <w:rFonts w:ascii="Arial" w:hAnsi="Arial" w:cs="Arial"/>
      <w:color w:val="FFFFFF"/>
      <w:sz w:val="16"/>
      <w:szCs w:val="16"/>
    </w:rPr>
  </w:style>
  <w:style w:type="character" w:customStyle="1" w:styleId="15">
    <w:name w:val="td22"/>
    <w:basedOn w:val="5"/>
    <w:qFormat/>
    <w:uiPriority w:val="0"/>
  </w:style>
  <w:style w:type="character" w:customStyle="1" w:styleId="16">
    <w:name w:val="td32"/>
    <w:basedOn w:val="5"/>
    <w:qFormat/>
    <w:uiPriority w:val="0"/>
  </w:style>
  <w:style w:type="character" w:customStyle="1" w:styleId="17">
    <w:name w:val="home"/>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2020-10-15T01:32:10Z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