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1" w:leftChars="-123" w:hanging="259" w:hangingChars="92"/>
        <w:jc w:val="center"/>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cstheme="minorEastAsia"/>
          <w:b/>
          <w:color w:val="333333"/>
          <w:sz w:val="28"/>
          <w:szCs w:val="28"/>
        </w:rPr>
        <w:t>年度 外贸公司决算文字说明</w:t>
      </w:r>
    </w:p>
    <w:p>
      <w:pPr>
        <w:pStyle w:val="2"/>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2"/>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    一、主要职能</w:t>
      </w:r>
    </w:p>
    <w:p>
      <w:pPr>
        <w:ind w:firstLine="560" w:firstLineChars="200"/>
        <w:rPr>
          <w:rFonts w:ascii="Adobe 宋体 Std L" w:hAnsi="Adobe 宋体 Std L" w:eastAsia="Adobe 宋体 Std L" w:cs="仿宋_GB2312"/>
          <w:kern w:val="0"/>
          <w:sz w:val="32"/>
          <w:szCs w:val="32"/>
        </w:rPr>
      </w:pPr>
      <w:r>
        <w:rPr>
          <w:rFonts w:hint="eastAsia" w:asciiTheme="minorEastAsia" w:hAnsiTheme="minorEastAsia" w:cstheme="minorEastAsia"/>
          <w:color w:val="333333"/>
          <w:sz w:val="28"/>
          <w:szCs w:val="28"/>
          <w:shd w:val="clear" w:color="auto" w:fill="FFFFFF"/>
        </w:rPr>
        <w:t>  （一）</w:t>
      </w:r>
      <w:r>
        <w:rPr>
          <w:rFonts w:hint="eastAsia" w:ascii="Adobe 宋体 Std L" w:hAnsi="Adobe 宋体 Std L" w:eastAsia="Adobe 宋体 Std L" w:cs="仿宋_GB2312"/>
          <w:kern w:val="0"/>
          <w:sz w:val="32"/>
          <w:szCs w:val="32"/>
        </w:rPr>
        <w:t>负责全县对外经贸政策措施与法律、法规、有关政策及国际条约、协定之间的衔接对应工作；</w:t>
      </w:r>
    </w:p>
    <w:p>
      <w:pPr>
        <w:pStyle w:val="2"/>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shd w:val="clear" w:color="auto" w:fill="FFFFFF"/>
        </w:rPr>
        <w:t xml:space="preserve">    （二） </w:t>
      </w:r>
      <w:r>
        <w:rPr>
          <w:rFonts w:hint="eastAsia" w:ascii="Adobe 宋体 Std L" w:hAnsi="Adobe 宋体 Std L" w:eastAsia="Adobe 宋体 Std L" w:cs="仿宋_GB2312"/>
          <w:sz w:val="32"/>
          <w:szCs w:val="32"/>
        </w:rPr>
        <w:t>拟订和组织实施全县外贸进出口中长期规划及发展战略，调查分析国际经贸形势和我县外贸整体运行状况及走势，提出宏观调控建议，制订并实施外贸发展年度计划</w:t>
      </w:r>
      <w:r>
        <w:rPr>
          <w:rFonts w:hint="eastAsia" w:asciiTheme="minorEastAsia" w:hAnsiTheme="minorEastAsia" w:cstheme="minorEastAsia"/>
          <w:color w:val="333333"/>
          <w:sz w:val="28"/>
          <w:szCs w:val="28"/>
          <w:shd w:val="clear" w:color="auto" w:fill="FFFFFF"/>
        </w:rPr>
        <w:t>；</w:t>
      </w:r>
      <w:r>
        <w:rPr>
          <w:rFonts w:hint="eastAsia" w:asciiTheme="minorEastAsia" w:hAnsiTheme="minorEastAsia" w:cstheme="minorEastAsia"/>
          <w:color w:val="333333"/>
          <w:sz w:val="28"/>
          <w:szCs w:val="28"/>
          <w:shd w:val="clear" w:color="auto" w:fill="FFFFFF"/>
        </w:rPr>
        <w:br w:type="textWrapping"/>
      </w:r>
      <w:r>
        <w:rPr>
          <w:rFonts w:hint="eastAsia" w:asciiTheme="minorEastAsia" w:hAnsiTheme="minorEastAsia" w:cstheme="minorEastAsia"/>
          <w:color w:val="333333"/>
          <w:sz w:val="28"/>
          <w:szCs w:val="28"/>
          <w:shd w:val="clear" w:color="auto" w:fill="FFFFFF"/>
        </w:rPr>
        <w:t xml:space="preserve">    （三） </w:t>
      </w:r>
      <w:r>
        <w:rPr>
          <w:rFonts w:hint="eastAsia" w:ascii="Adobe 宋体 Std L" w:hAnsi="Adobe 宋体 Std L" w:eastAsia="Adobe 宋体 Std L" w:cs="仿宋_GB2312"/>
          <w:sz w:val="32"/>
          <w:szCs w:val="32"/>
        </w:rPr>
        <w:t>研究和推广各种新贸易方式</w:t>
      </w:r>
      <w:r>
        <w:rPr>
          <w:rFonts w:hint="eastAsia" w:asciiTheme="minorEastAsia" w:hAnsiTheme="minorEastAsia" w:cstheme="minorEastAsia"/>
          <w:color w:val="333333"/>
          <w:sz w:val="28"/>
          <w:szCs w:val="28"/>
          <w:shd w:val="clear" w:color="auto" w:fill="FFFFFF"/>
        </w:rPr>
        <w:t>；</w:t>
      </w:r>
    </w:p>
    <w:p>
      <w:pPr>
        <w:pStyle w:val="2"/>
        <w:widowControl/>
        <w:shd w:val="clear" w:color="auto" w:fill="FFFFFF"/>
        <w:spacing w:before="180" w:beforeAutospacing="0" w:after="360" w:afterAutospacing="0" w:line="360" w:lineRule="atLeast"/>
        <w:ind w:firstLine="560" w:firstLineChars="200"/>
        <w:rPr>
          <w:rFonts w:asciiTheme="minorEastAsia" w:hAnsiTheme="minorEastAsia" w:cstheme="minorEastAsia"/>
          <w:color w:val="333333"/>
          <w:sz w:val="28"/>
          <w:szCs w:val="28"/>
          <w:shd w:val="clear" w:color="auto" w:fill="FFFFFF"/>
        </w:rPr>
      </w:pPr>
      <w:r>
        <w:rPr>
          <w:rFonts w:hint="eastAsia" w:asciiTheme="minorEastAsia" w:hAnsiTheme="minorEastAsia" w:cstheme="minorEastAsia"/>
          <w:color w:val="333333"/>
          <w:sz w:val="28"/>
          <w:szCs w:val="28"/>
          <w:shd w:val="clear" w:color="auto" w:fill="FFFFFF"/>
        </w:rPr>
        <w:t>（四） </w:t>
      </w:r>
      <w:r>
        <w:rPr>
          <w:rFonts w:hint="eastAsia" w:ascii="Adobe 宋体 Std L" w:hAnsi="Adobe 宋体 Std L" w:eastAsia="Adobe 宋体 Std L" w:cs="仿宋_GB2312"/>
          <w:sz w:val="32"/>
          <w:szCs w:val="32"/>
        </w:rPr>
        <w:t>负责申报、协调、管理进出口许可证和各类配额</w:t>
      </w:r>
      <w:r>
        <w:rPr>
          <w:rFonts w:hint="eastAsia" w:asciiTheme="minorEastAsia" w:hAnsiTheme="minorEastAsia" w:cstheme="minorEastAsia"/>
          <w:color w:val="333333"/>
          <w:sz w:val="28"/>
          <w:szCs w:val="28"/>
          <w:shd w:val="clear" w:color="auto" w:fill="FFFFFF"/>
        </w:rPr>
        <w:t>。 </w:t>
      </w:r>
    </w:p>
    <w:p>
      <w:pPr>
        <w:pStyle w:val="2"/>
        <w:widowControl/>
        <w:shd w:val="clear" w:color="auto" w:fill="FFFFFF"/>
        <w:spacing w:before="180" w:beforeAutospacing="0" w:after="360" w:afterAutospacing="0" w:line="360" w:lineRule="atLeast"/>
        <w:ind w:firstLine="560" w:firstLineChars="200"/>
        <w:rPr>
          <w:rFonts w:asciiTheme="minorEastAsia" w:hAnsiTheme="minorEastAsia" w:cstheme="minorEastAsia"/>
          <w:color w:val="333333"/>
          <w:sz w:val="28"/>
          <w:szCs w:val="28"/>
          <w:shd w:val="clear" w:color="auto" w:fill="FFFFFF"/>
        </w:rPr>
      </w:pPr>
      <w:r>
        <w:rPr>
          <w:rFonts w:hint="eastAsia" w:asciiTheme="minorEastAsia" w:hAnsiTheme="minorEastAsia" w:cstheme="minorEastAsia"/>
          <w:color w:val="333333"/>
          <w:sz w:val="28"/>
          <w:szCs w:val="28"/>
          <w:shd w:val="clear" w:color="auto" w:fill="FFFFFF"/>
        </w:rPr>
        <w:t>（五）</w:t>
      </w:r>
      <w:r>
        <w:rPr>
          <w:rFonts w:hint="eastAsia" w:ascii="Adobe 宋体 Std L" w:hAnsi="Adobe 宋体 Std L" w:eastAsia="Adobe 宋体 Std L" w:cs="仿宋_GB2312"/>
          <w:sz w:val="32"/>
          <w:szCs w:val="32"/>
        </w:rPr>
        <w:t>承办县政府交办的其他事项</w:t>
      </w:r>
    </w:p>
    <w:p>
      <w:pPr>
        <w:pStyle w:val="2"/>
        <w:widowControl/>
        <w:shd w:val="clear" w:color="auto" w:fill="FFFFFF"/>
        <w:spacing w:before="180" w:beforeAutospacing="0" w:after="360" w:afterAutospacing="0" w:line="36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二、机构设置及部门决算单位构成</w:t>
      </w:r>
    </w:p>
    <w:p>
      <w:pPr>
        <w:pStyle w:val="2"/>
        <w:widowControl/>
        <w:spacing w:before="180" w:beforeAutospacing="0" w:after="360" w:afterAutospacing="0" w:line="450" w:lineRule="atLeast"/>
        <w:ind w:firstLine="1124" w:firstLineChars="400"/>
        <w:rPr>
          <w:rFonts w:asciiTheme="minorEastAsia" w:hAnsiTheme="minorEastAsia" w:cstheme="minorEastAsia"/>
          <w:sz w:val="28"/>
          <w:szCs w:val="28"/>
        </w:rPr>
      </w:pPr>
      <w:r>
        <w:rPr>
          <w:rFonts w:hint="eastAsia" w:asciiTheme="minorEastAsia" w:hAnsiTheme="minorEastAsia" w:cstheme="minorEastAsia"/>
          <w:b/>
          <w:color w:val="333333"/>
          <w:sz w:val="28"/>
          <w:szCs w:val="28"/>
        </w:rPr>
        <w:t>外贸公司</w:t>
      </w:r>
      <w:r>
        <w:rPr>
          <w:rFonts w:hint="eastAsia" w:asciiTheme="minorEastAsia" w:hAnsiTheme="minorEastAsia" w:cstheme="minorEastAsia"/>
          <w:color w:val="333333"/>
          <w:sz w:val="28"/>
          <w:szCs w:val="28"/>
        </w:rPr>
        <w:t>为全额行政单位，内设1个内设机构，为一级预算单位。</w:t>
      </w:r>
    </w:p>
    <w:p>
      <w:pPr>
        <w:pStyle w:val="2"/>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三、人员构成</w:t>
      </w:r>
    </w:p>
    <w:p>
      <w:pPr>
        <w:pStyle w:val="2"/>
        <w:widowControl/>
        <w:spacing w:before="180" w:beforeAutospacing="0" w:after="360" w:afterAutospacing="0" w:line="450" w:lineRule="atLeast"/>
        <w:ind w:left="458"/>
        <w:rPr>
          <w:rFonts w:asciiTheme="minorEastAsia" w:hAnsiTheme="minorEastAsia" w:cstheme="minorEastAsia"/>
          <w:sz w:val="28"/>
          <w:szCs w:val="28"/>
        </w:rPr>
      </w:pPr>
      <w:r>
        <w:rPr>
          <w:rFonts w:hint="eastAsia" w:asciiTheme="minorEastAsia" w:hAnsiTheme="minorEastAsia" w:cstheme="minorEastAsia"/>
          <w:color w:val="333333"/>
          <w:sz w:val="28"/>
          <w:szCs w:val="28"/>
        </w:rPr>
        <w:t>    行政单位编制数 1个，其中行政编制 0 ，在职 0 人，退休 1 人，离休 0人；事业编制 1 个，在职 0 人，退休 0 人。</w:t>
      </w:r>
    </w:p>
    <w:p>
      <w:pPr>
        <w:pStyle w:val="2"/>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492" w:beforeAutospacing="0" w:after="672" w:afterAutospacing="0" w:line="450" w:lineRule="atLeas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cstheme="minorEastAsia"/>
          <w:b/>
          <w:color w:val="333333"/>
          <w:sz w:val="28"/>
          <w:szCs w:val="28"/>
        </w:rPr>
        <w:t>年度部门决算情况说明</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年度收入支出决算总体情况说明</w:t>
      </w:r>
    </w:p>
    <w:p>
      <w:pPr>
        <w:pStyle w:val="2"/>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年度收入总计</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万元，支出总计</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万元，与上年相比，收入总计增加</w:t>
      </w:r>
      <w:r>
        <w:rPr>
          <w:rFonts w:hint="eastAsia" w:asciiTheme="minorEastAsia" w:hAnsiTheme="minorEastAsia" w:cstheme="minorEastAsia"/>
          <w:color w:val="373737"/>
          <w:sz w:val="28"/>
          <w:szCs w:val="28"/>
          <w:shd w:val="clear" w:color="auto" w:fill="FFFFFF"/>
          <w:lang w:val="en-US" w:eastAsia="zh-CN"/>
        </w:rPr>
        <w:t>8.71</w:t>
      </w:r>
      <w:r>
        <w:rPr>
          <w:rFonts w:hint="eastAsia" w:asciiTheme="minorEastAsia" w:hAnsiTheme="minorEastAsia" w:cstheme="minorEastAsia"/>
          <w:color w:val="373737"/>
          <w:sz w:val="28"/>
          <w:szCs w:val="28"/>
          <w:shd w:val="clear" w:color="auto" w:fill="FFFFFF"/>
        </w:rPr>
        <w:t>万元，增长</w:t>
      </w:r>
      <w:r>
        <w:rPr>
          <w:rFonts w:hint="eastAsia" w:asciiTheme="minorEastAsia" w:hAnsiTheme="minorEastAsia" w:cstheme="minorEastAsia"/>
          <w:color w:val="373737"/>
          <w:sz w:val="28"/>
          <w:szCs w:val="28"/>
          <w:shd w:val="clear" w:color="auto" w:fill="FFFFFF"/>
          <w:lang w:val="en-US" w:eastAsia="zh-CN"/>
        </w:rPr>
        <w:t>62</w:t>
      </w:r>
      <w:r>
        <w:rPr>
          <w:rFonts w:hint="eastAsia" w:asciiTheme="minorEastAsia" w:hAnsiTheme="minorEastAsia" w:cstheme="minorEastAsia"/>
          <w:color w:val="373737"/>
          <w:sz w:val="28"/>
          <w:szCs w:val="28"/>
          <w:shd w:val="clear" w:color="auto" w:fill="FFFFFF"/>
        </w:rPr>
        <w:t>%；支出总计增加</w:t>
      </w:r>
      <w:r>
        <w:rPr>
          <w:rFonts w:hint="eastAsia" w:asciiTheme="minorEastAsia" w:hAnsiTheme="minorEastAsia" w:cstheme="minorEastAsia"/>
          <w:color w:val="373737"/>
          <w:sz w:val="28"/>
          <w:szCs w:val="28"/>
          <w:shd w:val="clear" w:color="auto" w:fill="FFFFFF"/>
          <w:lang w:val="en-US" w:eastAsia="zh-CN"/>
        </w:rPr>
        <w:t>8.71</w:t>
      </w:r>
      <w:r>
        <w:rPr>
          <w:rFonts w:hint="eastAsia" w:asciiTheme="minorEastAsia" w:hAnsiTheme="minorEastAsia" w:cstheme="minorEastAsia"/>
          <w:color w:val="373737"/>
          <w:sz w:val="28"/>
          <w:szCs w:val="28"/>
          <w:shd w:val="clear" w:color="auto" w:fill="FFFFFF"/>
        </w:rPr>
        <w:t>万元，增长33%。</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 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年度收入决算情况说明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万元，其中：财政拨款收入</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万元，占100%；其他收入0万元，占 0 %。</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万元，其中：基本支出</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万元，占100%；项目支出0万元，占0%；</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四、201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年度财政拨款收入</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万元，与上年相比，增加</w:t>
      </w:r>
      <w:r>
        <w:rPr>
          <w:rFonts w:hint="eastAsia" w:asciiTheme="minorEastAsia" w:hAnsiTheme="minorEastAsia" w:cstheme="minorEastAsia"/>
          <w:color w:val="373737"/>
          <w:sz w:val="28"/>
          <w:szCs w:val="28"/>
          <w:shd w:val="clear" w:color="auto" w:fill="FFFFFF"/>
          <w:lang w:val="en-US" w:eastAsia="zh-CN"/>
        </w:rPr>
        <w:t>8.71</w:t>
      </w:r>
      <w:r>
        <w:rPr>
          <w:rFonts w:hint="eastAsia" w:asciiTheme="minorEastAsia" w:hAnsiTheme="minorEastAsia" w:cstheme="minorEastAsia"/>
          <w:color w:val="373737"/>
          <w:sz w:val="28"/>
          <w:szCs w:val="28"/>
          <w:shd w:val="clear" w:color="auto" w:fill="FFFFFF"/>
        </w:rPr>
        <w:t>万元，增长</w:t>
      </w:r>
      <w:r>
        <w:rPr>
          <w:rFonts w:hint="eastAsia" w:asciiTheme="minorEastAsia" w:hAnsiTheme="minorEastAsia" w:cstheme="minorEastAsia"/>
          <w:color w:val="373737"/>
          <w:sz w:val="28"/>
          <w:szCs w:val="28"/>
          <w:shd w:val="clear" w:color="auto" w:fill="FFFFFF"/>
          <w:lang w:val="en-US" w:eastAsia="zh-CN"/>
        </w:rPr>
        <w:t>62</w:t>
      </w:r>
      <w:r>
        <w:rPr>
          <w:rFonts w:hint="eastAsia" w:asciiTheme="minorEastAsia" w:hAnsiTheme="minorEastAsia" w:cstheme="minorEastAsia"/>
          <w:color w:val="373737"/>
          <w:sz w:val="28"/>
          <w:szCs w:val="28"/>
          <w:shd w:val="clear" w:color="auto" w:fill="FFFFFF"/>
        </w:rPr>
        <w:t>%；2018年度财政拨款支出</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万元，与上年相比，增加</w:t>
      </w:r>
      <w:r>
        <w:rPr>
          <w:rFonts w:hint="eastAsia" w:asciiTheme="minorEastAsia" w:hAnsiTheme="minorEastAsia" w:cstheme="minorEastAsia"/>
          <w:color w:val="373737"/>
          <w:sz w:val="28"/>
          <w:szCs w:val="28"/>
          <w:shd w:val="clear" w:color="auto" w:fill="FFFFFF"/>
          <w:lang w:val="en-US" w:eastAsia="zh-CN"/>
        </w:rPr>
        <w:t>8.71</w:t>
      </w:r>
      <w:r>
        <w:rPr>
          <w:rFonts w:hint="eastAsia" w:asciiTheme="minorEastAsia" w:hAnsiTheme="minorEastAsia" w:cstheme="minorEastAsia"/>
          <w:color w:val="373737"/>
          <w:sz w:val="28"/>
          <w:szCs w:val="28"/>
          <w:shd w:val="clear" w:color="auto" w:fill="FFFFFF"/>
        </w:rPr>
        <w:t>万元，增长</w:t>
      </w:r>
      <w:r>
        <w:rPr>
          <w:rFonts w:hint="eastAsia" w:asciiTheme="minorEastAsia" w:hAnsiTheme="minorEastAsia" w:cstheme="minorEastAsia"/>
          <w:color w:val="373737"/>
          <w:sz w:val="28"/>
          <w:szCs w:val="28"/>
          <w:shd w:val="clear" w:color="auto" w:fill="FFFFFF"/>
          <w:lang w:val="en-US" w:eastAsia="zh-CN"/>
        </w:rPr>
        <w:t>45</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五、201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年度一般公共预算财政拨款支出决算情况说明</w:t>
      </w:r>
    </w:p>
    <w:p>
      <w:pPr>
        <w:pStyle w:val="2"/>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年度财政拨款支出</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 xml:space="preserve">万元，占本年支出合计的100%。与上年相比，财政拨款支出增加 </w:t>
      </w:r>
      <w:r>
        <w:rPr>
          <w:rFonts w:hint="eastAsia" w:asciiTheme="minorEastAsia" w:hAnsiTheme="minorEastAsia" w:cstheme="minorEastAsia"/>
          <w:color w:val="373737"/>
          <w:sz w:val="28"/>
          <w:szCs w:val="28"/>
          <w:shd w:val="clear" w:color="auto" w:fill="FFFFFF"/>
          <w:lang w:val="en-US" w:eastAsia="zh-CN"/>
        </w:rPr>
        <w:t>8.71</w:t>
      </w:r>
      <w:r>
        <w:rPr>
          <w:rFonts w:hint="eastAsia" w:asciiTheme="minorEastAsia" w:hAnsiTheme="minorEastAsia" w:cstheme="minorEastAsia"/>
          <w:color w:val="373737"/>
          <w:sz w:val="28"/>
          <w:szCs w:val="28"/>
          <w:shd w:val="clear" w:color="auto" w:fill="FFFFFF"/>
        </w:rPr>
        <w:t>万元，增长</w:t>
      </w:r>
      <w:r>
        <w:rPr>
          <w:rFonts w:hint="eastAsia" w:asciiTheme="minorEastAsia" w:hAnsiTheme="minorEastAsia" w:cstheme="minorEastAsia"/>
          <w:color w:val="373737"/>
          <w:sz w:val="28"/>
          <w:szCs w:val="28"/>
          <w:shd w:val="clear" w:color="auto" w:fill="FFFFFF"/>
          <w:lang w:val="en-US" w:eastAsia="zh-CN"/>
        </w:rPr>
        <w:t>62</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年度财政拨款支出</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万元，主要用于以下方面：</w:t>
      </w:r>
      <w:r>
        <w:rPr>
          <w:rStyle w:val="5"/>
          <w:rFonts w:hint="eastAsia" w:asciiTheme="minorEastAsia" w:hAnsiTheme="minorEastAsia" w:cstheme="minorEastAsia"/>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支出6.87万元，占45.38%；</w:t>
      </w:r>
      <w:r>
        <w:rPr>
          <w:rStyle w:val="5"/>
          <w:rFonts w:hint="eastAsia" w:asciiTheme="minorEastAsia" w:hAnsiTheme="minorEastAsia" w:cstheme="minorEastAsia"/>
          <w:color w:val="373737"/>
          <w:sz w:val="28"/>
          <w:szCs w:val="28"/>
          <w:shd w:val="clear" w:color="auto" w:fill="FFFFFF"/>
        </w:rPr>
        <w:t>医疗卫生</w:t>
      </w:r>
      <w:bookmarkStart w:id="0" w:name="_GoBack"/>
      <w:bookmarkEnd w:id="0"/>
      <w:r>
        <w:rPr>
          <w:rStyle w:val="5"/>
          <w:rFonts w:hint="eastAsia" w:asciiTheme="minorEastAsia" w:hAnsiTheme="minorEastAsia" w:cstheme="minorEastAsia"/>
          <w:color w:val="373737"/>
          <w:sz w:val="28"/>
          <w:szCs w:val="28"/>
          <w:shd w:val="clear" w:color="auto" w:fill="FFFFFF"/>
        </w:rPr>
        <w:t>与计划生育（类）</w:t>
      </w:r>
      <w:r>
        <w:rPr>
          <w:rFonts w:hint="eastAsia" w:asciiTheme="minorEastAsia" w:hAnsiTheme="minorEastAsia" w:cstheme="minorEastAsia"/>
          <w:color w:val="373737"/>
          <w:sz w:val="28"/>
          <w:szCs w:val="28"/>
          <w:shd w:val="clear" w:color="auto" w:fill="FFFFFF"/>
        </w:rPr>
        <w:t>支出 0 万元，占 0 %；</w:t>
      </w:r>
      <w:r>
        <w:rPr>
          <w:rStyle w:val="5"/>
          <w:rFonts w:hint="eastAsia" w:asciiTheme="minorEastAsia" w:hAnsiTheme="minorEastAsia" w:cstheme="minorEastAsia"/>
          <w:color w:val="373737"/>
          <w:sz w:val="28"/>
          <w:szCs w:val="28"/>
          <w:shd w:val="clear" w:color="auto" w:fill="FFFFFF"/>
        </w:rPr>
        <w:t>农林水（类）</w:t>
      </w:r>
      <w:r>
        <w:rPr>
          <w:rFonts w:hint="eastAsia" w:asciiTheme="minorEastAsia" w:hAnsiTheme="minorEastAsia" w:cstheme="minorEastAsia"/>
          <w:color w:val="373737"/>
          <w:sz w:val="28"/>
          <w:szCs w:val="28"/>
          <w:shd w:val="clear" w:color="auto" w:fill="FFFFFF"/>
        </w:rPr>
        <w:t>支出 0 万元，占 0 %；</w:t>
      </w:r>
      <w:r>
        <w:rPr>
          <w:rStyle w:val="5"/>
          <w:rFonts w:hint="eastAsia" w:asciiTheme="minorEastAsia" w:hAnsiTheme="minorEastAsia" w:cstheme="minorEastAsia"/>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支出 0万元，占0 %。（根据单位实际科目）</w:t>
      </w:r>
    </w:p>
    <w:p>
      <w:pPr>
        <w:pStyle w:val="2"/>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（三）财政拨款支出决算具体情况。（根据单位实际科目）</w:t>
      </w:r>
    </w:p>
    <w:p>
      <w:pPr>
        <w:pStyle w:val="2"/>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 xml:space="preserve">年度财政拨款支出年初预算为6.24万元，支出决算为  </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万元，完成年初预算的242%。决算数大于预算数的主要原因：一是201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年在职、离退休职工工资增长了和由于工资的增长相应的医疗保险、住房公积金、住房提租补贴相应的缴交比例也随之增加，所以决算数大于预算数；二是2017年增加了行政管理事务等项目资金。其中：</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5.88</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w:t>
      </w:r>
      <w:r>
        <w:rPr>
          <w:rStyle w:val="5"/>
          <w:rFonts w:hint="eastAsia" w:asciiTheme="minorEastAsia" w:hAnsiTheme="minorEastAsia" w:cstheme="minorEastAsia"/>
          <w:color w:val="373737"/>
          <w:sz w:val="28"/>
          <w:szCs w:val="28"/>
          <w:shd w:val="clear" w:color="auto" w:fill="FFFFFF"/>
          <w:lang w:val="en-US" w:eastAsia="zh-CN"/>
        </w:rPr>
        <w:t>8.2</w:t>
      </w:r>
      <w:r>
        <w:rPr>
          <w:rFonts w:hint="eastAsia" w:asciiTheme="minorEastAsia" w:hAnsiTheme="minorEastAsia" w:cstheme="minorEastAsia"/>
          <w:color w:val="373737"/>
          <w:sz w:val="28"/>
          <w:szCs w:val="28"/>
          <w:shd w:val="clear" w:color="auto" w:fill="FFFFFF"/>
        </w:rPr>
        <w:t>万元，完成年初预算的 117 %。决算数大于预算数的主要原因是2018年离退休职工工资增长了。</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 医疗卫生和计划生育（类）医疗保障（款）行政单位医疗（项）。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万元，完成年初预算的</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 农林水（类）农业（款）行政运行（项）。</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万元，完成年初预算的</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4. 住房保障（类）住房改革支出（款）住房公积金（项）。</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 0 万元，支出决算为 0 万元，完成年初预算的  0 %。</w:t>
      </w:r>
    </w:p>
    <w:p>
      <w:pPr>
        <w:pStyle w:val="2"/>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pPr>
        <w:pStyle w:val="2"/>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六、201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年度一般公共预算财政拨款基本支出决算情况说明。</w:t>
      </w:r>
    </w:p>
    <w:p>
      <w:pPr>
        <w:pStyle w:val="2"/>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年度财政拨款基本支出</w:t>
      </w:r>
      <w:r>
        <w:rPr>
          <w:rFonts w:hint="eastAsia" w:asciiTheme="minorEastAsia" w:hAnsiTheme="minorEastAsia" w:cstheme="minorEastAsia"/>
          <w:color w:val="373737"/>
          <w:sz w:val="28"/>
          <w:szCs w:val="28"/>
          <w:shd w:val="clear" w:color="auto" w:fill="FFFFFF"/>
          <w:lang w:val="en-US" w:eastAsia="zh-CN"/>
        </w:rPr>
        <w:t>23.85</w:t>
      </w:r>
      <w:r>
        <w:rPr>
          <w:rFonts w:hint="eastAsia" w:asciiTheme="minorEastAsia" w:hAnsiTheme="minorEastAsia" w:cstheme="minorEastAsia"/>
          <w:color w:val="373737"/>
          <w:sz w:val="28"/>
          <w:szCs w:val="28"/>
          <w:shd w:val="clear" w:color="auto" w:fill="FFFFFF"/>
        </w:rPr>
        <w:t>万元，其中：人员经费14.84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color w:val="373737"/>
          <w:sz w:val="28"/>
          <w:szCs w:val="28"/>
          <w:shd w:val="clear" w:color="auto" w:fill="FFFFFF"/>
        </w:rPr>
        <w:t>0.3</w:t>
      </w:r>
      <w:r>
        <w:rPr>
          <w:rFonts w:hint="eastAsia" w:asciiTheme="minorEastAsia" w:hAnsiTheme="minorEastAsia" w:cstheme="minor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七、201</w:t>
      </w:r>
      <w:r>
        <w:rPr>
          <w:rStyle w:val="5"/>
          <w:rFonts w:hint="eastAsia" w:asciiTheme="minorEastAsia" w:hAnsiTheme="minorEastAsia" w:cstheme="minorEastAsia"/>
          <w:color w:val="373737"/>
          <w:sz w:val="28"/>
          <w:szCs w:val="28"/>
          <w:shd w:val="clear" w:color="auto" w:fill="FFFFFF"/>
          <w:lang w:val="en-US" w:eastAsia="zh-CN"/>
        </w:rPr>
        <w:t>9</w:t>
      </w:r>
      <w:r>
        <w:rPr>
          <w:rStyle w:val="5"/>
          <w:rFonts w:hint="eastAsia" w:asciiTheme="minorEastAsia" w:hAnsiTheme="minorEastAsia" w:cstheme="minorEastAsia"/>
          <w:color w:val="373737"/>
          <w:sz w:val="28"/>
          <w:szCs w:val="28"/>
          <w:shd w:val="clear" w:color="auto" w:fill="FFFFFF"/>
        </w:rPr>
        <w:t>年度一般公共预算财政拨款“三公”经费支出决算情况说明</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（一）“三公”经费财政拨款支出决算总体情况说明。</w:t>
      </w:r>
    </w:p>
    <w:p>
      <w:pPr>
        <w:pStyle w:val="2"/>
        <w:widowControl/>
        <w:shd w:val="clear" w:color="auto" w:fill="FFFFFF"/>
        <w:spacing w:beforeAutospacing="0" w:after="225" w:afterAutospacing="0"/>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年度“三公”经费财政拨款支出预算为</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万元，支出决算为</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万元，完成预算的</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%，其中：因公出国（境）费支出决算为</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万元，完成预算的</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%；公务用车购置及运行费支出决算为</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万元，完成预算的%；公务接待费支出决算为</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万元，完成预算的%。2018年度“三公”经费支出决算数与预算数持平。</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年度“三公”经费财政拨款支出决算数比上年增减少 万元，减少%，公务用车购置及运行费支出决算0万元，减少 %，原因为：部门严格执行三公经费缩减，车改后车辆上交；公务接待费支出决算0万元，增长%，原因为：严格按照上级标准，缩减公务接待开支。</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w:t>
      </w:r>
      <w:r>
        <w:rPr>
          <w:rFonts w:hint="eastAsia" w:asciiTheme="minorEastAsia" w:hAnsiTheme="minorEastAsia" w:cstheme="minorEastAsia"/>
          <w:color w:val="373737"/>
          <w:sz w:val="28"/>
          <w:szCs w:val="28"/>
          <w:shd w:val="clear" w:color="auto" w:fill="FFFFFF"/>
          <w:lang w:val="en-US" w:eastAsia="zh-CN"/>
        </w:rPr>
        <w:t>9</w:t>
      </w:r>
      <w:r>
        <w:rPr>
          <w:rFonts w:hint="eastAsia" w:asciiTheme="minorEastAsia" w:hAnsiTheme="minorEastAsia" w:cstheme="minorEastAsia"/>
          <w:color w:val="373737"/>
          <w:sz w:val="28"/>
          <w:szCs w:val="28"/>
          <w:shd w:val="clear" w:color="auto" w:fill="FFFFFF"/>
        </w:rPr>
        <w:t>年度“三公”经费财政拨款支出决算中，因公出国（境）费支出决算</w:t>
      </w:r>
      <w:r>
        <w:rPr>
          <w:rStyle w:val="5"/>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万元，占</w:t>
      </w:r>
      <w:r>
        <w:rPr>
          <w:rStyle w:val="5"/>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万元，占%；公务接待费支出决算</w:t>
      </w:r>
      <w:r>
        <w:rPr>
          <w:rStyle w:val="5"/>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万元，占%。</w:t>
      </w:r>
    </w:p>
    <w:p>
      <w:pPr>
        <w:pStyle w:val="2"/>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w:t>
      </w:r>
      <w:r>
        <w:rPr>
          <w:rStyle w:val="5"/>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5"/>
          <w:rFonts w:hint="eastAsia" w:asciiTheme="minorEastAsia" w:hAnsiTheme="minorEastAsia" w:cstheme="minorEastAsia"/>
          <w:color w:val="373737"/>
          <w:sz w:val="28"/>
          <w:szCs w:val="28"/>
          <w:shd w:val="clear" w:color="auto" w:fill="FFFFFF"/>
        </w:rPr>
        <w:t>公务用车保有量0</w:t>
      </w:r>
      <w:r>
        <w:rPr>
          <w:rFonts w:hint="eastAsia" w:asciiTheme="minorEastAsia" w:hAnsiTheme="minorEastAsia" w:cstheme="minorEastAsia"/>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5"/>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万元。其中：国内公务接待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万元，国内公务接待批次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个，国内公务接待人次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人；国（境）外公务接待</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5"/>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八、其他重要事项的情况说明</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（一）机关运行经费支出情况。</w:t>
      </w:r>
    </w:p>
    <w:p>
      <w:pPr>
        <w:pStyle w:val="2"/>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cstheme="minorEastAsia"/>
          <w:color w:val="333333"/>
          <w:sz w:val="28"/>
          <w:szCs w:val="28"/>
        </w:rPr>
        <w:t>年度机关运行经费支出 0 万元（与部门决算中行政单位和参照公务员法管理事业单位一般公共预算财政拨款基本支出中公用经费之和保持一致），比上年增加（减少）XX 万元，增长（降低）XX%。主要原因是：……（具体增减原因由部门根据实际情况填列）。</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2"/>
        <w:widowControl/>
        <w:spacing w:before="180" w:beforeAutospacing="0" w:after="360" w:afterAutospacing="0" w:line="450" w:lineRule="atLeas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cstheme="minorEastAsia"/>
          <w:color w:val="333333"/>
          <w:sz w:val="28"/>
          <w:szCs w:val="28"/>
        </w:rPr>
        <w:t>年度政府采购支出总额  0 万元，其中：政府采购货物支出  万元、政府采购工程支出   万元、政府采购服务支出  万元。</w:t>
      </w:r>
    </w:p>
    <w:p>
      <w:pPr>
        <w:pStyle w:val="2"/>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cstheme="minorEastAsia"/>
          <w:color w:val="333333"/>
          <w:sz w:val="28"/>
          <w:szCs w:val="28"/>
        </w:rPr>
        <w:t>年 12 月 31 日，本部门共有车辆 0 辆，其中，一般公务用车 0 辆、一般执法执勤用 0 辆、特种专业技术用车 0 辆、其他用车 0 辆，其他用车主要是办案用车；单位价值 50 万万元以上通用设备 0 台（套），单价100 万万元以上专用设备  0 台（套）。</w:t>
      </w:r>
    </w:p>
    <w:p>
      <w:pPr>
        <w:pStyle w:val="2"/>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（四）2018年度预算绩效情况说明</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cstheme="minorEastAsia"/>
          <w:color w:val="333333"/>
          <w:sz w:val="28"/>
          <w:szCs w:val="28"/>
        </w:rPr>
        <w:t xml:space="preserve">年度项目支出全面开展绩效自评。共涉及资金  </w:t>
      </w:r>
      <w:r>
        <w:rPr>
          <w:rFonts w:hint="eastAsia" w:asciiTheme="minorEastAsia" w:hAnsiTheme="minorEastAsia" w:cstheme="minorEastAsia"/>
          <w:color w:val="333333"/>
          <w:sz w:val="28"/>
          <w:szCs w:val="28"/>
          <w:lang w:val="en-US" w:eastAsia="zh-CN"/>
        </w:rPr>
        <w:t>23.85</w:t>
      </w:r>
      <w:r>
        <w:rPr>
          <w:rFonts w:hint="eastAsia" w:asciiTheme="minorEastAsia" w:hAnsiTheme="minorEastAsia" w:cstheme="minorEastAsia"/>
          <w:color w:val="333333"/>
          <w:sz w:val="28"/>
          <w:szCs w:val="28"/>
        </w:rPr>
        <w:t xml:space="preserve">万元，自评覆盖率达到100%。共组织对“离退休工资”等5 个项目进行了绩效评价，共涉及资金  </w:t>
      </w:r>
      <w:r>
        <w:rPr>
          <w:rFonts w:hint="eastAsia" w:asciiTheme="minorEastAsia" w:hAnsiTheme="minorEastAsia" w:cstheme="minorEastAsia"/>
          <w:color w:val="333333"/>
          <w:sz w:val="28"/>
          <w:szCs w:val="28"/>
          <w:lang w:val="en-US" w:eastAsia="zh-CN"/>
        </w:rPr>
        <w:t>23.85</w:t>
      </w:r>
      <w:r>
        <w:rPr>
          <w:rFonts w:hint="eastAsia" w:asciiTheme="minorEastAsia" w:hAnsiTheme="minorEastAsia" w:cstheme="minorEastAsia"/>
          <w:color w:val="333333"/>
          <w:sz w:val="28"/>
          <w:szCs w:val="28"/>
        </w:rPr>
        <w:t>万元。从评价情况来看，本部门共开展了XXXXXX进行了绩效考核。</w:t>
      </w:r>
    </w:p>
    <w:p>
      <w:pPr>
        <w:pStyle w:val="2"/>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2"/>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十三、机关运行经费</w:t>
      </w:r>
      <w:r>
        <w:rPr>
          <w:rFonts w:hint="eastAsia" w:asciiTheme="minorEastAsia" w:hAnsi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宋体 Std L">
    <w:altName w:val="宋体"/>
    <w:panose1 w:val="00000000000000000000"/>
    <w:charset w:val="86"/>
    <w:family w:val="roman"/>
    <w:pitch w:val="default"/>
    <w:sig w:usb0="00000000" w:usb1="00000000" w:usb2="00000010" w:usb3="00000000" w:csb0="00060007"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42911"/>
    <w:rsid w:val="00054371"/>
    <w:rsid w:val="000658BB"/>
    <w:rsid w:val="00087D12"/>
    <w:rsid w:val="001E7E80"/>
    <w:rsid w:val="00290495"/>
    <w:rsid w:val="004221D8"/>
    <w:rsid w:val="00477377"/>
    <w:rsid w:val="004D4B54"/>
    <w:rsid w:val="00500A15"/>
    <w:rsid w:val="006A00EC"/>
    <w:rsid w:val="007037C4"/>
    <w:rsid w:val="009E2D03"/>
    <w:rsid w:val="00C554A5"/>
    <w:rsid w:val="00C70F48"/>
    <w:rsid w:val="00C7233E"/>
    <w:rsid w:val="00E1753E"/>
    <w:rsid w:val="00E22E71"/>
    <w:rsid w:val="00EA495B"/>
    <w:rsid w:val="00FF0E79"/>
    <w:rsid w:val="01340F75"/>
    <w:rsid w:val="026D679A"/>
    <w:rsid w:val="03FE7F0E"/>
    <w:rsid w:val="098217C0"/>
    <w:rsid w:val="0E980DC7"/>
    <w:rsid w:val="179B676B"/>
    <w:rsid w:val="1CFB22BC"/>
    <w:rsid w:val="1FCA7563"/>
    <w:rsid w:val="2A054FEB"/>
    <w:rsid w:val="2DE7389C"/>
    <w:rsid w:val="396673DC"/>
    <w:rsid w:val="3DDC6AB6"/>
    <w:rsid w:val="419008B3"/>
    <w:rsid w:val="62763A6A"/>
    <w:rsid w:val="6B6E45D7"/>
    <w:rsid w:val="6BC52739"/>
    <w:rsid w:val="763C3B43"/>
    <w:rsid w:val="768870B2"/>
    <w:rsid w:val="7BC22F3A"/>
    <w:rsid w:val="7BE86AF1"/>
    <w:rsid w:val="7C1C2E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573</Words>
  <Characters>3268</Characters>
  <Lines>27</Lines>
  <Paragraphs>7</Paragraphs>
  <TotalTime>126</TotalTime>
  <ScaleCrop>false</ScaleCrop>
  <LinksUpToDate>false</LinksUpToDate>
  <CharactersWithSpaces>3834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无懈可击</cp:lastModifiedBy>
  <dcterms:modified xsi:type="dcterms:W3CDTF">2021-05-26T05:36:54Z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A40ACCE7C2334544826AEF93E35605E8</vt:lpwstr>
  </property>
</Properties>
</file>