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绥滨县水产技术服务中心</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xml:space="preserve"> 一、主要职能</w:t>
      </w:r>
    </w:p>
    <w:p>
      <w:pPr>
        <w:keepNext w:val="0"/>
        <w:keepLines w:val="0"/>
        <w:pageBreakBefore w:val="0"/>
        <w:shd w:val="solid" w:color="FFFFFF" w:fill="auto"/>
        <w:kinsoku/>
        <w:wordWrap/>
        <w:overflowPunct/>
        <w:topLinePunct w:val="0"/>
        <w:autoSpaceDE/>
        <w:autoSpaceDN w:val="0"/>
        <w:bidi w:val="0"/>
        <w:adjustRightInd/>
        <w:snapToGrid/>
        <w:spacing w:line="240" w:lineRule="auto"/>
        <w:ind w:firstLine="560" w:firstLineChars="200"/>
        <w:jc w:val="left"/>
        <w:textAlignment w:val="auto"/>
        <w:rPr>
          <w:rFonts w:ascii="宋体" w:hAnsi="宋体" w:eastAsia="宋体"/>
          <w:color w:val="000000"/>
          <w:sz w:val="28"/>
          <w:szCs w:val="28"/>
          <w:shd w:val="clear" w:color="auto" w:fill="FFFFFF"/>
        </w:rPr>
      </w:pPr>
      <w:r>
        <w:rPr>
          <w:rFonts w:hint="eastAsia" w:asciiTheme="minorEastAsia" w:hAnsiTheme="minorEastAsia" w:eastAsiaTheme="minorEastAsia" w:cstheme="minorEastAsia"/>
          <w:color w:val="333333"/>
          <w:sz w:val="28"/>
          <w:szCs w:val="28"/>
          <w:shd w:val="clear" w:fill="FFFFFF"/>
        </w:rPr>
        <w:t>（一）</w:t>
      </w:r>
      <w:r>
        <w:rPr>
          <w:rFonts w:ascii="仿宋_GB2312"/>
          <w:color w:val="000000"/>
          <w:sz w:val="28"/>
          <w:szCs w:val="28"/>
          <w:shd w:val="clear" w:color="auto" w:fill="FFFFFF"/>
        </w:rPr>
        <w:t>制定</w:t>
      </w:r>
      <w:r>
        <w:rPr>
          <w:rFonts w:hint="eastAsia" w:ascii="仿宋_GB2312"/>
          <w:color w:val="000000"/>
          <w:sz w:val="28"/>
          <w:szCs w:val="28"/>
          <w:shd w:val="clear" w:color="auto" w:fill="FFFFFF"/>
        </w:rPr>
        <w:t>全县</w:t>
      </w:r>
      <w:r>
        <w:rPr>
          <w:rFonts w:ascii="仿宋_GB2312"/>
          <w:color w:val="000000"/>
          <w:sz w:val="28"/>
          <w:szCs w:val="28"/>
          <w:shd w:val="clear" w:color="auto" w:fill="FFFFFF"/>
        </w:rPr>
        <w:t>水产技术推广计划、规划，并组织实施；</w:t>
      </w:r>
    </w:p>
    <w:p>
      <w:pPr>
        <w:pStyle w:val="2"/>
        <w:keepNext w:val="0"/>
        <w:keepLines w:val="0"/>
        <w:pageBreakBefore w:val="0"/>
        <w:widowControl/>
        <w:suppressLineNumbers w:val="0"/>
        <w:shd w:val="clear" w:fill="FFFFFF"/>
        <w:kinsoku/>
        <w:wordWrap/>
        <w:overflowPunct/>
        <w:topLinePunct w:val="0"/>
        <w:autoSpaceDE/>
        <w:bidi w:val="0"/>
        <w:adjustRightInd/>
        <w:snapToGrid/>
        <w:spacing w:before="0" w:beforeAutospacing="0" w:after="0" w:afterAutospacing="0" w:line="240" w:lineRule="auto"/>
        <w:ind w:right="0" w:firstLine="560" w:firstLineChars="200"/>
        <w:jc w:val="left"/>
        <w:textAlignment w:val="auto"/>
        <w:rPr>
          <w:rFonts w:ascii="仿宋_GB2312"/>
          <w:color w:val="000000"/>
          <w:sz w:val="28"/>
          <w:szCs w:val="28"/>
          <w:shd w:val="clear" w:color="auto" w:fill="FFFFFF"/>
        </w:rPr>
      </w:pPr>
      <w:r>
        <w:rPr>
          <w:rFonts w:hint="eastAsia" w:asciiTheme="minorEastAsia" w:hAnsiTheme="minorEastAsia" w:eastAsiaTheme="minorEastAsia" w:cstheme="minorEastAsia"/>
          <w:color w:val="333333"/>
          <w:sz w:val="28"/>
          <w:szCs w:val="28"/>
          <w:shd w:val="clear" w:fill="FFFFFF"/>
        </w:rPr>
        <w:t>（二）</w:t>
      </w:r>
      <w:r>
        <w:rPr>
          <w:rFonts w:ascii="仿宋_GB2312"/>
          <w:color w:val="000000"/>
          <w:sz w:val="28"/>
          <w:szCs w:val="28"/>
          <w:shd w:val="clear" w:color="auto" w:fill="FFFFFF"/>
        </w:rPr>
        <w:t>水产先进技术、优质品种的引进、试验示范和推广；</w:t>
      </w:r>
    </w:p>
    <w:p>
      <w:pPr>
        <w:keepNext w:val="0"/>
        <w:keepLines w:val="0"/>
        <w:pageBreakBefore w:val="0"/>
        <w:shd w:val="solid" w:color="FFFFFF" w:fill="auto"/>
        <w:kinsoku/>
        <w:wordWrap/>
        <w:overflowPunct/>
        <w:topLinePunct w:val="0"/>
        <w:autoSpaceDE/>
        <w:autoSpaceDN w:val="0"/>
        <w:bidi w:val="0"/>
        <w:adjustRightInd/>
        <w:snapToGrid/>
        <w:spacing w:line="240" w:lineRule="auto"/>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（三）</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ascii="仿宋_GB2312"/>
          <w:color w:val="000000"/>
          <w:sz w:val="28"/>
          <w:szCs w:val="28"/>
          <w:shd w:val="clear" w:color="auto" w:fill="FFFFFF"/>
        </w:rPr>
        <w:t>渔用饲料、药物等投入品的科学使用指导，水产品生产过程中的质量安全检测、监测</w:t>
      </w:r>
      <w:r>
        <w:rPr>
          <w:rFonts w:hint="eastAsia" w:ascii="仿宋_GB2312"/>
          <w:color w:val="000000"/>
          <w:sz w:val="28"/>
          <w:szCs w:val="28"/>
          <w:shd w:val="clear" w:color="auto" w:fill="FFFFFF"/>
        </w:rPr>
        <w:t>、监管</w:t>
      </w:r>
      <w:r>
        <w:rPr>
          <w:rFonts w:ascii="仿宋_GB2312"/>
          <w:color w:val="000000"/>
          <w:sz w:val="28"/>
          <w:szCs w:val="28"/>
          <w:shd w:val="clear" w:color="auto" w:fill="FFFFFF"/>
        </w:rPr>
        <w:t>和技术指导；</w:t>
      </w:r>
    </w:p>
    <w:p>
      <w:pPr>
        <w:keepNext w:val="0"/>
        <w:keepLines w:val="0"/>
        <w:pageBreakBefore w:val="0"/>
        <w:shd w:val="solid" w:color="FFFFFF" w:fill="auto"/>
        <w:kinsoku/>
        <w:wordWrap/>
        <w:overflowPunct/>
        <w:topLinePunct w:val="0"/>
        <w:autoSpaceDE/>
        <w:autoSpaceDN w:val="0"/>
        <w:bidi w:val="0"/>
        <w:adjustRightInd/>
        <w:snapToGrid/>
        <w:spacing w:line="240" w:lineRule="auto"/>
        <w:ind w:firstLine="560" w:firstLineChars="200"/>
        <w:jc w:val="left"/>
        <w:textAlignment w:val="auto"/>
        <w:rPr>
          <w:rFonts w:ascii="仿宋_GB2312"/>
          <w:color w:val="000000"/>
          <w:sz w:val="28"/>
          <w:szCs w:val="28"/>
          <w:shd w:val="clear" w:color="auto" w:fill="FFFFFF"/>
        </w:rPr>
      </w:pPr>
      <w:r>
        <w:rPr>
          <w:rFonts w:hint="eastAsia" w:asciiTheme="minorEastAsia" w:hAnsiTheme="minorEastAsia" w:eastAsiaTheme="minorEastAsia" w:cstheme="minorEastAsia"/>
          <w:color w:val="333333"/>
          <w:sz w:val="28"/>
          <w:szCs w:val="28"/>
          <w:shd w:val="clear" w:fill="FFFFFF"/>
        </w:rPr>
        <w:t>（四）</w:t>
      </w:r>
      <w:r>
        <w:rPr>
          <w:rFonts w:ascii="仿宋_GB2312"/>
          <w:color w:val="000000"/>
          <w:sz w:val="28"/>
          <w:szCs w:val="28"/>
          <w:shd w:val="clear" w:color="auto" w:fill="FFFFFF"/>
        </w:rPr>
        <w:t>渔（农）民的培训教育和渔业公共信息服务；</w:t>
      </w:r>
    </w:p>
    <w:p>
      <w:pPr>
        <w:keepNext w:val="0"/>
        <w:keepLines w:val="0"/>
        <w:pageBreakBefore w:val="0"/>
        <w:shd w:val="solid" w:color="FFFFFF" w:fill="auto"/>
        <w:kinsoku/>
        <w:wordWrap/>
        <w:overflowPunct/>
        <w:topLinePunct w:val="0"/>
        <w:autoSpaceDE/>
        <w:autoSpaceDN w:val="0"/>
        <w:bidi w:val="0"/>
        <w:adjustRightInd/>
        <w:snapToGrid/>
        <w:spacing w:line="240" w:lineRule="auto"/>
        <w:ind w:firstLine="560" w:firstLineChars="200"/>
        <w:jc w:val="left"/>
        <w:textAlignment w:val="auto"/>
        <w:rPr>
          <w:rFonts w:ascii="宋体" w:hAnsi="宋体" w:eastAsia="宋体"/>
          <w:color w:val="000000"/>
          <w:sz w:val="28"/>
          <w:szCs w:val="28"/>
          <w:shd w:val="clear" w:color="auto" w:fill="FFFFFF"/>
        </w:rPr>
      </w:pPr>
      <w:r>
        <w:rPr>
          <w:rFonts w:hint="eastAsia" w:ascii="仿宋_GB2312"/>
          <w:color w:val="000000"/>
          <w:sz w:val="28"/>
          <w:szCs w:val="28"/>
          <w:shd w:val="clear" w:color="auto" w:fill="FFFFFF"/>
          <w:lang w:eastAsia="zh-CN"/>
        </w:rPr>
        <w:t>（五）</w:t>
      </w:r>
      <w:r>
        <w:rPr>
          <w:rFonts w:ascii="仿宋_GB2312"/>
          <w:color w:val="000000"/>
          <w:sz w:val="28"/>
          <w:szCs w:val="28"/>
          <w:shd w:val="clear" w:color="auto" w:fill="FFFFFF"/>
        </w:rPr>
        <w:t>渔业资源、水域环境的监测、保护；</w:t>
      </w:r>
    </w:p>
    <w:p>
      <w:pPr>
        <w:keepNext w:val="0"/>
        <w:keepLines w:val="0"/>
        <w:pageBreakBefore w:val="0"/>
        <w:shd w:val="solid" w:color="FFFFFF" w:fill="auto"/>
        <w:kinsoku/>
        <w:wordWrap/>
        <w:overflowPunct/>
        <w:topLinePunct w:val="0"/>
        <w:autoSpaceDE/>
        <w:autoSpaceDN w:val="0"/>
        <w:bidi w:val="0"/>
        <w:adjustRightInd/>
        <w:snapToGrid/>
        <w:spacing w:line="240" w:lineRule="auto"/>
        <w:ind w:firstLine="560" w:firstLineChars="200"/>
        <w:jc w:val="left"/>
        <w:textAlignment w:val="auto"/>
        <w:rPr>
          <w:rFonts w:hint="eastAsia"/>
          <w:sz w:val="28"/>
          <w:szCs w:val="28"/>
          <w:lang w:eastAsia="zh-CN"/>
        </w:rPr>
      </w:pPr>
      <w:r>
        <w:rPr>
          <w:rFonts w:hint="eastAsia" w:ascii="仿宋_GB2312"/>
          <w:color w:val="000000"/>
          <w:sz w:val="28"/>
          <w:szCs w:val="28"/>
          <w:shd w:val="clear" w:color="auto" w:fill="FFFFFF"/>
          <w:lang w:eastAsia="zh-CN"/>
        </w:rPr>
        <w:t>（六）</w:t>
      </w:r>
      <w:r>
        <w:rPr>
          <w:rFonts w:hint="eastAsia"/>
          <w:sz w:val="28"/>
          <w:szCs w:val="28"/>
        </w:rPr>
        <w:t>按照《渔业法》及相关要求，做好渔业资源的保护，增殖和合理利用工作</w:t>
      </w:r>
      <w:r>
        <w:rPr>
          <w:rFonts w:hint="eastAsia"/>
          <w:sz w:val="28"/>
          <w:szCs w:val="28"/>
          <w:lang w:eastAsia="zh-CN"/>
        </w:rPr>
        <w:t>；</w:t>
      </w:r>
    </w:p>
    <w:p>
      <w:pPr>
        <w:keepNext w:val="0"/>
        <w:keepLines w:val="0"/>
        <w:pageBreakBefore w:val="0"/>
        <w:shd w:val="solid" w:color="FFFFFF" w:fill="auto"/>
        <w:kinsoku/>
        <w:wordWrap/>
        <w:overflowPunct/>
        <w:topLinePunct w:val="0"/>
        <w:autoSpaceDE/>
        <w:autoSpaceDN w:val="0"/>
        <w:bidi w:val="0"/>
        <w:adjustRightInd/>
        <w:snapToGrid/>
        <w:spacing w:line="240" w:lineRule="auto"/>
        <w:ind w:firstLine="560" w:firstLineChars="200"/>
        <w:jc w:val="left"/>
        <w:textAlignment w:val="auto"/>
        <w:rPr>
          <w:rFonts w:hint="eastAsia" w:eastAsiaTheme="minorEastAsia"/>
          <w:sz w:val="28"/>
          <w:szCs w:val="28"/>
          <w:lang w:eastAsia="zh-CN"/>
        </w:rPr>
      </w:pPr>
      <w:r>
        <w:rPr>
          <w:rFonts w:hint="eastAsia"/>
          <w:sz w:val="28"/>
          <w:szCs w:val="28"/>
          <w:lang w:eastAsia="zh-CN"/>
        </w:rPr>
        <w:t>（七）</w:t>
      </w:r>
      <w:r>
        <w:rPr>
          <w:rFonts w:hint="eastAsia"/>
          <w:sz w:val="28"/>
          <w:szCs w:val="28"/>
        </w:rPr>
        <w:t>完成县委县政府交办的各项工作</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cstheme="minorEastAsia"/>
          <w:color w:val="333333"/>
          <w:sz w:val="28"/>
          <w:szCs w:val="28"/>
          <w:shd w:val="clear" w:fill="FFFFFF"/>
          <w:lang w:eastAsia="zh-CN"/>
        </w:rPr>
        <w:t>。</w:t>
      </w:r>
    </w:p>
    <w:p>
      <w:pPr>
        <w:pStyle w:val="2"/>
        <w:keepNext w:val="0"/>
        <w:keepLines w:val="0"/>
        <w:pageBreakBefore w:val="0"/>
        <w:widowControl/>
        <w:suppressLineNumbers w:val="0"/>
        <w:kinsoku/>
        <w:wordWrap/>
        <w:overflowPunct/>
        <w:topLinePunct w:val="0"/>
        <w:autoSpaceDE/>
        <w:bidi w:val="0"/>
        <w:adjustRightInd/>
        <w:snapToGrid/>
        <w:spacing w:before="0" w:beforeAutospacing="0" w:after="0" w:afterAutospacing="0" w:line="240" w:lineRule="auto"/>
        <w:ind w:righ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w:t>
      </w:r>
      <w:r>
        <w:rPr>
          <w:rFonts w:hint="eastAsia" w:asciiTheme="minorEastAsia" w:hAnsiTheme="minorEastAsia" w:cstheme="minorEastAsia"/>
          <w:color w:val="333333"/>
          <w:sz w:val="28"/>
          <w:szCs w:val="28"/>
          <w:lang w:eastAsia="zh-CN"/>
        </w:rPr>
        <w:t>事业</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事业</w:t>
      </w:r>
      <w:r>
        <w:rPr>
          <w:rFonts w:hint="eastAsia" w:asciiTheme="minorEastAsia" w:hAnsiTheme="minorEastAsia" w:eastAsiaTheme="minorEastAsia" w:cstheme="minorEastAsia"/>
          <w:color w:val="333333"/>
          <w:sz w:val="28"/>
          <w:szCs w:val="28"/>
        </w:rPr>
        <w:t>单位编制数</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21</w:t>
      </w:r>
      <w:r>
        <w:rPr>
          <w:rFonts w:hint="eastAsia" w:asciiTheme="minorEastAsia" w:hAnsiTheme="minorEastAsia" w:eastAsiaTheme="minorEastAsia" w:cstheme="minorEastAsia"/>
          <w:color w:val="333333"/>
          <w:sz w:val="28"/>
          <w:szCs w:val="28"/>
        </w:rPr>
        <w:t>个，其中</w:t>
      </w:r>
      <w:r>
        <w:rPr>
          <w:rFonts w:hint="eastAsia" w:asciiTheme="minorEastAsia" w:hAnsiTheme="minorEastAsia" w:cstheme="minorEastAsia"/>
          <w:color w:val="333333"/>
          <w:sz w:val="28"/>
          <w:szCs w:val="28"/>
          <w:lang w:eastAsia="zh-CN"/>
        </w:rPr>
        <w:t>事业</w:t>
      </w:r>
      <w:r>
        <w:rPr>
          <w:rFonts w:hint="eastAsia" w:asciiTheme="minorEastAsia" w:hAnsiTheme="minorEastAsia" w:eastAsiaTheme="minorEastAsia" w:cstheme="minorEastAsia"/>
          <w:color w:val="333333"/>
          <w:sz w:val="28"/>
          <w:szCs w:val="28"/>
        </w:rPr>
        <w:t>编制</w:t>
      </w:r>
      <w:r>
        <w:rPr>
          <w:rFonts w:hint="eastAsia" w:asciiTheme="minorEastAsia" w:hAnsiTheme="minorEastAsia" w:cstheme="minorEastAsia"/>
          <w:color w:val="333333"/>
          <w:sz w:val="28"/>
          <w:szCs w:val="28"/>
          <w:lang w:val="en-US" w:eastAsia="zh-CN"/>
        </w:rPr>
        <w:t>21</w:t>
      </w:r>
      <w:r>
        <w:rPr>
          <w:rFonts w:hint="eastAsia" w:asciiTheme="minorEastAsia" w:hAnsiTheme="minorEastAsia" w:eastAsiaTheme="minorEastAsia" w:cstheme="minorEastAsia"/>
          <w:color w:val="333333"/>
          <w:sz w:val="28"/>
          <w:szCs w:val="28"/>
        </w:rPr>
        <w:t>，在职</w:t>
      </w:r>
      <w:r>
        <w:rPr>
          <w:rFonts w:hint="eastAsia" w:asciiTheme="minorEastAsia" w:hAnsiTheme="minorEastAsia" w:cstheme="minorEastAsia"/>
          <w:color w:val="333333"/>
          <w:sz w:val="28"/>
          <w:szCs w:val="28"/>
          <w:lang w:val="en-US" w:eastAsia="zh-CN"/>
        </w:rPr>
        <w:t>21</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18</w:t>
      </w:r>
      <w:r>
        <w:rPr>
          <w:rFonts w:hint="eastAsia" w:asciiTheme="minorEastAsia" w:hAnsiTheme="minorEastAsia" w:eastAsiaTheme="minorEastAsia" w:cstheme="minorEastAsia"/>
          <w:color w:val="333333"/>
          <w:sz w:val="28"/>
          <w:szCs w:val="28"/>
        </w:rPr>
        <w:t>人</w:t>
      </w:r>
      <w:r>
        <w:rPr>
          <w:rFonts w:hint="eastAsia" w:asciiTheme="minorEastAsia" w:hAnsiTheme="minorEastAsia" w:cstheme="minorEastAsia"/>
          <w:color w:val="333333"/>
          <w:sz w:val="28"/>
          <w:szCs w:val="28"/>
          <w:lang w:eastAsia="zh-CN"/>
        </w:rPr>
        <w:t>，离休</w:t>
      </w:r>
      <w:r>
        <w:rPr>
          <w:rFonts w:hint="eastAsia" w:asciiTheme="minorEastAsia" w:hAnsiTheme="minorEastAsia" w:cstheme="minorEastAsia"/>
          <w:color w:val="333333"/>
          <w:sz w:val="28"/>
          <w:szCs w:val="28"/>
          <w:lang w:val="en-US" w:eastAsia="zh-CN"/>
        </w:rPr>
        <w:t>0人</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507.2178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428.8915</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37.8944</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7.47</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340.6677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44.27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507.2178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507.0628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99.97</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0.155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0.03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428.8915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282.1195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65.78</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146.7720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34.22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27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270" w:firstLine="560" w:firstLineChars="200"/>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507.0628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32.8898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降低</w:t>
      </w:r>
      <w:r>
        <w:rPr>
          <w:rFonts w:hint="eastAsia" w:asciiTheme="minorEastAsia" w:hAnsiTheme="minorEastAsia" w:cstheme="minorEastAsia"/>
          <w:i w:val="0"/>
          <w:caps w:val="0"/>
          <w:color w:val="373737"/>
          <w:spacing w:val="0"/>
          <w:sz w:val="28"/>
          <w:szCs w:val="28"/>
          <w:shd w:val="clear" w:fill="FFFFFF"/>
          <w:vertAlign w:val="baseline"/>
          <w:lang w:val="en-US" w:eastAsia="zh-CN"/>
        </w:rPr>
        <w:t>6.09</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426.1113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341.1079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降低</w:t>
      </w:r>
      <w:r>
        <w:rPr>
          <w:rFonts w:hint="eastAsia" w:asciiTheme="minorEastAsia" w:hAnsiTheme="minorEastAsia" w:cstheme="minorEastAsia"/>
          <w:i w:val="0"/>
          <w:caps w:val="0"/>
          <w:color w:val="373737"/>
          <w:spacing w:val="0"/>
          <w:sz w:val="28"/>
          <w:szCs w:val="28"/>
          <w:shd w:val="clear" w:fill="FFFFFF"/>
          <w:vertAlign w:val="baseline"/>
          <w:lang w:val="en-US" w:eastAsia="zh-CN"/>
        </w:rPr>
        <w:t>44.46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27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426.1113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99.35</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341.1079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降低</w:t>
      </w:r>
      <w:r>
        <w:rPr>
          <w:rFonts w:hint="eastAsia" w:asciiTheme="minorEastAsia" w:hAnsiTheme="minorEastAsia" w:cstheme="minorEastAsia"/>
          <w:i w:val="0"/>
          <w:caps w:val="0"/>
          <w:color w:val="373737"/>
          <w:spacing w:val="0"/>
          <w:sz w:val="28"/>
          <w:szCs w:val="28"/>
          <w:shd w:val="clear" w:fill="FFFFFF"/>
          <w:vertAlign w:val="baseline"/>
          <w:lang w:val="en-US" w:eastAsia="zh-CN"/>
        </w:rPr>
        <w:t>44.46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426.1113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43.9656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10.32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371.0786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87.08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11.0670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2.6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233.4087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426.1113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182.56</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22.1190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43.9656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198.77</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val="en-US" w:eastAsia="zh-CN"/>
        </w:rPr>
        <w:t>退休工资上调</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cstheme="minorEastAsia"/>
          <w:i w:val="0"/>
          <w:caps w:val="0"/>
          <w:color w:val="373737"/>
          <w:spacing w:val="0"/>
          <w:sz w:val="28"/>
          <w:szCs w:val="28"/>
          <w:shd w:val="clear" w:fill="FFFFFF"/>
          <w:vertAlign w:val="baseline"/>
          <w:lang w:eastAsia="zh-CN"/>
        </w:rPr>
        <w:t>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Style w:val="5"/>
          <w:rFonts w:hint="eastAsia" w:asciiTheme="minorEastAsia" w:hAnsiTheme="minorEastAsia" w:eastAsiaTheme="minorEastAsia" w:cstheme="minorEastAsia"/>
          <w:b/>
          <w:i w:val="0"/>
          <w:caps w:val="0"/>
          <w:color w:val="373737"/>
          <w:spacing w:val="0"/>
          <w:sz w:val="28"/>
          <w:szCs w:val="28"/>
          <w:shd w:val="clear" w:fill="FFFFFF"/>
          <w:vertAlign w:val="baseline"/>
          <w:lang w:eastAsia="zh-CN"/>
        </w:rPr>
      </w:pP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200.1120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371.0786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185.44</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%。决算数大于预算数的主要原因是增加了行政管理事务等项目资金</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11.1777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11.0670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99</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小于</w:t>
      </w:r>
      <w:r>
        <w:rPr>
          <w:rFonts w:hint="eastAsia" w:asciiTheme="minorEastAsia" w:hAnsiTheme="minorEastAsia" w:eastAsiaTheme="minorEastAsia" w:cstheme="minorEastAsia"/>
          <w:i w:val="0"/>
          <w:caps w:val="0"/>
          <w:color w:val="373737"/>
          <w:spacing w:val="0"/>
          <w:sz w:val="28"/>
          <w:szCs w:val="28"/>
          <w:shd w:val="clear" w:fill="FFFFFF"/>
          <w:vertAlign w:val="baseline"/>
        </w:rPr>
        <w:t>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w:t>
      </w:r>
      <w:r>
        <w:rPr>
          <w:rFonts w:hint="eastAsia" w:asciiTheme="minorEastAsia" w:hAnsiTheme="minorEastAsia" w:cstheme="minorEastAsia"/>
          <w:i w:val="0"/>
          <w:caps w:val="0"/>
          <w:color w:val="373737"/>
          <w:spacing w:val="0"/>
          <w:sz w:val="28"/>
          <w:szCs w:val="28"/>
          <w:shd w:val="clear" w:fill="FFFFFF"/>
          <w:vertAlign w:val="baseline"/>
          <w:lang w:eastAsia="zh-CN"/>
        </w:rPr>
        <w:t>人数减少</w:t>
      </w:r>
      <w:r>
        <w:rPr>
          <w:rFonts w:hint="eastAsia" w:asciiTheme="minorEastAsia" w:hAnsiTheme="minorEastAsia" w:eastAsiaTheme="minorEastAsia" w:cstheme="minorEastAsia"/>
          <w:i w:val="0"/>
          <w:caps w:val="0"/>
          <w:color w:val="373737"/>
          <w:spacing w:val="0"/>
          <w:sz w:val="28"/>
          <w:szCs w:val="28"/>
          <w:shd w:val="clear" w:fill="FFFFFF"/>
          <w:vertAlign w:val="baseline"/>
        </w:rPr>
        <w:t>，使住房公积金的缴交</w:t>
      </w:r>
      <w:r>
        <w:rPr>
          <w:rFonts w:hint="eastAsia" w:asciiTheme="minorEastAsia" w:hAnsiTheme="minorEastAsia" w:cstheme="minorEastAsia"/>
          <w:i w:val="0"/>
          <w:caps w:val="0"/>
          <w:color w:val="373737"/>
          <w:spacing w:val="0"/>
          <w:sz w:val="28"/>
          <w:szCs w:val="28"/>
          <w:shd w:val="clear" w:fill="FFFFFF"/>
          <w:vertAlign w:val="baseline"/>
          <w:lang w:eastAsia="zh-CN"/>
        </w:rPr>
        <w:t>基数降低</w:t>
      </w:r>
      <w:r>
        <w:rPr>
          <w:rFonts w:hint="eastAsia" w:asciiTheme="minorEastAsia" w:hAnsiTheme="minorEastAsia" w:eastAsiaTheme="minorEastAsia" w:cstheme="minorEastAsia"/>
          <w:i w:val="0"/>
          <w:caps w:val="0"/>
          <w:color w:val="373737"/>
          <w:spacing w:val="0"/>
          <w:sz w:val="28"/>
          <w:szCs w:val="28"/>
          <w:shd w:val="clear" w:fill="FFFFFF"/>
          <w:vertAlign w:val="baseline"/>
        </w:rPr>
        <w:t>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105"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279.3393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248.9418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30.3974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27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w:t>
      </w:r>
      <w:r>
        <w:rPr>
          <w:rFonts w:hint="eastAsia" w:asciiTheme="minorEastAsia" w:hAnsiTheme="minorEastAsia" w:cstheme="minorEastAsia"/>
          <w:i w:val="0"/>
          <w:caps w:val="0"/>
          <w:color w:val="373737"/>
          <w:spacing w:val="0"/>
          <w:sz w:val="28"/>
          <w:szCs w:val="28"/>
          <w:shd w:val="clear" w:fill="FFFFFF"/>
          <w:vertAlign w:val="baseline"/>
          <w:lang w:eastAsia="zh-CN"/>
        </w:rPr>
        <w:t>与</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w:t>
      </w:r>
      <w:r>
        <w:rPr>
          <w:rFonts w:hint="eastAsia" w:asciiTheme="minorEastAsia" w:hAnsiTheme="minorEastAsia" w:cstheme="minorEastAsia"/>
          <w:i w:val="0"/>
          <w:caps w:val="0"/>
          <w:color w:val="373737"/>
          <w:spacing w:val="0"/>
          <w:sz w:val="28"/>
          <w:szCs w:val="28"/>
          <w:shd w:val="clear" w:fill="FFFFFF"/>
          <w:vertAlign w:val="baseline"/>
          <w:lang w:eastAsia="zh-CN"/>
        </w:rPr>
        <w:t>持平。</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0"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15</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30.3974</w:t>
      </w:r>
      <w:r>
        <w:rPr>
          <w:rFonts w:hint="eastAsia" w:asciiTheme="minorEastAsia" w:hAnsiTheme="minorEastAsia" w:eastAsiaTheme="minorEastAsia" w:cstheme="minorEastAsia"/>
          <w:color w:val="333333"/>
          <w:sz w:val="28"/>
          <w:szCs w:val="28"/>
        </w:rPr>
        <w:t>万元减少</w:t>
      </w:r>
      <w:r>
        <w:rPr>
          <w:rFonts w:hint="eastAsia" w:asciiTheme="minorEastAsia" w:hAnsiTheme="minorEastAsia" w:cstheme="minorEastAsia"/>
          <w:color w:val="333333"/>
          <w:sz w:val="28"/>
          <w:szCs w:val="28"/>
          <w:lang w:val="en-US" w:eastAsia="zh-CN"/>
        </w:rPr>
        <w:t>114.8224</w:t>
      </w:r>
      <w:r>
        <w:rPr>
          <w:rFonts w:hint="eastAsia" w:asciiTheme="minorEastAsia" w:hAnsiTheme="minorEastAsia" w:eastAsiaTheme="minorEastAsia" w:cstheme="minorEastAsia"/>
          <w:color w:val="333333"/>
          <w:sz w:val="28"/>
          <w:szCs w:val="28"/>
        </w:rPr>
        <w:t>万元，降低</w:t>
      </w:r>
      <w:r>
        <w:rPr>
          <w:rFonts w:hint="eastAsia" w:asciiTheme="minorEastAsia" w:hAnsiTheme="minorEastAsia" w:cstheme="minorEastAsia"/>
          <w:color w:val="333333"/>
          <w:sz w:val="28"/>
          <w:szCs w:val="28"/>
          <w:lang w:val="en-US" w:eastAsia="zh-CN"/>
        </w:rPr>
        <w:t>79.07</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维修维护费用减少。</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万元、政府采购工程支出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146.7720</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val="en-US" w:eastAsia="zh-CN"/>
        </w:rPr>
        <w:t>增殖放流</w:t>
      </w:r>
      <w:r>
        <w:rPr>
          <w:rFonts w:hint="eastAsia" w:asciiTheme="minorEastAsia" w:hAnsiTheme="minorEastAsia" w:eastAsiaTheme="minorEastAsia" w:cstheme="minorEastAsia"/>
          <w:color w:val="333333"/>
          <w:sz w:val="28"/>
          <w:szCs w:val="28"/>
        </w:rPr>
        <w:t xml:space="preserve">”等 </w:t>
      </w:r>
      <w:r>
        <w:rPr>
          <w:rFonts w:hint="eastAsia" w:asciiTheme="minorEastAsia" w:hAnsiTheme="minorEastAsia" w:cstheme="minorEastAsia"/>
          <w:color w:val="333333"/>
          <w:sz w:val="28"/>
          <w:szCs w:val="28"/>
          <w:lang w:val="en-US" w:eastAsia="zh-CN"/>
        </w:rPr>
        <w:t>3</w:t>
      </w:r>
      <w:r>
        <w:rPr>
          <w:rFonts w:hint="eastAsia" w:asciiTheme="minorEastAsia" w:hAnsiTheme="minorEastAsia" w:eastAsiaTheme="minorEastAsia" w:cstheme="minorEastAsia"/>
          <w:color w:val="333333"/>
          <w:sz w:val="28"/>
          <w:szCs w:val="28"/>
        </w:rPr>
        <w:t xml:space="preserve"> 个项目进行了绩效评价，共涉及资金</w:t>
      </w:r>
      <w:r>
        <w:rPr>
          <w:rFonts w:hint="eastAsia" w:asciiTheme="minorEastAsia" w:hAnsiTheme="minorEastAsia" w:cstheme="minorEastAsia"/>
          <w:color w:val="333333"/>
          <w:sz w:val="28"/>
          <w:szCs w:val="28"/>
          <w:lang w:val="en-US" w:eastAsia="zh-CN"/>
        </w:rPr>
        <w:t>146.7720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right="0" w:firstLine="562" w:firstLineChars="200"/>
        <w:jc w:val="left"/>
        <w:rPr>
          <w:rFonts w:hint="eastAsia" w:asciiTheme="minorEastAsia" w:hAnsiTheme="minorEastAsia" w:eastAsiaTheme="minorEastAsia" w:cstheme="minorEastAsia"/>
          <w:sz w:val="28"/>
          <w:szCs w:val="28"/>
        </w:rPr>
      </w:pPr>
      <w:bookmarkStart w:id="0" w:name="_GoBack"/>
      <w:bookmarkEnd w:id="0"/>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19B10E4"/>
    <w:rsid w:val="036E54E9"/>
    <w:rsid w:val="03FE7F0E"/>
    <w:rsid w:val="082C673D"/>
    <w:rsid w:val="098217C0"/>
    <w:rsid w:val="0B754ABA"/>
    <w:rsid w:val="0E980DC7"/>
    <w:rsid w:val="10545C09"/>
    <w:rsid w:val="1099462E"/>
    <w:rsid w:val="1241346F"/>
    <w:rsid w:val="13F333C2"/>
    <w:rsid w:val="142920F2"/>
    <w:rsid w:val="165D1D5D"/>
    <w:rsid w:val="17337D36"/>
    <w:rsid w:val="179B676B"/>
    <w:rsid w:val="19F823DA"/>
    <w:rsid w:val="1A1F65C5"/>
    <w:rsid w:val="1B66363F"/>
    <w:rsid w:val="1CFB22BC"/>
    <w:rsid w:val="1E854DF6"/>
    <w:rsid w:val="1F2300E6"/>
    <w:rsid w:val="20647ED0"/>
    <w:rsid w:val="2257164F"/>
    <w:rsid w:val="22E45287"/>
    <w:rsid w:val="24187839"/>
    <w:rsid w:val="24EF2741"/>
    <w:rsid w:val="28A14CE8"/>
    <w:rsid w:val="2A054FEB"/>
    <w:rsid w:val="2BB2746A"/>
    <w:rsid w:val="2D4F1F08"/>
    <w:rsid w:val="2D73528E"/>
    <w:rsid w:val="2DE7389C"/>
    <w:rsid w:val="35912EA1"/>
    <w:rsid w:val="367B1DB6"/>
    <w:rsid w:val="36AE0032"/>
    <w:rsid w:val="3964752F"/>
    <w:rsid w:val="3AB27341"/>
    <w:rsid w:val="3C8B153D"/>
    <w:rsid w:val="3DDC6AB6"/>
    <w:rsid w:val="3E7434E4"/>
    <w:rsid w:val="3F98625C"/>
    <w:rsid w:val="419008B3"/>
    <w:rsid w:val="44A50B5B"/>
    <w:rsid w:val="45967ABF"/>
    <w:rsid w:val="4F7844DE"/>
    <w:rsid w:val="50196DFA"/>
    <w:rsid w:val="50EF3508"/>
    <w:rsid w:val="514F29DB"/>
    <w:rsid w:val="517B0655"/>
    <w:rsid w:val="518A11CC"/>
    <w:rsid w:val="523B7F59"/>
    <w:rsid w:val="531F556C"/>
    <w:rsid w:val="554A091F"/>
    <w:rsid w:val="57B0685B"/>
    <w:rsid w:val="5A4436A9"/>
    <w:rsid w:val="5F2537FD"/>
    <w:rsid w:val="5F8B5974"/>
    <w:rsid w:val="62123AA2"/>
    <w:rsid w:val="62763A6A"/>
    <w:rsid w:val="63205EDC"/>
    <w:rsid w:val="63C30D33"/>
    <w:rsid w:val="63D144C5"/>
    <w:rsid w:val="647F782F"/>
    <w:rsid w:val="65E4426D"/>
    <w:rsid w:val="66C313AC"/>
    <w:rsid w:val="687D2829"/>
    <w:rsid w:val="68C45819"/>
    <w:rsid w:val="6A8577F2"/>
    <w:rsid w:val="6B6E45D7"/>
    <w:rsid w:val="6BC52739"/>
    <w:rsid w:val="6D4243CD"/>
    <w:rsid w:val="6DC051AF"/>
    <w:rsid w:val="72272751"/>
    <w:rsid w:val="734D1E58"/>
    <w:rsid w:val="74007F96"/>
    <w:rsid w:val="755F54DC"/>
    <w:rsid w:val="763C3B43"/>
    <w:rsid w:val="768870B2"/>
    <w:rsid w:val="799A1801"/>
    <w:rsid w:val="7A816EAA"/>
    <w:rsid w:val="7BC22F3A"/>
    <w:rsid w:val="7E705250"/>
    <w:rsid w:val="7EE72E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2020-09-29T08:02:40Z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