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司法局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450" w:lineRule="atLeast"/>
        <w:ind w:left="0" w:leftChars="0" w:right="0" w:rightChars="0" w:firstLine="733" w:firstLineChars="0"/>
        <w:jc w:val="lef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（一）承担全面依法治县重大问题的政策研究，协调有关方面提出全面依法治县中长期规划建议，负责有关重大决策部署督察工作。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（二）负责面向社会征集行政规范性文件制定项目建议。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（三）承办各部门报送县政府的行政规范性文件草案的审查工作。负责各乡镇、各部门行政规范性文件备案审查工作。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（四）承办行政规范性文件的清理工作。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五）承担统筹推进法治政府建设责任。指导、监督各乡镇、各部门依法行政工作。负责综合协调行政执法，承担推进行政执法体制改革有关工作，推进严格规范公正文明执法。承办向县政府申请的行政复议案件工作。指导、监督全县行政复议和行政应诉工作，负责有关行政复议和行政应诉案件办理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六）承担统筹规划法治社会建设的责任。负责拟订法治宣传教育规划，组织实施普法宣传工作，组织对外法治宣传。推动人民参与和促进法治建设。指导依法治理和法治创建工作。指导调解工作和人民陪审员、人民监督员选任管理工作，推进司法所建设。</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（七）指导、监督管理社区矫正工作。指导刑满释放人员帮教安置工作。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（八）负责拟订公共法律服务体系建设具体规划并组织实施，统筹和布局城乡、区域法律服务资源。指导、监督律师、法律援助、公证、仲裁和基层法律服务管理工作。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（九）负责本行业领域的安全生产工作。负责本系统服装和警车管理工作，指导、监督本系统财务、装备、设施、场所等保障工作。</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（十）规划、协调、指导法治人才队伍建设相关工作，指导、监督本系统队伍建设。负责本系统组织人事工作、警务管理和警务督察。</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360" w:lineRule="atLeast"/>
        <w:ind w:left="0" w:leftChars="0" w:right="0" w:rightChars="0" w:firstLine="640"/>
        <w:jc w:val="left"/>
        <w:textAlignment w:val="auto"/>
        <w:outlineLvl w:val="9"/>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（十一）完成县委、县政府交办的其他任务。</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pageBreakBefore w:val="0"/>
        <w:widowControl/>
        <w:suppressLineNumbers w:val="0"/>
        <w:kinsoku/>
        <w:wordWrap/>
        <w:overflowPunct/>
        <w:topLinePunct w:val="0"/>
        <w:autoSpaceDE/>
        <w:autoSpaceDN/>
        <w:bidi w:val="0"/>
        <w:adjustRightInd/>
        <w:snapToGrid/>
        <w:spacing w:before="180" w:beforeAutospacing="0" w:after="360" w:afterAutospacing="0" w:line="450" w:lineRule="atLeast"/>
        <w:ind w:left="0" w:leftChars="0" w:right="0" w:rightChars="0" w:firstLine="560" w:firstLineChars="200"/>
        <w:jc w:val="left"/>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绥滨县司法局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24</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443.04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424.32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25.44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6.09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75.37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21.60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443.04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443.02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424.32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348.85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82.21</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75.47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17.79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443.02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25.44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6.09</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424.27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75.32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424.27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99.99</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75.32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21.58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424.27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40.86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9.62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公共安全支出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363.03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85.56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0.54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18.82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4.28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311.34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424.27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136.27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一是按照相关规定，在职职工和退休职工工资调整，养老保险相应调整增长，导致工资福利支出增加，基本支出增加；二是基层司法所规范化建设投入增加，法治治文化阵地建设投入增加，项目支出增加。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val="en-US" w:eastAsia="zh-CN"/>
        </w:rPr>
        <w:t>39.39</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val="en-US" w:eastAsia="zh-CN"/>
        </w:rPr>
        <w:t>40.86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103.73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退休职工工资调整，退休费支出增加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公共安全支出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司法</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（款）行政</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运行</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val="0"/>
          <w:bCs/>
          <w:i w:val="0"/>
          <w:caps w:val="0"/>
          <w:color w:val="373737"/>
          <w:spacing w:val="0"/>
          <w:sz w:val="28"/>
          <w:szCs w:val="28"/>
          <w:shd w:val="clear" w:fill="FFFFFF"/>
          <w:vertAlign w:val="baseline"/>
          <w:lang w:val="en-US" w:eastAsia="zh-CN"/>
        </w:rPr>
        <w:t>255.37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val="0"/>
          <w:bCs/>
          <w:i w:val="0"/>
          <w:caps w:val="0"/>
          <w:color w:val="373737"/>
          <w:spacing w:val="0"/>
          <w:sz w:val="28"/>
          <w:szCs w:val="28"/>
          <w:shd w:val="clear" w:fill="FFFFFF"/>
          <w:vertAlign w:val="baseline"/>
          <w:lang w:val="en-US" w:eastAsia="zh-CN"/>
        </w:rPr>
        <w:t>362.98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val="0"/>
          <w:bCs/>
          <w:i w:val="0"/>
          <w:caps w:val="0"/>
          <w:color w:val="373737"/>
          <w:spacing w:val="0"/>
          <w:sz w:val="28"/>
          <w:szCs w:val="28"/>
          <w:shd w:val="clear" w:fill="FFFFFF"/>
          <w:vertAlign w:val="baseline"/>
          <w:lang w:val="en-US" w:eastAsia="zh-CN"/>
        </w:rPr>
        <w:t>142.14</w:t>
      </w:r>
      <w:r>
        <w:rPr>
          <w:rFonts w:hint="eastAsia" w:asciiTheme="minorEastAsia" w:hAnsiTheme="minorEastAsia" w:eastAsiaTheme="minorEastAsia" w:cstheme="minorEastAsia"/>
          <w:b w:val="0"/>
          <w:bCs/>
          <w:i w:val="0"/>
          <w:caps w:val="0"/>
          <w:color w:val="373737"/>
          <w:spacing w:val="0"/>
          <w:sz w:val="28"/>
          <w:szCs w:val="28"/>
          <w:shd w:val="clear" w:fill="FFFFFF"/>
          <w:vertAlign w:val="baseline"/>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一是在职职工工资增长，相应的养老保险也增加；二是基层司法所规范化建设投入增加，法治治文化阵地建设投入增加，项目支出增加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val="0"/>
          <w:bCs/>
          <w:i w:val="0"/>
          <w:caps w:val="0"/>
          <w:color w:val="373737"/>
          <w:spacing w:val="0"/>
          <w:sz w:val="28"/>
          <w:szCs w:val="28"/>
          <w:shd w:val="clear" w:fill="FFFFFF"/>
          <w:vertAlign w:val="baseline"/>
          <w:lang w:val="en-US" w:eastAsia="zh-CN"/>
        </w:rPr>
        <w:t>2.35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脱贫攻坚投入增加。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18.08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109.05</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348.79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322.24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万元，主要包括：基本工资、津贴补贴、奖金、其他社会保障缴费、其他工资福利支出、退休费、奖励金、住房公积金、提租补贴、采暖补贴、其他对个人和家庭的补助支出；公用经费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万元，主要包括：办公费、印刷费、邮电费、差旅费、维修（护）费、劳务费、福利费、其他交通费用、办公设备购置。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98.68</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98.68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0.34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82.92</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82.92</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县法制办与县司法局重新组建新的县司法局，职能业务增加，公务接待次数增加</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11</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125</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26.55</w:t>
      </w:r>
      <w:r>
        <w:rPr>
          <w:rFonts w:hint="eastAsia" w:asciiTheme="minorEastAsia" w:hAnsiTheme="minorEastAsia" w:eastAsiaTheme="minorEastAsia" w:cstheme="minorEastAsia"/>
          <w:color w:val="333333"/>
          <w:sz w:val="28"/>
          <w:szCs w:val="28"/>
        </w:rPr>
        <w:t>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4.24</w:t>
      </w:r>
      <w:r>
        <w:rPr>
          <w:rFonts w:hint="eastAsia" w:asciiTheme="minorEastAsia" w:hAnsiTheme="minorEastAsia" w:eastAsiaTheme="minorEastAsia" w:cstheme="minorEastAsia"/>
          <w:color w:val="333333"/>
          <w:sz w:val="28"/>
          <w:szCs w:val="28"/>
        </w:rPr>
        <w:t xml:space="preserve"> 万元，增长</w:t>
      </w:r>
      <w:r>
        <w:rPr>
          <w:rFonts w:hint="eastAsia" w:asciiTheme="minorEastAsia" w:hAnsiTheme="minorEastAsia" w:cstheme="minorEastAsia"/>
          <w:color w:val="333333"/>
          <w:sz w:val="28"/>
          <w:szCs w:val="28"/>
          <w:lang w:val="en-US" w:eastAsia="zh-CN"/>
        </w:rPr>
        <w:t>19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2019年机构改革，</w:t>
      </w:r>
      <w:r>
        <w:rPr>
          <w:rFonts w:hint="eastAsia" w:asciiTheme="minorEastAsia" w:hAnsiTheme="minorEastAsia" w:cstheme="minorEastAsia"/>
          <w:color w:val="333333"/>
          <w:sz w:val="28"/>
          <w:szCs w:val="28"/>
          <w:lang w:eastAsia="zh-CN"/>
        </w:rPr>
        <w:t>原</w:t>
      </w:r>
      <w:r>
        <w:rPr>
          <w:rFonts w:hint="eastAsia" w:asciiTheme="minorEastAsia" w:hAnsiTheme="minorEastAsia" w:eastAsiaTheme="minorEastAsia" w:cstheme="minorEastAsia"/>
          <w:color w:val="333333"/>
          <w:sz w:val="28"/>
          <w:szCs w:val="28"/>
        </w:rPr>
        <w:t>县法制办与</w:t>
      </w:r>
      <w:r>
        <w:rPr>
          <w:rFonts w:hint="eastAsia" w:asciiTheme="minorEastAsia" w:hAnsiTheme="minorEastAsia" w:cstheme="minorEastAsia"/>
          <w:color w:val="333333"/>
          <w:sz w:val="28"/>
          <w:szCs w:val="28"/>
          <w:lang w:eastAsia="zh-CN"/>
        </w:rPr>
        <w:t>原</w:t>
      </w:r>
      <w:r>
        <w:rPr>
          <w:rFonts w:hint="eastAsia" w:asciiTheme="minorEastAsia" w:hAnsiTheme="minorEastAsia" w:eastAsiaTheme="minorEastAsia" w:cstheme="minorEastAsia"/>
          <w:color w:val="333333"/>
          <w:sz w:val="28"/>
          <w:szCs w:val="28"/>
        </w:rPr>
        <w:t>县司法局重新组建司法局，</w:t>
      </w:r>
      <w:r>
        <w:rPr>
          <w:rFonts w:hint="eastAsia" w:asciiTheme="minorEastAsia" w:hAnsiTheme="minorEastAsia" w:cstheme="minorEastAsia"/>
          <w:color w:val="333333"/>
          <w:sz w:val="28"/>
          <w:szCs w:val="28"/>
          <w:lang w:eastAsia="zh-CN"/>
        </w:rPr>
        <w:t>新组建的司法局新增行政复议、行政应诉、执法监督、规范性文件审查等行政职能，公用经费增加。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27.65</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27.65</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ind w:firstLine="560" w:firstLineChars="200"/>
        <w:rPr>
          <w:rFonts w:hint="eastAsia" w:ascii="宋体" w:hAnsi="宋体" w:cs="宋体"/>
          <w:color w:val="333333"/>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90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法律援助</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90</w:t>
      </w:r>
      <w:r>
        <w:rPr>
          <w:rFonts w:hint="eastAsia" w:asciiTheme="minorEastAsia" w:hAnsiTheme="minorEastAsia" w:eastAsiaTheme="minorEastAsia" w:cstheme="minorEastAsia"/>
          <w:color w:val="333333"/>
          <w:sz w:val="28"/>
          <w:szCs w:val="28"/>
        </w:rPr>
        <w:t>万元。</w:t>
      </w:r>
      <w:r>
        <w:rPr>
          <w:rFonts w:hint="eastAsia" w:ascii="宋体" w:hAnsi="宋体" w:cs="宋体"/>
          <w:color w:val="333333"/>
          <w:sz w:val="28"/>
          <w:szCs w:val="28"/>
        </w:rPr>
        <w:t>从评价情况来看，资金使用基本达到预算管理要求和年初设定的绩效目标。</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br w:type="page"/>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D834C2C"/>
    <w:rsid w:val="0E980DC7"/>
    <w:rsid w:val="179B676B"/>
    <w:rsid w:val="1A1F65C5"/>
    <w:rsid w:val="1CFB22BC"/>
    <w:rsid w:val="212314F1"/>
    <w:rsid w:val="27930D13"/>
    <w:rsid w:val="2A054FEB"/>
    <w:rsid w:val="2A655390"/>
    <w:rsid w:val="2DE7389C"/>
    <w:rsid w:val="3964752F"/>
    <w:rsid w:val="3DDC6AB6"/>
    <w:rsid w:val="3E7434E4"/>
    <w:rsid w:val="3E85669B"/>
    <w:rsid w:val="3F98625C"/>
    <w:rsid w:val="419008B3"/>
    <w:rsid w:val="4CFA2553"/>
    <w:rsid w:val="62763A6A"/>
    <w:rsid w:val="66B15C82"/>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2020-10-14T08:48:54Z</cp:lastPrinted>
  <dcterms:modified xsi:type="dcterms:W3CDTF">2020-10-14T08:54:36Z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