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医疗保障局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firstLine="840" w:firstLineChars="3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 一、主要职能</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贯彻执行国家、省市关于医疗保险、生育保险、医疗救助等医疗保障制度的法律法规、政策、规划和标准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（二）组织实施并执行医疗保障基金监督管理办法，建</w:t>
      </w:r>
      <w:r>
        <w:rPr>
          <w:rFonts w:hint="eastAsia" w:ascii="仿宋_GB2312" w:hAnsi="仿宋_GB2312" w:eastAsia="仿宋_GB2312" w:cs="仿宋_GB2312"/>
          <w:sz w:val="32"/>
          <w:szCs w:val="32"/>
          <w:lang w:eastAsia="zh-CN"/>
        </w:rPr>
        <w:t>立</w:t>
      </w:r>
      <w:r>
        <w:rPr>
          <w:rFonts w:hint="eastAsia" w:ascii="仿宋_GB2312" w:hAnsi="仿宋_GB2312" w:eastAsia="仿宋_GB2312" w:cs="仿宋_GB2312"/>
          <w:sz w:val="32"/>
          <w:szCs w:val="32"/>
        </w:rPr>
        <w:t>健全医疗保障基金安全防控机制，推进医疗保障基金支付方式改革。</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（三）组织实施医疗保障筹资和待遇政策，组织实施长期护理保险制度改革方案。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（四）组织实施城乡统一的药品、医用耗材、医疗服务项目、医疗服务设施等医保目录和支付标准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承担医保目录准入相关工作。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组织落实药品、医用耗材价格和医疗服务项目、医疗服务设施收费等政策，建立医保支付医药服务价格合理确定和动态调整机制，推动建立市场主导的社会医药服务价格形成机制，建立价格信息监测和信息发布制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（六）监督实施药品、医用耗材的招标采购政策。</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（七）组织实施定点医药机构服务协议和支付管理办法，建立健全医疗保障信用评价体系和信息披露制度，监督管理纳入医保范围内的医疗服务行为和医疗费用，依法查处医疗保障领域违法违规和欺诈骗保行为。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（八）负责医疗保障经办管理、公共服务体系和信息化建设。组织落实异地就医管理和费用结算政策。建立健全医疗保障关系转移接续制度。开展医疗保障领域合作交流。</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（九）组织实施全县医疗保险、生育保险、医疗救助等政策规定，做好全县医疗保障行政和经办业务工作。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县医疗保障局应完善统一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w:t>
      </w: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sz w:val="28"/>
          <w:szCs w:val="28"/>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）县卫生健康局、医疗保障局、市场监督管理局等部门在医疗、医保、医药等方面加强制度和政策</w:t>
      </w:r>
      <w:r>
        <w:rPr>
          <w:rFonts w:hint="eastAsia" w:ascii="仿宋_GB2312" w:hAnsi="仿宋_GB2312" w:eastAsia="仿宋_GB2312" w:cs="仿宋_GB2312"/>
          <w:sz w:val="32"/>
          <w:szCs w:val="32"/>
          <w:lang w:eastAsia="zh-CN"/>
        </w:rPr>
        <w:t>衔接</w:t>
      </w:r>
      <w:r>
        <w:rPr>
          <w:rFonts w:hint="eastAsia" w:ascii="仿宋_GB2312" w:hAnsi="仿宋_GB2312" w:eastAsia="仿宋_GB2312" w:cs="仿宋_GB2312"/>
          <w:sz w:val="32"/>
          <w:szCs w:val="32"/>
        </w:rPr>
        <w:t>，建立沟通协商机制，协同推进改革，提高医疗资源使用效率和医疗保障水平。</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个内设机构，</w:t>
      </w:r>
      <w:r>
        <w:rPr>
          <w:rFonts w:hint="eastAsia" w:ascii="仿宋" w:hAnsi="仿宋" w:eastAsia="仿宋"/>
          <w:sz w:val="32"/>
          <w:szCs w:val="32"/>
        </w:rPr>
        <w:t>办公室（含党办）</w:t>
      </w:r>
      <w:r>
        <w:rPr>
          <w:rFonts w:hint="eastAsia" w:ascii="仿宋" w:hAnsi="仿宋" w:eastAsia="仿宋"/>
          <w:sz w:val="32"/>
          <w:szCs w:val="32"/>
          <w:lang w:eastAsia="zh-CN"/>
        </w:rPr>
        <w:t>、</w:t>
      </w:r>
      <w:r>
        <w:rPr>
          <w:rFonts w:hint="eastAsia" w:ascii="仿宋" w:hAnsi="仿宋" w:eastAsia="仿宋"/>
          <w:sz w:val="32"/>
          <w:szCs w:val="32"/>
        </w:rPr>
        <w:t>待遇保障股</w:t>
      </w:r>
      <w:r>
        <w:rPr>
          <w:rFonts w:hint="eastAsia" w:ascii="仿宋" w:hAnsi="仿宋" w:eastAsia="仿宋"/>
          <w:sz w:val="32"/>
          <w:szCs w:val="32"/>
          <w:lang w:eastAsia="zh-CN"/>
        </w:rPr>
        <w:t>、</w:t>
      </w:r>
      <w:r>
        <w:rPr>
          <w:rFonts w:hint="eastAsia" w:ascii="仿宋" w:hAnsi="仿宋" w:eastAsia="仿宋"/>
          <w:sz w:val="32"/>
          <w:szCs w:val="32"/>
        </w:rPr>
        <w:t>医疗救助、特殊疾病管理股和零星报销股</w:t>
      </w:r>
      <w:r>
        <w:rPr>
          <w:rFonts w:hint="eastAsia" w:ascii="仿宋" w:hAnsi="仿宋" w:eastAsia="仿宋"/>
          <w:sz w:val="32"/>
          <w:szCs w:val="32"/>
          <w:lang w:eastAsia="zh-CN"/>
        </w:rPr>
        <w:t>、</w:t>
      </w:r>
      <w:r>
        <w:rPr>
          <w:rFonts w:hint="eastAsia" w:ascii="仿宋" w:hAnsi="仿宋" w:eastAsia="仿宋"/>
          <w:sz w:val="32"/>
          <w:szCs w:val="32"/>
        </w:rPr>
        <w:t>医药价格和招标采购股</w:t>
      </w:r>
      <w:r>
        <w:rPr>
          <w:rFonts w:hint="eastAsia" w:ascii="仿宋" w:hAnsi="仿宋" w:eastAsia="仿宋"/>
          <w:sz w:val="32"/>
          <w:szCs w:val="32"/>
          <w:lang w:eastAsia="zh-CN"/>
        </w:rPr>
        <w:t>、</w:t>
      </w:r>
      <w:r>
        <w:rPr>
          <w:rFonts w:hint="eastAsia" w:ascii="仿宋" w:hAnsi="仿宋" w:eastAsia="仿宋"/>
          <w:sz w:val="32"/>
          <w:szCs w:val="32"/>
        </w:rPr>
        <w:t>医药服务管理股</w:t>
      </w:r>
      <w:r>
        <w:rPr>
          <w:rFonts w:hint="eastAsia" w:ascii="仿宋" w:hAnsi="仿宋" w:eastAsia="仿宋"/>
          <w:sz w:val="32"/>
          <w:szCs w:val="32"/>
          <w:lang w:eastAsia="zh-CN"/>
        </w:rPr>
        <w:t>、</w:t>
      </w:r>
      <w:r>
        <w:rPr>
          <w:rFonts w:hint="eastAsia" w:ascii="仿宋" w:hAnsi="仿宋" w:eastAsia="仿宋"/>
          <w:sz w:val="32"/>
          <w:szCs w:val="32"/>
        </w:rPr>
        <w:t>基金监管(稽核)股和综合股</w:t>
      </w:r>
      <w:r>
        <w:rPr>
          <w:rFonts w:hint="eastAsia" w:ascii="仿宋" w:hAnsi="仿宋" w:eastAsia="仿宋"/>
          <w:sz w:val="32"/>
          <w:szCs w:val="32"/>
          <w:lang w:eastAsia="zh-CN"/>
        </w:rPr>
        <w:t>、</w:t>
      </w:r>
      <w:r>
        <w:rPr>
          <w:rFonts w:hint="eastAsia" w:ascii="仿宋" w:hAnsi="仿宋" w:eastAsia="仿宋"/>
          <w:sz w:val="32"/>
          <w:szCs w:val="32"/>
        </w:rPr>
        <w:t>财会室</w:t>
      </w:r>
      <w:r>
        <w:rPr>
          <w:rFonts w:hint="eastAsia" w:ascii="仿宋" w:hAnsi="仿宋" w:eastAsia="仿宋"/>
          <w:sz w:val="32"/>
          <w:szCs w:val="32"/>
          <w:lang w:eastAsia="zh-CN"/>
        </w:rPr>
        <w:t>、</w:t>
      </w:r>
      <w:r>
        <w:rPr>
          <w:rFonts w:hint="eastAsia" w:ascii="仿宋" w:hAnsi="仿宋" w:eastAsia="仿宋"/>
          <w:sz w:val="32"/>
          <w:szCs w:val="32"/>
        </w:rPr>
        <w:t>医疗保险经办服务中心</w:t>
      </w:r>
      <w:r>
        <w:rPr>
          <w:rFonts w:hint="eastAsia" w:ascii="仿宋" w:hAnsi="仿宋" w:eastAsia="仿宋"/>
          <w:sz w:val="32"/>
          <w:szCs w:val="32"/>
          <w:lang w:eastAsia="zh-CN"/>
        </w:rPr>
        <w:t>，</w:t>
      </w:r>
      <w:r>
        <w:rPr>
          <w:rFonts w:hint="eastAsia" w:asciiTheme="minorEastAsia" w:hAnsiTheme="minorEastAsia" w:eastAsiaTheme="minorEastAsia" w:cstheme="minorEastAsia"/>
          <w:color w:val="333333"/>
          <w:sz w:val="28"/>
          <w:szCs w:val="28"/>
        </w:rPr>
        <w:t>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4个</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24</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eastAsia="zh-CN"/>
        </w:rPr>
        <w:t>；参公人</w:t>
      </w:r>
      <w:r>
        <w:rPr>
          <w:rFonts w:hint="eastAsia" w:asciiTheme="minorEastAsia" w:hAnsiTheme="minorEastAsia" w:cstheme="minorEastAsia"/>
          <w:color w:val="333333"/>
          <w:sz w:val="28"/>
          <w:szCs w:val="28"/>
          <w:lang w:val="en-US" w:eastAsia="zh-CN"/>
        </w:rPr>
        <w:t>9人，退休2人。</w:t>
      </w: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5498.40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5488.19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1037.06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23.25</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1030.33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23.11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5498.40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5498.40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5488.19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5488.19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5498.40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1037.06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23.25</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5488.19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1030.33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23.11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5488.19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1030.33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23.11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5488.19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34.87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0.64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5433.61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99.01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0.14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0.22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197.00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5488.19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2785.88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%。决算数大于预算数的主要原因：增加了行政管理事务等项目资</w:t>
      </w:r>
      <w:r>
        <w:rPr>
          <w:rFonts w:hint="eastAsia" w:asciiTheme="minorEastAsia" w:hAnsiTheme="minorEastAsia" w:cstheme="minorEastAsia"/>
          <w:i w:val="0"/>
          <w:caps w:val="0"/>
          <w:color w:val="373737"/>
          <w:spacing w:val="0"/>
          <w:sz w:val="28"/>
          <w:szCs w:val="28"/>
          <w:shd w:val="clear" w:fill="FFFFFF"/>
          <w:vertAlign w:val="baseline"/>
          <w:lang w:eastAsia="zh-CN"/>
        </w:rPr>
        <w:t>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64.54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34.87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54.03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新增加退休人员。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132.46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5433.61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4103.08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w:t>
      </w:r>
      <w:r>
        <w:rPr>
          <w:rFonts w:hint="eastAsia" w:asciiTheme="minorEastAsia" w:hAnsiTheme="minorEastAsia" w:cstheme="minorEastAsia"/>
          <w:i w:val="0"/>
          <w:caps w:val="0"/>
          <w:color w:val="373737"/>
          <w:spacing w:val="0"/>
          <w:sz w:val="28"/>
          <w:szCs w:val="28"/>
          <w:shd w:val="clear" w:fill="FFFFFF"/>
          <w:vertAlign w:val="baseline"/>
          <w:lang w:eastAsia="zh-CN"/>
        </w:rPr>
        <w:t>费</w:t>
      </w:r>
      <w:r>
        <w:rPr>
          <w:rFonts w:hint="eastAsia" w:asciiTheme="minorEastAsia" w:hAnsiTheme="minorEastAsia" w:eastAsiaTheme="minorEastAsia" w:cstheme="minorEastAsia"/>
          <w:i w:val="0"/>
          <w:caps w:val="0"/>
          <w:color w:val="373737"/>
          <w:spacing w:val="0"/>
          <w:sz w:val="28"/>
          <w:szCs w:val="28"/>
          <w:shd w:val="clear" w:fill="FFFFFF"/>
          <w:vertAlign w:val="baseline"/>
        </w:rPr>
        <w:t>比例增加了</w:t>
      </w:r>
      <w:r>
        <w:rPr>
          <w:rFonts w:hint="eastAsia" w:asciiTheme="minorEastAsia" w:hAnsiTheme="minorEastAsia" w:cstheme="minorEastAsia"/>
          <w:i w:val="0"/>
          <w:caps w:val="0"/>
          <w:color w:val="373737"/>
          <w:spacing w:val="0"/>
          <w:sz w:val="28"/>
          <w:szCs w:val="28"/>
          <w:shd w:val="clear" w:fill="FFFFFF"/>
          <w:vertAlign w:val="baseline"/>
          <w:lang w:eastAsia="zh-CN"/>
        </w:rPr>
        <w:t>和城乡居民、离休人员医疗费支出较大</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7.46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237.12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219.61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17.51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cstheme="minorEastAsia"/>
          <w:b/>
          <w:color w:val="333333"/>
          <w:sz w:val="28"/>
          <w:szCs w:val="28"/>
          <w:lang w:eastAsia="zh-CN"/>
        </w:rPr>
      </w:pPr>
      <w:r>
        <w:rPr>
          <w:rFonts w:hint="eastAsia" w:asciiTheme="minorEastAsia" w:hAnsiTheme="minorEastAsia" w:cstheme="minorEastAsia"/>
          <w:b/>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万元，自评覆盖率达到100%。</w:t>
      </w:r>
      <w:bookmarkStart w:id="0" w:name="_GoBack"/>
      <w:bookmarkEnd w:id="0"/>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Calibri Light">
    <w:altName w:val="Calibri"/>
    <w:panose1 w:val="020F0302020204030204"/>
    <w:charset w:val="00"/>
    <w:family w:val="swiss"/>
    <w:pitch w:val="default"/>
    <w:sig w:usb0="00000000" w:usb1="00000000" w:usb2="00000000" w:usb3="00000000" w:csb0="0000019F" w:csb1="00000000"/>
  </w:font>
  <w:font w:name="Segoe UI">
    <w:panose1 w:val="020B0502040204020203"/>
    <w:charset w:val="00"/>
    <w:family w:val="auto"/>
    <w:pitch w:val="default"/>
    <w:sig w:usb0="E10022FF" w:usb1="C000E47F" w:usb2="00000029" w:usb3="00000000" w:csb0="200001DF" w:csb1="20000000"/>
  </w:font>
  <w:font w:name="Microsoft JhengHei">
    <w:panose1 w:val="020B0604030504040204"/>
    <w:charset w:val="88"/>
    <w:family w:val="swiss"/>
    <w:pitch w:val="default"/>
    <w:sig w:usb0="00000087" w:usb1="28AF4000" w:usb2="00000016" w:usb3="00000000" w:csb0="00100009" w:csb1="00000000"/>
  </w:font>
  <w:font w:name="华文仿宋">
    <w:altName w:val="仿宋"/>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554B9"/>
    <w:multiLevelType w:val="singleLevel"/>
    <w:tmpl w:val="5F8554B9"/>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15209A2"/>
    <w:rsid w:val="03EF4A11"/>
    <w:rsid w:val="03FE7F0E"/>
    <w:rsid w:val="04132330"/>
    <w:rsid w:val="049B50E6"/>
    <w:rsid w:val="05F56A56"/>
    <w:rsid w:val="09533054"/>
    <w:rsid w:val="098217C0"/>
    <w:rsid w:val="0B754ABA"/>
    <w:rsid w:val="0E980DC7"/>
    <w:rsid w:val="173705C8"/>
    <w:rsid w:val="179B676B"/>
    <w:rsid w:val="1A1F65C5"/>
    <w:rsid w:val="1B4531B9"/>
    <w:rsid w:val="1B4F0C80"/>
    <w:rsid w:val="1BF1363C"/>
    <w:rsid w:val="1CFB22BC"/>
    <w:rsid w:val="1DE51A23"/>
    <w:rsid w:val="1F464946"/>
    <w:rsid w:val="21597618"/>
    <w:rsid w:val="22C77EF8"/>
    <w:rsid w:val="23C60AF9"/>
    <w:rsid w:val="28BD2484"/>
    <w:rsid w:val="2A054FEB"/>
    <w:rsid w:val="2B265FBC"/>
    <w:rsid w:val="2DE7389C"/>
    <w:rsid w:val="33E77F64"/>
    <w:rsid w:val="35955F21"/>
    <w:rsid w:val="3964752F"/>
    <w:rsid w:val="39B500CF"/>
    <w:rsid w:val="3DDC6AB6"/>
    <w:rsid w:val="3E7434E4"/>
    <w:rsid w:val="3F98625C"/>
    <w:rsid w:val="419008B3"/>
    <w:rsid w:val="47135F50"/>
    <w:rsid w:val="47D20682"/>
    <w:rsid w:val="48EE512C"/>
    <w:rsid w:val="4A3B42DF"/>
    <w:rsid w:val="4BEA0B4C"/>
    <w:rsid w:val="4D025F07"/>
    <w:rsid w:val="5848766B"/>
    <w:rsid w:val="62763A6A"/>
    <w:rsid w:val="629841CE"/>
    <w:rsid w:val="6A6872B3"/>
    <w:rsid w:val="6B6E45D7"/>
    <w:rsid w:val="6BC52739"/>
    <w:rsid w:val="6EA35708"/>
    <w:rsid w:val="722364F5"/>
    <w:rsid w:val="72FD50C7"/>
    <w:rsid w:val="763C3B43"/>
    <w:rsid w:val="768870B2"/>
    <w:rsid w:val="768A2BF1"/>
    <w:rsid w:val="7A8C44E1"/>
    <w:rsid w:val="7BC22F3A"/>
    <w:rsid w:val="7D014518"/>
    <w:rsid w:val="7EDB22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2020-10-14T07:37:03Z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