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180" w:beforeAutospacing="0" w:after="360" w:afterAutospacing="0" w:line="450" w:lineRule="atLeast"/>
        <w:ind w:left="260"/>
        <w:jc w:val="center"/>
        <w:rPr>
          <w:rFonts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2019年度绥滨县机关事务服务中心决算文字说明</w:t>
      </w:r>
    </w:p>
    <w:p>
      <w:pPr>
        <w:pStyle w:val="4"/>
        <w:widowControl/>
        <w:spacing w:before="180" w:beforeAutospacing="0" w:after="360" w:afterAutospacing="0" w:line="450" w:lineRule="atLeast"/>
        <w:ind w:left="260"/>
        <w:rPr>
          <w:rFonts w:asciiTheme="minorEastAsia" w:hAnsiTheme="minorEastAsia" w:cstheme="minorEastAsia"/>
          <w:b/>
          <w:color w:val="333333"/>
          <w:sz w:val="28"/>
          <w:szCs w:val="28"/>
        </w:rPr>
      </w:pPr>
    </w:p>
    <w:p>
      <w:pPr>
        <w:pStyle w:val="4"/>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b/>
          <w:color w:val="333333"/>
          <w:sz w:val="28"/>
          <w:szCs w:val="28"/>
        </w:rPr>
        <w:t>第一部分 部门概况</w:t>
      </w:r>
    </w:p>
    <w:p>
      <w:pPr>
        <w:pStyle w:val="4"/>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4"/>
        <w:widowControl/>
        <w:spacing w:before="180" w:beforeAutospacing="0" w:after="360" w:afterAutospacing="0" w:line="450" w:lineRule="atLeast"/>
        <w:rPr>
          <w:rFonts w:asciiTheme="minorEastAsia" w:hAnsiTheme="minorEastAsia" w:cstheme="minorEastAsia"/>
          <w:sz w:val="28"/>
          <w:szCs w:val="28"/>
        </w:rPr>
      </w:pPr>
      <w:r>
        <w:rPr>
          <w:rFonts w:hint="eastAsia" w:asciiTheme="minorEastAsia" w:hAnsiTheme="minorEastAsia" w:cstheme="minorEastAsia"/>
          <w:color w:val="333333"/>
          <w:sz w:val="28"/>
          <w:szCs w:val="28"/>
        </w:rPr>
        <w:t>    一、主要职能</w:t>
      </w:r>
    </w:p>
    <w:p>
      <w:pPr>
        <w:pStyle w:val="4"/>
        <w:widowControl/>
        <w:ind w:firstLine="840" w:firstLineChars="300"/>
      </w:pPr>
      <w:r>
        <w:rPr>
          <w:rFonts w:hint="eastAsia" w:asciiTheme="minorEastAsia" w:hAnsiTheme="minorEastAsia" w:cstheme="minorEastAsia"/>
          <w:color w:val="333333"/>
          <w:sz w:val="28"/>
          <w:szCs w:val="28"/>
          <w:shd w:val="clear" w:color="auto" w:fill="FFFFFF"/>
        </w:rPr>
        <w:t>（一）</w:t>
      </w:r>
      <w:r>
        <w:rPr>
          <w:rFonts w:hint="eastAsia"/>
        </w:rPr>
        <w:t>贯彻执行国家机关事务管理方面的法律、法规；负责县级机关事务的管理、保障、服务工作，拟定县级机关事务管理工作的政策、规划和制度并组织实施；指导乡镇和县直各部门机关事务工作。</w:t>
      </w:r>
    </w:p>
    <w:p>
      <w:pPr>
        <w:pStyle w:val="4"/>
        <w:widowControl/>
        <w:rPr>
          <w:rFonts w:ascii="宋体" w:hAnsi="宋体" w:eastAsia="宋体" w:cs="宋体"/>
        </w:rPr>
      </w:pPr>
      <w:r>
        <w:rPr>
          <w:rFonts w:hint="eastAsia" w:asciiTheme="minorEastAsia" w:hAnsiTheme="minorEastAsia" w:cstheme="minorEastAsia"/>
          <w:color w:val="333333"/>
          <w:sz w:val="28"/>
          <w:szCs w:val="28"/>
          <w:shd w:val="clear" w:color="auto" w:fill="FFFFFF"/>
        </w:rPr>
        <w:t xml:space="preserve">      （二）</w:t>
      </w:r>
      <w:r>
        <w:rPr>
          <w:rFonts w:hint="eastAsia" w:ascii="宋体" w:hAnsi="宋体" w:eastAsia="宋体" w:cs="宋体"/>
        </w:rPr>
        <w:t>负责对乡镇、县直各部门后勤服务工作的指导和监督；负责推进机关后勤服务和公务接待等工作的社会化改革。</w:t>
      </w:r>
      <w:r>
        <w:rPr>
          <w:rFonts w:hint="eastAsia" w:asciiTheme="minorEastAsia" w:hAnsiTheme="minorEastAsia" w:cstheme="minorEastAsia"/>
          <w:color w:val="333333"/>
          <w:sz w:val="28"/>
          <w:szCs w:val="28"/>
          <w:shd w:val="clear" w:color="auto" w:fill="FFFFFF"/>
        </w:rPr>
        <w:br w:type="textWrapping"/>
      </w:r>
      <w:r>
        <w:rPr>
          <w:rFonts w:hint="eastAsia" w:asciiTheme="minorEastAsia" w:hAnsiTheme="minorEastAsia" w:cstheme="minorEastAsia"/>
          <w:color w:val="333333"/>
          <w:sz w:val="28"/>
          <w:szCs w:val="28"/>
          <w:shd w:val="clear" w:color="auto" w:fill="FFFFFF"/>
        </w:rPr>
        <w:t>    （三）</w:t>
      </w:r>
      <w:r>
        <w:rPr>
          <w:rFonts w:hint="eastAsia" w:ascii="宋体" w:hAnsi="宋体" w:eastAsia="宋体" w:cs="宋体"/>
        </w:rPr>
        <w:t>贯彻执行国家、省和市有关公务接待相关制度及标准；负责县级机关的公务接待工作；指导乡镇、县直各部门公务接待工作；负责接待应邀来绥的重要商业团组和港、澳、台知名人士。</w:t>
      </w:r>
    </w:p>
    <w:p>
      <w:pPr>
        <w:pStyle w:val="4"/>
        <w:widowControl/>
        <w:ind w:firstLine="840" w:firstLineChars="350"/>
        <w:rPr>
          <w:rFonts w:ascii="宋体" w:hAnsi="宋体" w:eastAsia="宋体" w:cs="宋体"/>
        </w:rPr>
      </w:pPr>
      <w:r>
        <w:rPr>
          <w:rFonts w:hint="eastAsia" w:ascii="宋体" w:hAnsi="宋体" w:eastAsia="宋体" w:cs="宋体"/>
        </w:rPr>
        <w:t>（四）承担推进、指导、协调全县公共机构节能工作；负责全县公共机构节约能源监督管理和绩效评估工作。</w:t>
      </w:r>
    </w:p>
    <w:p>
      <w:pPr>
        <w:pStyle w:val="4"/>
        <w:widowControl/>
        <w:ind w:firstLine="840" w:firstLineChars="350"/>
        <w:rPr>
          <w:rFonts w:ascii="宋体" w:hAnsi="宋体" w:eastAsia="宋体" w:cs="宋体"/>
        </w:rPr>
      </w:pPr>
      <w:r>
        <w:rPr>
          <w:rFonts w:hint="eastAsia" w:ascii="宋体" w:hAnsi="宋体" w:eastAsia="宋体" w:cs="宋体"/>
        </w:rPr>
        <w:t>（五）负责县级领导周转房的管理和维护工作。</w:t>
      </w:r>
    </w:p>
    <w:p>
      <w:pPr>
        <w:pStyle w:val="4"/>
        <w:widowControl/>
        <w:ind w:firstLine="840" w:firstLineChars="300"/>
        <w:rPr>
          <w:rFonts w:asciiTheme="minorEastAsia" w:hAnsiTheme="minorEastAsia" w:cstheme="minorEastAsia"/>
          <w:sz w:val="28"/>
          <w:szCs w:val="28"/>
        </w:rPr>
      </w:pPr>
      <w:r>
        <w:rPr>
          <w:rFonts w:hint="eastAsia" w:asciiTheme="minorEastAsia" w:hAnsiTheme="minorEastAsia" w:cstheme="minorEastAsia"/>
          <w:color w:val="333333"/>
          <w:sz w:val="28"/>
          <w:szCs w:val="28"/>
          <w:shd w:val="clear" w:color="auto" w:fill="FFFFFF"/>
        </w:rPr>
        <w:t>（六）</w:t>
      </w:r>
      <w:r>
        <w:rPr>
          <w:rFonts w:hint="eastAsia" w:ascii="宋体" w:hAnsi="宋体" w:eastAsia="宋体" w:cs="宋体"/>
        </w:rPr>
        <w:t>承担县政府交办的其他事项</w:t>
      </w:r>
      <w:r>
        <w:t>。</w:t>
      </w:r>
    </w:p>
    <w:p>
      <w:pPr>
        <w:pStyle w:val="4"/>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二、机构设置及部门决算单位构成</w:t>
      </w:r>
    </w:p>
    <w:p>
      <w:pPr>
        <w:pStyle w:val="4"/>
        <w:widowControl/>
        <w:spacing w:before="180" w:beforeAutospacing="0" w:after="360" w:afterAutospacing="0" w:line="450" w:lineRule="atLeast"/>
        <w:ind w:firstLine="1120" w:firstLineChars="400"/>
        <w:rPr>
          <w:rFonts w:asciiTheme="minorEastAsia" w:hAnsiTheme="minorEastAsia" w:cstheme="minorEastAsia"/>
          <w:sz w:val="28"/>
          <w:szCs w:val="28"/>
        </w:rPr>
      </w:pPr>
      <w:r>
        <w:rPr>
          <w:rFonts w:hint="eastAsia" w:asciiTheme="minorEastAsia" w:hAnsiTheme="minorEastAsia" w:cstheme="minorEastAsia"/>
          <w:color w:val="333333"/>
          <w:sz w:val="28"/>
          <w:szCs w:val="28"/>
        </w:rPr>
        <w:t>为全额事业单位，内设2个机构，为一级预算单位。</w:t>
      </w:r>
    </w:p>
    <w:p>
      <w:pPr>
        <w:pStyle w:val="4"/>
        <w:widowControl/>
        <w:spacing w:before="180" w:beforeAutospacing="0" w:after="360" w:afterAutospacing="0" w:line="450" w:lineRule="atLeas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三、人员构成</w:t>
      </w:r>
    </w:p>
    <w:p>
      <w:pPr>
        <w:pStyle w:val="4"/>
        <w:widowControl/>
        <w:spacing w:before="180" w:beforeAutospacing="0" w:after="360" w:afterAutospacing="0" w:line="450" w:lineRule="atLeast"/>
        <w:ind w:left="458"/>
        <w:rPr>
          <w:rFonts w:asciiTheme="minorEastAsia" w:hAnsiTheme="minorEastAsia" w:cstheme="minorEastAsia"/>
          <w:sz w:val="28"/>
          <w:szCs w:val="28"/>
        </w:rPr>
      </w:pPr>
      <w:r>
        <w:rPr>
          <w:rFonts w:hint="eastAsia" w:asciiTheme="minorEastAsia" w:hAnsiTheme="minorEastAsia" w:cstheme="minorEastAsia"/>
          <w:color w:val="333333"/>
          <w:sz w:val="28"/>
          <w:szCs w:val="28"/>
        </w:rPr>
        <w:t>   事业编制6个，在职3人。</w:t>
      </w:r>
    </w:p>
    <w:p>
      <w:pPr>
        <w:pStyle w:val="4"/>
        <w:widowControl/>
        <w:spacing w:before="180" w:beforeAutospacing="0" w:after="360" w:afterAutospacing="0" w:line="450" w:lineRule="atLeast"/>
        <w:ind w:left="260"/>
        <w:rPr>
          <w:rFonts w:asciiTheme="minorEastAsia" w:hAnsiTheme="minorEastAsia" w:cstheme="minorEastAsia"/>
          <w:sz w:val="28"/>
          <w:szCs w:val="28"/>
        </w:rPr>
      </w:pPr>
      <w:r>
        <w:rPr>
          <w:rFonts w:hint="eastAsia" w:asciiTheme="minorEastAsia" w:hAnsiTheme="minorEastAsia" w:cstheme="minorEastAsia"/>
          <w:color w:val="333333"/>
          <w:sz w:val="28"/>
          <w:szCs w:val="28"/>
        </w:rPr>
        <w:t> </w:t>
      </w:r>
    </w:p>
    <w:p>
      <w:pPr>
        <w:pStyle w:val="4"/>
        <w:widowControl/>
        <w:spacing w:before="492" w:beforeAutospacing="0" w:after="672" w:afterAutospacing="0" w:line="450" w:lineRule="atLeast"/>
        <w:ind w:left="262"/>
        <w:rPr>
          <w:rFonts w:asciiTheme="minorEastAsia" w:hAnsiTheme="minorEastAsia" w:cstheme="minorEastAsia"/>
          <w:sz w:val="28"/>
          <w:szCs w:val="28"/>
        </w:rPr>
      </w:pPr>
      <w:r>
        <w:rPr>
          <w:rFonts w:hint="eastAsia" w:asciiTheme="minorEastAsia" w:hAnsiTheme="minorEastAsia" w:cstheme="minorEastAsia"/>
          <w:b/>
          <w:color w:val="333333"/>
          <w:sz w:val="28"/>
          <w:szCs w:val="28"/>
        </w:rPr>
        <w:t>第二部分2019年度部门决算情况说明</w:t>
      </w:r>
    </w:p>
    <w:p>
      <w:pPr>
        <w:pStyle w:val="4"/>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一、2019年度收入支出决算总体情况说明</w:t>
      </w:r>
    </w:p>
    <w:p>
      <w:pPr>
        <w:pStyle w:val="4"/>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本单位为2019年新增预算单位，2019年度收入总计1,259.24 万元，支出总计1,258.47万元。</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 2019年度收入决算情况说明</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本年收入合计1259.24万元，其中：财政拨款收入1,091.56万元，占 86.68 %；其他收入 0.19 万元，占 0.02 %，上年结转和结余167.49万，占13.3%。</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三、2019年度支出决算情况说明</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本年支出合计1,258.47万元，其中：基本支出1,258.47万元，占100%；</w:t>
      </w:r>
    </w:p>
    <w:p>
      <w:pPr>
        <w:pStyle w:val="4"/>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四、2019年度财政拨款收入支出决算总体情况说明</w:t>
      </w:r>
    </w:p>
    <w:p>
      <w:pPr>
        <w:pStyle w:val="4"/>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本单位为2019年新增预算单位，2019年度财政拨款收入1,091.56万元，其他收入 0.19 万元，年初结转和结余167.49万，为</w:t>
      </w:r>
      <w:r>
        <w:rPr>
          <w:rFonts w:asciiTheme="minorEastAsia" w:hAnsiTheme="minorEastAsia" w:cstheme="minorEastAsia"/>
          <w:color w:val="373737"/>
          <w:sz w:val="28"/>
          <w:szCs w:val="28"/>
          <w:shd w:val="clear" w:color="auto" w:fill="FFFFFF"/>
        </w:rPr>
        <w:t>以前年度因</w:t>
      </w:r>
      <w:r>
        <w:rPr>
          <w:rFonts w:hint="eastAsia" w:asciiTheme="minorEastAsia" w:hAnsiTheme="minorEastAsia" w:cstheme="minorEastAsia"/>
          <w:color w:val="373737"/>
          <w:sz w:val="28"/>
          <w:szCs w:val="28"/>
          <w:shd w:val="clear" w:color="auto" w:fill="FFFFFF"/>
        </w:rPr>
        <w:t>客观</w:t>
      </w:r>
      <w:r>
        <w:rPr>
          <w:rFonts w:asciiTheme="minorEastAsia" w:hAnsiTheme="minorEastAsia" w:cstheme="minorEastAsia"/>
          <w:color w:val="373737"/>
          <w:sz w:val="28"/>
          <w:szCs w:val="28"/>
          <w:shd w:val="clear" w:color="auto" w:fill="FFFFFF"/>
        </w:rPr>
        <w:t>条件发生变法无法按原计划实施，需要延迟到以后年度继续使用的资金，</w:t>
      </w:r>
      <w:r>
        <w:rPr>
          <w:rFonts w:hint="eastAsia" w:asciiTheme="minorEastAsia" w:hAnsiTheme="minorEastAsia" w:cstheme="minorEastAsia"/>
          <w:color w:val="373737"/>
          <w:sz w:val="28"/>
          <w:szCs w:val="28"/>
          <w:shd w:val="clear" w:color="auto" w:fill="FFFFFF"/>
        </w:rPr>
        <w:t xml:space="preserve"> 2019年度财政拨款支出1,091.56万元。</w:t>
      </w:r>
    </w:p>
    <w:p>
      <w:pPr>
        <w:pStyle w:val="4"/>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五、2019年度一般公共预算财政拨款支出决算情况说明</w:t>
      </w:r>
    </w:p>
    <w:p>
      <w:pPr>
        <w:pStyle w:val="4"/>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（一）财政拨款支出决算总体情况。</w:t>
      </w:r>
    </w:p>
    <w:p>
      <w:pPr>
        <w:pStyle w:val="4"/>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 xml:space="preserve">2019年度财政拨款支出1,091.56万元，占本年支出合计的 </w:t>
      </w:r>
      <w:r>
        <w:rPr>
          <w:rFonts w:asciiTheme="minorEastAsia" w:hAnsiTheme="minorEastAsia" w:cstheme="minorEastAsia"/>
          <w:color w:val="373737"/>
          <w:sz w:val="28"/>
          <w:szCs w:val="28"/>
          <w:shd w:val="clear" w:color="auto" w:fill="FFFFFF"/>
        </w:rPr>
        <w:t>86.74</w:t>
      </w:r>
      <w:r>
        <w:rPr>
          <w:rFonts w:hint="eastAsia" w:asciiTheme="minorEastAsia" w:hAnsiTheme="minorEastAsia" w:cstheme="minorEastAsia"/>
          <w:color w:val="373737"/>
          <w:sz w:val="28"/>
          <w:szCs w:val="28"/>
          <w:shd w:val="clear" w:color="auto" w:fill="FFFFFF"/>
        </w:rPr>
        <w:t>%。</w:t>
      </w:r>
    </w:p>
    <w:p>
      <w:pPr>
        <w:pStyle w:val="4"/>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（二）财政拨款支出决算结构情况。</w:t>
      </w:r>
    </w:p>
    <w:p>
      <w:pPr>
        <w:pStyle w:val="4"/>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2019年度财政拨款支出1,091.56 万元，主要用于以下方面：</w:t>
      </w:r>
      <w:r>
        <w:rPr>
          <w:rFonts w:hint="eastAsia" w:asciiTheme="minorEastAsia" w:hAnsiTheme="minorEastAsia" w:cstheme="minorEastAsia"/>
          <w:b/>
          <w:bCs/>
          <w:color w:val="373737"/>
          <w:sz w:val="28"/>
          <w:szCs w:val="28"/>
          <w:shd w:val="clear" w:color="auto" w:fill="FFFFFF"/>
        </w:rPr>
        <w:t>人员工资支出</w:t>
      </w:r>
      <w:r>
        <w:rPr>
          <w:rFonts w:hint="eastAsia" w:asciiTheme="minorEastAsia" w:hAnsiTheme="minorEastAsia" w:cstheme="minorEastAsia"/>
          <w:color w:val="373737"/>
          <w:sz w:val="28"/>
          <w:szCs w:val="28"/>
          <w:shd w:val="clear" w:color="auto" w:fill="FFFFFF"/>
        </w:rPr>
        <w:t>17.14万元,占1.</w:t>
      </w:r>
      <w:r>
        <w:rPr>
          <w:rFonts w:asciiTheme="minorEastAsia" w:hAnsiTheme="minorEastAsia" w:cstheme="minorEastAsia"/>
          <w:color w:val="373737"/>
          <w:sz w:val="28"/>
          <w:szCs w:val="28"/>
          <w:shd w:val="clear" w:color="auto" w:fill="FFFFFF"/>
        </w:rPr>
        <w:t>57</w:t>
      </w:r>
      <w:r>
        <w:rPr>
          <w:rFonts w:hint="eastAsia" w:asciiTheme="minorEastAsia" w:hAnsiTheme="minorEastAsia" w:cstheme="minorEastAsia"/>
          <w:color w:val="373737"/>
          <w:sz w:val="28"/>
          <w:szCs w:val="28"/>
          <w:shd w:val="clear" w:color="auto" w:fill="FFFFFF"/>
        </w:rPr>
        <w:t>%；</w:t>
      </w:r>
      <w:r>
        <w:rPr>
          <w:rStyle w:val="7"/>
          <w:rFonts w:hint="eastAsia" w:asciiTheme="minorEastAsia" w:hAnsiTheme="minorEastAsia" w:cstheme="minorEastAsia"/>
          <w:color w:val="373737"/>
          <w:sz w:val="28"/>
          <w:szCs w:val="28"/>
          <w:shd w:val="clear" w:color="auto" w:fill="FFFFFF"/>
        </w:rPr>
        <w:t>社会保障和就业（类）</w:t>
      </w:r>
      <w:r>
        <w:rPr>
          <w:rFonts w:hint="eastAsia" w:asciiTheme="minorEastAsia" w:hAnsiTheme="minorEastAsia" w:cstheme="minorEastAsia"/>
          <w:color w:val="373737"/>
          <w:sz w:val="28"/>
          <w:szCs w:val="28"/>
          <w:shd w:val="clear" w:color="auto" w:fill="FFFFFF"/>
        </w:rPr>
        <w:t>支出 1.23万元，占0.</w:t>
      </w:r>
      <w:r>
        <w:rPr>
          <w:rFonts w:asciiTheme="minorEastAsia" w:hAnsiTheme="minorEastAsia" w:cstheme="minorEastAsia"/>
          <w:color w:val="373737"/>
          <w:sz w:val="28"/>
          <w:szCs w:val="28"/>
          <w:shd w:val="clear" w:color="auto" w:fill="FFFFFF"/>
        </w:rPr>
        <w:t>11</w:t>
      </w:r>
      <w:r>
        <w:rPr>
          <w:rFonts w:hint="eastAsia" w:asciiTheme="minorEastAsia" w:hAnsiTheme="minorEastAsia" w:cstheme="minorEastAsia"/>
          <w:color w:val="373737"/>
          <w:sz w:val="28"/>
          <w:szCs w:val="28"/>
          <w:shd w:val="clear" w:color="auto" w:fill="FFFFFF"/>
        </w:rPr>
        <w:t>%；</w:t>
      </w:r>
      <w:r>
        <w:rPr>
          <w:rStyle w:val="7"/>
          <w:rFonts w:hint="eastAsia" w:asciiTheme="minorEastAsia" w:hAnsiTheme="minorEastAsia" w:cstheme="minorEastAsia"/>
          <w:color w:val="373737"/>
          <w:sz w:val="28"/>
          <w:szCs w:val="28"/>
          <w:shd w:val="clear" w:color="auto" w:fill="FFFFFF"/>
        </w:rPr>
        <w:t>医疗卫生与计划生育（类）</w:t>
      </w:r>
      <w:r>
        <w:rPr>
          <w:rFonts w:hint="eastAsia" w:asciiTheme="minorEastAsia" w:hAnsiTheme="minorEastAsia" w:cstheme="minorEastAsia"/>
          <w:color w:val="373737"/>
          <w:sz w:val="28"/>
          <w:szCs w:val="28"/>
          <w:shd w:val="clear" w:color="auto" w:fill="FFFFFF"/>
        </w:rPr>
        <w:t>支出0.3 万元，占0.02</w:t>
      </w:r>
      <w:r>
        <w:rPr>
          <w:rFonts w:asciiTheme="minorEastAsia" w:hAnsiTheme="minorEastAsia" w:cstheme="minorEastAsia"/>
          <w:color w:val="373737"/>
          <w:sz w:val="28"/>
          <w:szCs w:val="28"/>
          <w:shd w:val="clear" w:color="auto" w:fill="FFFFFF"/>
        </w:rPr>
        <w:t>7</w:t>
      </w:r>
      <w:r>
        <w:rPr>
          <w:rFonts w:hint="eastAsia" w:asciiTheme="minorEastAsia" w:hAnsiTheme="minorEastAsia" w:cstheme="minorEastAsia"/>
          <w:color w:val="373737"/>
          <w:sz w:val="28"/>
          <w:szCs w:val="28"/>
          <w:shd w:val="clear" w:color="auto" w:fill="FFFFFF"/>
        </w:rPr>
        <w:t xml:space="preserve"> %；</w:t>
      </w:r>
      <w:r>
        <w:rPr>
          <w:rStyle w:val="7"/>
          <w:rFonts w:hint="eastAsia" w:asciiTheme="minorEastAsia" w:hAnsiTheme="minorEastAsia" w:cstheme="minorEastAsia"/>
          <w:color w:val="373737"/>
          <w:sz w:val="28"/>
          <w:szCs w:val="28"/>
          <w:shd w:val="clear" w:color="auto" w:fill="FFFFFF"/>
        </w:rPr>
        <w:t>住房保障（类）</w:t>
      </w:r>
      <w:r>
        <w:rPr>
          <w:rFonts w:hint="eastAsia" w:asciiTheme="minorEastAsia" w:hAnsiTheme="minorEastAsia" w:cstheme="minorEastAsia"/>
          <w:color w:val="373737"/>
          <w:sz w:val="28"/>
          <w:szCs w:val="28"/>
          <w:shd w:val="clear" w:color="auto" w:fill="FFFFFF"/>
        </w:rPr>
        <w:t>支出0.4 万元，占 0.03</w:t>
      </w:r>
      <w:r>
        <w:rPr>
          <w:rFonts w:asciiTheme="minorEastAsia" w:hAnsiTheme="minorEastAsia" w:cstheme="minorEastAsia"/>
          <w:color w:val="373737"/>
          <w:sz w:val="28"/>
          <w:szCs w:val="28"/>
          <w:shd w:val="clear" w:color="auto" w:fill="FFFFFF"/>
        </w:rPr>
        <w:t>7</w:t>
      </w:r>
      <w:r>
        <w:rPr>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b/>
          <w:bCs/>
          <w:color w:val="373737"/>
          <w:sz w:val="28"/>
          <w:szCs w:val="28"/>
          <w:shd w:val="clear" w:color="auto" w:fill="FFFFFF"/>
        </w:rPr>
        <w:t>一般公共</w:t>
      </w:r>
      <w:r>
        <w:rPr>
          <w:rFonts w:asciiTheme="minorEastAsia" w:hAnsiTheme="minorEastAsia" w:cstheme="minorEastAsia"/>
          <w:b/>
          <w:bCs/>
          <w:color w:val="373737"/>
          <w:sz w:val="28"/>
          <w:szCs w:val="28"/>
          <w:shd w:val="clear" w:color="auto" w:fill="FFFFFF"/>
        </w:rPr>
        <w:t>服务</w:t>
      </w:r>
      <w:r>
        <w:rPr>
          <w:rFonts w:hint="eastAsia" w:asciiTheme="minorEastAsia" w:hAnsiTheme="minorEastAsia" w:cstheme="minorEastAsia"/>
          <w:b/>
          <w:bCs/>
          <w:color w:val="373737"/>
          <w:sz w:val="28"/>
          <w:szCs w:val="28"/>
          <w:shd w:val="clear" w:color="auto" w:fill="FFFFFF"/>
        </w:rPr>
        <w:t xml:space="preserve">支出约 </w:t>
      </w:r>
      <w:r>
        <w:rPr>
          <w:rFonts w:hint="eastAsia" w:asciiTheme="minorEastAsia" w:hAnsiTheme="minorEastAsia" w:cstheme="minorEastAsia"/>
          <w:color w:val="373737"/>
          <w:sz w:val="28"/>
          <w:szCs w:val="28"/>
          <w:shd w:val="clear" w:color="auto" w:fill="FFFFFF"/>
        </w:rPr>
        <w:t>1,</w:t>
      </w:r>
      <w:r>
        <w:rPr>
          <w:rFonts w:asciiTheme="minorEastAsia" w:hAnsiTheme="minorEastAsia" w:cstheme="minorEastAsia"/>
          <w:color w:val="373737"/>
          <w:sz w:val="28"/>
          <w:szCs w:val="28"/>
          <w:shd w:val="clear" w:color="auto" w:fill="FFFFFF"/>
        </w:rPr>
        <w:t>072</w:t>
      </w:r>
      <w:r>
        <w:rPr>
          <w:rFonts w:hint="eastAsia" w:asciiTheme="minorEastAsia" w:hAnsiTheme="minorEastAsia" w:cstheme="minorEastAsia"/>
          <w:color w:val="373737"/>
          <w:sz w:val="28"/>
          <w:szCs w:val="28"/>
          <w:shd w:val="clear" w:color="auto" w:fill="FFFFFF"/>
        </w:rPr>
        <w:t>.</w:t>
      </w:r>
      <w:r>
        <w:rPr>
          <w:rFonts w:asciiTheme="minorEastAsia" w:hAnsiTheme="minorEastAsia" w:cstheme="minorEastAsia"/>
          <w:color w:val="373737"/>
          <w:sz w:val="28"/>
          <w:szCs w:val="28"/>
          <w:shd w:val="clear" w:color="auto" w:fill="FFFFFF"/>
        </w:rPr>
        <w:t>49</w:t>
      </w:r>
      <w:r>
        <w:rPr>
          <w:rFonts w:hint="eastAsia" w:asciiTheme="minorEastAsia" w:hAnsiTheme="minorEastAsia" w:cstheme="minorEastAsia"/>
          <w:color w:val="373737"/>
          <w:sz w:val="28"/>
          <w:szCs w:val="28"/>
          <w:shd w:val="clear" w:color="auto" w:fill="FFFFFF"/>
        </w:rPr>
        <w:t>万元，占 98.</w:t>
      </w:r>
      <w:r>
        <w:rPr>
          <w:rFonts w:asciiTheme="minorEastAsia" w:hAnsiTheme="minorEastAsia" w:cstheme="minorEastAsia"/>
          <w:color w:val="373737"/>
          <w:sz w:val="28"/>
          <w:szCs w:val="28"/>
          <w:shd w:val="clear" w:color="auto" w:fill="FFFFFF"/>
        </w:rPr>
        <w:t>26</w:t>
      </w:r>
      <w:r>
        <w:rPr>
          <w:rFonts w:hint="eastAsia" w:asciiTheme="minorEastAsia" w:hAnsiTheme="minorEastAsia" w:cstheme="minorEastAsia"/>
          <w:color w:val="373737"/>
          <w:sz w:val="28"/>
          <w:szCs w:val="28"/>
          <w:shd w:val="clear" w:color="auto" w:fill="FFFFFF"/>
        </w:rPr>
        <w:t xml:space="preserve"> %。</w:t>
      </w:r>
    </w:p>
    <w:p>
      <w:pPr>
        <w:pStyle w:val="4"/>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（三）财政拨款支出决算具体情况。（根据单位实际科目）</w:t>
      </w:r>
    </w:p>
    <w:p>
      <w:pPr>
        <w:pStyle w:val="4"/>
        <w:widowControl/>
        <w:shd w:val="clear" w:color="auto" w:fill="FFFFFF"/>
        <w:spacing w:beforeAutospacing="0" w:after="225" w:afterAutospacing="0"/>
        <w:ind w:firstLine="990"/>
        <w:textAlignment w:val="baseline"/>
        <w:rPr>
          <w:rFonts w:asciiTheme="minorEastAsia" w:hAnsiTheme="minorEastAsia" w:cstheme="minorEastAsia"/>
          <w:color w:val="373737"/>
          <w:sz w:val="28"/>
          <w:szCs w:val="28"/>
          <w:shd w:val="clear" w:color="auto" w:fill="FFFFFF"/>
        </w:rPr>
      </w:pPr>
      <w:r>
        <w:rPr>
          <w:rFonts w:hint="eastAsia" w:asciiTheme="minorEastAsia" w:hAnsiTheme="minorEastAsia" w:cstheme="minorEastAsia"/>
          <w:color w:val="373737"/>
          <w:sz w:val="28"/>
          <w:szCs w:val="28"/>
          <w:shd w:val="clear" w:color="auto" w:fill="FFFFFF"/>
        </w:rPr>
        <w:t>2019年度财政拨款支出年初预算为0万元，支出决算为1,091.56 万元。</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1. 社会保障和就业（类）行政事业单位离退休（款）未归口管理的行政单位离退休（项）。</w:t>
      </w:r>
    </w:p>
    <w:p>
      <w:pPr>
        <w:pStyle w:val="4"/>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年初预算为0万元，支出决算为</w:t>
      </w:r>
      <w:r>
        <w:rPr>
          <w:rStyle w:val="7"/>
          <w:rFonts w:hint="eastAsia" w:asciiTheme="minorEastAsia" w:hAnsiTheme="minorEastAsia" w:cstheme="minorEastAsia"/>
          <w:b w:val="0"/>
          <w:bCs/>
          <w:color w:val="373737"/>
          <w:sz w:val="28"/>
          <w:szCs w:val="28"/>
          <w:shd w:val="clear" w:color="auto" w:fill="FFFFFF"/>
        </w:rPr>
        <w:t>1.23</w:t>
      </w:r>
      <w:r>
        <w:rPr>
          <w:rFonts w:hint="eastAsia" w:asciiTheme="minorEastAsia" w:hAnsiTheme="minorEastAsia" w:cstheme="minorEastAsia"/>
          <w:color w:val="373737"/>
          <w:sz w:val="28"/>
          <w:szCs w:val="28"/>
          <w:shd w:val="clear" w:color="auto" w:fill="FFFFFF"/>
        </w:rPr>
        <w:t>万元。</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2. 农林水（类）农业（款）行政运行（项）。</w:t>
      </w:r>
    </w:p>
    <w:p>
      <w:pPr>
        <w:pStyle w:val="4"/>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w:t>
      </w:r>
      <w:r>
        <w:rPr>
          <w:rStyle w:val="7"/>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万元，支出决算为</w:t>
      </w:r>
      <w:r>
        <w:rPr>
          <w:rStyle w:val="7"/>
          <w:rFonts w:hint="eastAsia" w:asciiTheme="minorEastAsia" w:hAnsiTheme="minorEastAsia" w:cstheme="minorEastAsia"/>
          <w:color w:val="373737"/>
          <w:sz w:val="28"/>
          <w:szCs w:val="28"/>
          <w:shd w:val="clear" w:color="auto" w:fill="FFFFFF"/>
        </w:rPr>
        <w:t xml:space="preserve"> </w:t>
      </w:r>
      <w:r>
        <w:rPr>
          <w:rStyle w:val="7"/>
          <w:rFonts w:hint="eastAsia" w:asciiTheme="minorEastAsia" w:hAnsiTheme="minorEastAsia" w:cstheme="minorEastAsia"/>
          <w:b w:val="0"/>
          <w:bCs/>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3. 住房保障（类）住房改革支出（款）住房公积金（项）。</w:t>
      </w:r>
    </w:p>
    <w:p>
      <w:pPr>
        <w:pStyle w:val="4"/>
        <w:widowControl/>
        <w:shd w:val="clear" w:color="auto" w:fill="FFFFFF"/>
        <w:spacing w:beforeAutospacing="0" w:after="225" w:afterAutospacing="0"/>
        <w:ind w:left="165" w:firstLine="480"/>
        <w:textAlignment w:val="baseline"/>
        <w:rPr>
          <w:rFonts w:asciiTheme="minorEastAsia" w:hAnsiTheme="minorEastAsia" w:cstheme="minorEastAsia"/>
          <w:color w:val="373737"/>
          <w:sz w:val="28"/>
          <w:szCs w:val="28"/>
          <w:shd w:val="clear" w:color="auto" w:fill="FFFFFF"/>
        </w:rPr>
      </w:pPr>
      <w:r>
        <w:rPr>
          <w:rFonts w:hint="eastAsia" w:asciiTheme="minorEastAsia" w:hAnsiTheme="minorEastAsia" w:cstheme="minorEastAsia"/>
          <w:color w:val="373737"/>
          <w:sz w:val="28"/>
          <w:szCs w:val="28"/>
          <w:shd w:val="clear" w:color="auto" w:fill="FFFFFF"/>
        </w:rPr>
        <w:t>年初预算为0 万元，支出决算为0.4万元。</w:t>
      </w:r>
    </w:p>
    <w:p>
      <w:pPr>
        <w:pStyle w:val="4"/>
        <w:widowControl/>
        <w:shd w:val="clear" w:color="auto" w:fill="FFFFFF"/>
        <w:spacing w:beforeAutospacing="0" w:after="225" w:afterAutospacing="0"/>
        <w:textAlignment w:val="baseline"/>
        <w:rPr>
          <w:rFonts w:asciiTheme="minorEastAsia" w:hAnsiTheme="minorEastAsia" w:cstheme="minorEastAsia"/>
          <w:color w:val="373737"/>
          <w:sz w:val="28"/>
          <w:szCs w:val="28"/>
          <w:shd w:val="clear" w:color="auto" w:fill="FFFFFF"/>
        </w:rPr>
      </w:pPr>
    </w:p>
    <w:p>
      <w:pPr>
        <w:pStyle w:val="4"/>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六、2019年度一般公共预算财政拨款基本支出决算情况说明。</w:t>
      </w:r>
    </w:p>
    <w:p>
      <w:pPr>
        <w:pStyle w:val="4"/>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财政拨款基本支出1,091.56万元，其中：人员经费17.14万元，主要包括：基本工资、津贴补贴、奖金、其他社会保障缴费、伙食补助费、其他工资福利支出、离休费、退休费、医疗费、奖励金、住房公积金、提租补贴、采暖补贴、其他对个人和家庭的补助支出；一般公共</w:t>
      </w:r>
      <w:r>
        <w:rPr>
          <w:rFonts w:asciiTheme="minorEastAsia" w:hAnsiTheme="minorEastAsia" w:cstheme="minorEastAsia"/>
          <w:color w:val="373737"/>
          <w:sz w:val="28"/>
          <w:szCs w:val="28"/>
          <w:shd w:val="clear" w:color="auto" w:fill="FFFFFF"/>
        </w:rPr>
        <w:t>服务支出1,074.42</w:t>
      </w:r>
      <w:r>
        <w:rPr>
          <w:rFonts w:hint="eastAsia" w:asciiTheme="minorEastAsia" w:hAnsiTheme="minorEastAsia" w:cstheme="minor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pPr>
        <w:pStyle w:val="4"/>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七、2019年度一般公共预算财政拨款“三公”经费支出决算情况说明</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（一）“三公”经费财政拨款支出决算总体情况说明。</w:t>
      </w:r>
    </w:p>
    <w:p>
      <w:pPr>
        <w:pStyle w:val="4"/>
        <w:widowControl/>
        <w:shd w:val="clear" w:color="auto" w:fill="FFFFFF"/>
        <w:spacing w:beforeAutospacing="0" w:after="225" w:afterAutospacing="0"/>
        <w:ind w:left="279" w:leftChars="133" w:firstLine="579" w:firstLineChars="207"/>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2019年度“三公”经费财政拨款支出预算为</w:t>
      </w:r>
      <w:r>
        <w:rPr>
          <w:rStyle w:val="7"/>
          <w:rFonts w:hint="eastAsia" w:asciiTheme="minorEastAsia" w:hAnsiTheme="minorEastAsia" w:cstheme="minorEastAsia"/>
          <w:color w:val="373737"/>
          <w:sz w:val="28"/>
          <w:szCs w:val="28"/>
          <w:shd w:val="clear" w:color="auto" w:fill="FFFFFF"/>
        </w:rPr>
        <w:t xml:space="preserve"> 0</w:t>
      </w:r>
      <w:r>
        <w:rPr>
          <w:rFonts w:hint="eastAsia" w:asciiTheme="minorEastAsia" w:hAnsiTheme="minorEastAsia" w:cstheme="minorEastAsia"/>
          <w:color w:val="373737"/>
          <w:sz w:val="28"/>
          <w:szCs w:val="28"/>
          <w:shd w:val="clear" w:color="auto" w:fill="FFFFFF"/>
        </w:rPr>
        <w:t>万元，支出决算为</w:t>
      </w:r>
      <w:r>
        <w:rPr>
          <w:rStyle w:val="7"/>
          <w:rFonts w:asciiTheme="minorEastAsia" w:hAnsiTheme="minorEastAsia" w:cstheme="minorEastAsia"/>
          <w:color w:val="373737"/>
          <w:sz w:val="28"/>
          <w:szCs w:val="28"/>
          <w:shd w:val="clear" w:color="auto" w:fill="FFFFFF"/>
        </w:rPr>
        <w:t>522.3</w:t>
      </w:r>
      <w:r>
        <w:rPr>
          <w:rFonts w:hint="eastAsia" w:asciiTheme="minorEastAsia" w:hAnsiTheme="minorEastAsia" w:cstheme="minorEastAsia"/>
          <w:color w:val="373737"/>
          <w:sz w:val="28"/>
          <w:szCs w:val="28"/>
          <w:shd w:val="clear" w:color="auto" w:fill="FFFFFF"/>
        </w:rPr>
        <w:t>万元，其中：因公出国（境）费支出决算为</w:t>
      </w:r>
      <w:r>
        <w:rPr>
          <w:rStyle w:val="7"/>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万元，完成预算的0</w:t>
      </w:r>
      <w:r>
        <w:rPr>
          <w:rStyle w:val="7"/>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%；公务用车购置及运行费支出决算为30.16万元；公务接待费支出决算为</w:t>
      </w:r>
      <w:r>
        <w:rPr>
          <w:rStyle w:val="7"/>
          <w:rFonts w:hint="eastAsia" w:asciiTheme="minorEastAsia" w:hAnsiTheme="minorEastAsia" w:cstheme="minorEastAsia"/>
          <w:color w:val="373737"/>
          <w:sz w:val="28"/>
          <w:szCs w:val="28"/>
          <w:shd w:val="clear" w:color="auto" w:fill="FFFFFF"/>
        </w:rPr>
        <w:t>49</w:t>
      </w:r>
      <w:r>
        <w:rPr>
          <w:rStyle w:val="7"/>
          <w:rFonts w:asciiTheme="minorEastAsia" w:hAnsiTheme="minorEastAsia" w:cstheme="minorEastAsia"/>
          <w:color w:val="373737"/>
          <w:sz w:val="28"/>
          <w:szCs w:val="28"/>
          <w:shd w:val="clear" w:color="auto" w:fill="FFFFFF"/>
        </w:rPr>
        <w:t>2.14</w:t>
      </w:r>
      <w:r>
        <w:rPr>
          <w:rFonts w:hint="eastAsia" w:asciiTheme="minorEastAsia" w:hAnsiTheme="minorEastAsia" w:cstheme="minorEastAsia"/>
          <w:color w:val="373737"/>
          <w:sz w:val="28"/>
          <w:szCs w:val="28"/>
          <w:shd w:val="clear" w:color="auto" w:fill="FFFFFF"/>
        </w:rPr>
        <w:t>万元。</w:t>
      </w:r>
    </w:p>
    <w:p>
      <w:pPr>
        <w:pStyle w:val="4"/>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（二）“三公”经费财政拨款支出决算具体情况说明。</w:t>
      </w:r>
    </w:p>
    <w:p>
      <w:pPr>
        <w:pStyle w:val="4"/>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2019年度“三公”经费财政拨款支出决算中，因公出国（境）费支出决算</w:t>
      </w:r>
      <w:r>
        <w:rPr>
          <w:rStyle w:val="7"/>
          <w:rFonts w:hint="eastAsia" w:asciiTheme="minorEastAsia" w:hAnsiTheme="minorEastAsia" w:cstheme="minorEastAsia"/>
          <w:color w:val="373737"/>
          <w:sz w:val="28"/>
          <w:szCs w:val="28"/>
          <w:shd w:val="clear" w:color="auto" w:fill="FFFFFF"/>
        </w:rPr>
        <w:t xml:space="preserve"> 0 </w:t>
      </w:r>
      <w:r>
        <w:rPr>
          <w:rFonts w:hint="eastAsia" w:asciiTheme="minorEastAsia" w:hAnsiTheme="minorEastAsia" w:cstheme="minorEastAsia"/>
          <w:color w:val="373737"/>
          <w:sz w:val="28"/>
          <w:szCs w:val="28"/>
          <w:shd w:val="clear" w:color="auto" w:fill="FFFFFF"/>
        </w:rPr>
        <w:t>万元，占0</w:t>
      </w:r>
      <w:r>
        <w:rPr>
          <w:rStyle w:val="7"/>
          <w:rFonts w:hint="eastAsia" w:asciiTheme="minorEastAsia" w:hAnsiTheme="minorEastAsia" w:cstheme="minorEastAsia"/>
          <w:color w:val="373737"/>
          <w:sz w:val="28"/>
          <w:szCs w:val="28"/>
          <w:shd w:val="clear" w:color="auto" w:fill="FFFFFF"/>
        </w:rPr>
        <w:t xml:space="preserve">  </w:t>
      </w:r>
      <w:r>
        <w:rPr>
          <w:rFonts w:hint="eastAsia" w:asciiTheme="minorEastAsia" w:hAnsiTheme="minorEastAsia" w:cstheme="minorEastAsia"/>
          <w:color w:val="373737"/>
          <w:sz w:val="28"/>
          <w:szCs w:val="28"/>
          <w:shd w:val="clear" w:color="auto" w:fill="FFFFFF"/>
        </w:rPr>
        <w:t>%；公务用车购置及运行费支出决算30.16万元，占5.77 %；公务接待费支出决算</w:t>
      </w:r>
      <w:r>
        <w:rPr>
          <w:rStyle w:val="7"/>
          <w:rFonts w:hint="eastAsia" w:asciiTheme="minorEastAsia" w:hAnsiTheme="minorEastAsia" w:cstheme="minorEastAsia"/>
          <w:color w:val="373737"/>
          <w:sz w:val="28"/>
          <w:szCs w:val="28"/>
          <w:shd w:val="clear" w:color="auto" w:fill="FFFFFF"/>
        </w:rPr>
        <w:t>49</w:t>
      </w:r>
      <w:r>
        <w:rPr>
          <w:rStyle w:val="7"/>
          <w:rFonts w:asciiTheme="minorEastAsia" w:hAnsiTheme="minorEastAsia" w:cstheme="minorEastAsia"/>
          <w:color w:val="373737"/>
          <w:sz w:val="28"/>
          <w:szCs w:val="28"/>
          <w:shd w:val="clear" w:color="auto" w:fill="FFFFFF"/>
        </w:rPr>
        <w:t>2.14</w:t>
      </w:r>
      <w:r>
        <w:rPr>
          <w:rFonts w:hint="eastAsia" w:asciiTheme="minorEastAsia" w:hAnsiTheme="minorEastAsia" w:cstheme="minorEastAsia"/>
          <w:color w:val="373737"/>
          <w:sz w:val="28"/>
          <w:szCs w:val="28"/>
          <w:shd w:val="clear" w:color="auto" w:fill="FFFFFF"/>
        </w:rPr>
        <w:t>万元，占94.23%。</w:t>
      </w:r>
    </w:p>
    <w:p>
      <w:pPr>
        <w:pStyle w:val="4"/>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1.因公出国（境）费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万元。全年安排因公出国</w:t>
      </w:r>
    </w:p>
    <w:p>
      <w:pPr>
        <w:pStyle w:val="4"/>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（境）团组0个，累计0人次。开支内容包括：出国人员差旅费0万元。</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2.公务用车购置及运行费</w:t>
      </w:r>
      <w:r>
        <w:rPr>
          <w:rFonts w:hint="eastAsia" w:asciiTheme="minorEastAsia" w:hAnsiTheme="minorEastAsia" w:cstheme="minorEastAsia"/>
          <w:color w:val="373737"/>
          <w:sz w:val="28"/>
          <w:szCs w:val="28"/>
          <w:shd w:val="clear" w:color="auto" w:fill="FFFFFF"/>
        </w:rPr>
        <w:t>支出30.16万元。其中：</w:t>
      </w:r>
      <w:r>
        <w:rPr>
          <w:rStyle w:val="7"/>
          <w:rFonts w:hint="eastAsia" w:asciiTheme="minorEastAsia" w:hAnsiTheme="minorEastAsia" w:cstheme="minorEastAsia"/>
          <w:color w:val="373737"/>
          <w:sz w:val="28"/>
          <w:szCs w:val="28"/>
          <w:shd w:val="clear" w:color="auto" w:fill="FFFFFF"/>
        </w:rPr>
        <w:t>公务用车购置</w:t>
      </w:r>
      <w:r>
        <w:rPr>
          <w:rFonts w:hint="eastAsia" w:asciiTheme="minorEastAsia" w:hAnsiTheme="minorEastAsia" w:cstheme="minorEastAsia"/>
          <w:color w:val="373737"/>
          <w:sz w:val="28"/>
          <w:szCs w:val="28"/>
          <w:shd w:val="clear" w:color="auto" w:fill="FFFFFF"/>
        </w:rPr>
        <w:t>支出为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7"/>
          <w:rFonts w:hint="eastAsia" w:asciiTheme="minorEastAsia" w:hAnsiTheme="minorEastAsia" w:cstheme="minorEastAsia"/>
          <w:color w:val="373737"/>
          <w:sz w:val="28"/>
          <w:szCs w:val="28"/>
          <w:shd w:val="clear" w:color="auto" w:fill="FFFFFF"/>
        </w:rPr>
        <w:t>公务用车运行</w:t>
      </w:r>
      <w:r>
        <w:rPr>
          <w:rFonts w:hint="eastAsia" w:asciiTheme="minorEastAsia" w:hAnsiTheme="minorEastAsia" w:cstheme="minorEastAsia"/>
          <w:color w:val="373737"/>
          <w:sz w:val="28"/>
          <w:szCs w:val="28"/>
          <w:shd w:val="clear" w:color="auto" w:fill="FFFFFF"/>
        </w:rPr>
        <w:t>支出30.16万元。</w:t>
      </w:r>
      <w:r>
        <w:rPr>
          <w:rStyle w:val="7"/>
          <w:rFonts w:hint="eastAsia" w:asciiTheme="minorEastAsia" w:hAnsiTheme="minorEastAsia" w:cstheme="minorEastAsia"/>
          <w:color w:val="373737"/>
          <w:sz w:val="28"/>
          <w:szCs w:val="28"/>
          <w:shd w:val="clear" w:color="auto" w:fill="FFFFFF"/>
        </w:rPr>
        <w:t>公务用车保有量</w:t>
      </w:r>
      <w:r>
        <w:rPr>
          <w:rStyle w:val="7"/>
          <w:rFonts w:asciiTheme="minorEastAsia" w:hAnsiTheme="minorEastAsia" w:cstheme="minorEastAsia"/>
          <w:color w:val="373737"/>
          <w:sz w:val="28"/>
          <w:szCs w:val="28"/>
          <w:shd w:val="clear" w:color="auto" w:fill="FFFFFF"/>
        </w:rPr>
        <w:t>11</w:t>
      </w:r>
      <w:r>
        <w:rPr>
          <w:rFonts w:hint="eastAsia" w:asciiTheme="minorEastAsia" w:hAnsiTheme="minorEastAsia" w:cstheme="minorEastAsia"/>
          <w:color w:val="373737"/>
          <w:sz w:val="28"/>
          <w:szCs w:val="28"/>
          <w:shd w:val="clear" w:color="auto" w:fill="FFFFFF"/>
        </w:rPr>
        <w:t>台。</w:t>
      </w:r>
    </w:p>
    <w:p>
      <w:pPr>
        <w:pStyle w:val="4"/>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3.公务接待费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49</w:t>
      </w:r>
      <w:r>
        <w:rPr>
          <w:rStyle w:val="7"/>
          <w:rFonts w:asciiTheme="minorEastAsia" w:hAnsiTheme="minorEastAsia" w:cstheme="minorEastAsia"/>
          <w:color w:val="373737"/>
          <w:sz w:val="28"/>
          <w:szCs w:val="28"/>
          <w:shd w:val="clear" w:color="auto" w:fill="FFFFFF"/>
        </w:rPr>
        <w:t>2.14</w:t>
      </w:r>
      <w:r>
        <w:rPr>
          <w:rFonts w:hint="eastAsia" w:asciiTheme="minorEastAsia" w:hAnsiTheme="minorEastAsia" w:cstheme="minorEastAsia"/>
          <w:color w:val="373737"/>
          <w:sz w:val="28"/>
          <w:szCs w:val="28"/>
          <w:shd w:val="clear" w:color="auto" w:fill="FFFFFF"/>
        </w:rPr>
        <w:t>万元。其中：国内公务接待</w:t>
      </w:r>
      <w:r>
        <w:rPr>
          <w:rStyle w:val="7"/>
          <w:rFonts w:hint="eastAsia" w:asciiTheme="minorEastAsia" w:hAnsiTheme="minorEastAsia" w:cstheme="minorEastAsia"/>
          <w:color w:val="373737"/>
          <w:sz w:val="28"/>
          <w:szCs w:val="28"/>
          <w:shd w:val="clear" w:color="auto" w:fill="FFFFFF"/>
        </w:rPr>
        <w:t>49</w:t>
      </w:r>
      <w:r>
        <w:rPr>
          <w:rStyle w:val="7"/>
          <w:rFonts w:asciiTheme="minorEastAsia" w:hAnsiTheme="minorEastAsia" w:cstheme="minorEastAsia"/>
          <w:color w:val="373737"/>
          <w:sz w:val="28"/>
          <w:szCs w:val="28"/>
          <w:shd w:val="clear" w:color="auto" w:fill="FFFFFF"/>
        </w:rPr>
        <w:t>2.14</w:t>
      </w:r>
      <w:r>
        <w:rPr>
          <w:rFonts w:hint="eastAsia" w:asciiTheme="minorEastAsia" w:hAnsiTheme="minorEastAsia" w:cstheme="minorEastAsia"/>
          <w:color w:val="373737"/>
          <w:sz w:val="28"/>
          <w:szCs w:val="28"/>
          <w:shd w:val="clear" w:color="auto" w:fill="FFFFFF"/>
        </w:rPr>
        <w:t>万元，国内公务接待批次</w:t>
      </w:r>
      <w:r>
        <w:rPr>
          <w:rStyle w:val="7"/>
          <w:rFonts w:hint="eastAsia" w:asciiTheme="minorEastAsia" w:hAnsiTheme="minorEastAsia" w:cstheme="minorEastAsia"/>
          <w:color w:val="373737"/>
          <w:sz w:val="28"/>
          <w:szCs w:val="28"/>
          <w:shd w:val="clear" w:color="auto" w:fill="FFFFFF"/>
        </w:rPr>
        <w:t>3</w:t>
      </w:r>
      <w:r>
        <w:rPr>
          <w:rStyle w:val="7"/>
          <w:rFonts w:asciiTheme="minorEastAsia" w:hAnsiTheme="minorEastAsia" w:cstheme="minorEastAsia"/>
          <w:color w:val="373737"/>
          <w:sz w:val="28"/>
          <w:szCs w:val="28"/>
          <w:shd w:val="clear" w:color="auto" w:fill="FFFFFF"/>
        </w:rPr>
        <w:t>39</w:t>
      </w:r>
      <w:r>
        <w:rPr>
          <w:rFonts w:hint="eastAsia" w:asciiTheme="minorEastAsia" w:hAnsiTheme="minorEastAsia" w:cstheme="minorEastAsia"/>
          <w:color w:val="373737"/>
          <w:sz w:val="28"/>
          <w:szCs w:val="28"/>
          <w:shd w:val="clear" w:color="auto" w:fill="FFFFFF"/>
        </w:rPr>
        <w:t>个，国内公务接待人次</w:t>
      </w:r>
      <w:r>
        <w:rPr>
          <w:rStyle w:val="7"/>
          <w:rFonts w:hint="eastAsia" w:asciiTheme="minorEastAsia" w:hAnsiTheme="minorEastAsia" w:cstheme="minorEastAsia"/>
          <w:color w:val="373737"/>
          <w:sz w:val="28"/>
          <w:szCs w:val="28"/>
          <w:shd w:val="clear" w:color="auto" w:fill="FFFFFF"/>
        </w:rPr>
        <w:t>34</w:t>
      </w:r>
      <w:r>
        <w:rPr>
          <w:rStyle w:val="7"/>
          <w:rFonts w:asciiTheme="minorEastAsia" w:hAnsiTheme="minorEastAsia" w:cstheme="minorEastAsia"/>
          <w:color w:val="373737"/>
          <w:sz w:val="28"/>
          <w:szCs w:val="28"/>
          <w:shd w:val="clear" w:color="auto" w:fill="FFFFFF"/>
        </w:rPr>
        <w:t>80</w:t>
      </w:r>
      <w:r>
        <w:rPr>
          <w:rFonts w:hint="eastAsia" w:asciiTheme="minorEastAsia" w:hAnsiTheme="minorEastAsia" w:cstheme="minorEastAsia"/>
          <w:color w:val="373737"/>
          <w:sz w:val="28"/>
          <w:szCs w:val="28"/>
          <w:shd w:val="clear" w:color="auto" w:fill="FFFFFF"/>
        </w:rPr>
        <w:t>人；国（境）外公务接待</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万元，国（境）外公务接待批次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个，国（境）外公务接待人次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w:t>
      </w:r>
    </w:p>
    <w:p>
      <w:pPr>
        <w:pStyle w:val="4"/>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 xml:space="preserve">八、其他重要事项的情况说明 </w:t>
      </w:r>
    </w:p>
    <w:p>
      <w:pPr>
        <w:pStyle w:val="4"/>
        <w:widowControl/>
        <w:spacing w:before="180" w:beforeAutospacing="0" w:after="360" w:afterAutospacing="0" w:line="450" w:lineRule="atLeast"/>
        <w:ind w:firstLine="630"/>
        <w:rPr>
          <w:rFonts w:hint="eastAsia" w:asciiTheme="minorEastAsia" w:hAnsiTheme="minorEastAsia" w:cstheme="minorEastAsia"/>
          <w:b/>
          <w:color w:val="333333"/>
          <w:sz w:val="28"/>
          <w:szCs w:val="28"/>
        </w:rPr>
      </w:pPr>
      <w:r>
        <w:rPr>
          <w:rFonts w:hint="eastAsia" w:asciiTheme="minorEastAsia" w:hAnsiTheme="minorEastAsia" w:cstheme="minorEastAsia"/>
          <w:b/>
          <w:color w:val="333333"/>
          <w:sz w:val="28"/>
          <w:szCs w:val="28"/>
        </w:rPr>
        <w:t>（一）机关运行经费支出情况。</w:t>
      </w:r>
    </w:p>
    <w:p>
      <w:pPr>
        <w:pStyle w:val="4"/>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 xml:space="preserve"> </w:t>
      </w:r>
    </w:p>
    <w:p>
      <w:pPr>
        <w:pStyle w:val="4"/>
        <w:widowControl/>
        <w:spacing w:before="180" w:beforeAutospacing="0" w:after="360" w:afterAutospacing="0" w:line="450" w:lineRule="atLeast"/>
        <w:ind w:firstLine="848"/>
        <w:rPr>
          <w:rFonts w:asciiTheme="minorEastAsia" w:hAnsiTheme="minorEastAsia" w:cstheme="minorEastAsia"/>
          <w:sz w:val="28"/>
          <w:szCs w:val="28"/>
        </w:rPr>
      </w:pPr>
      <w:r>
        <w:rPr>
          <w:rFonts w:hint="eastAsia" w:asciiTheme="minorEastAsia" w:hAnsiTheme="minorEastAsia" w:cstheme="minorEastAsia"/>
          <w:color w:val="333333"/>
          <w:sz w:val="28"/>
          <w:szCs w:val="28"/>
        </w:rPr>
        <w:t>本部门 2019年度机关运行经费支出1,239.40</w:t>
      </w:r>
      <w:bookmarkStart w:id="0" w:name="_GoBack"/>
      <w:bookmarkEnd w:id="0"/>
      <w:r>
        <w:rPr>
          <w:rFonts w:hint="eastAsia" w:asciiTheme="minorEastAsia" w:hAnsiTheme="minorEastAsia" w:cstheme="minorEastAsia"/>
          <w:color w:val="333333"/>
          <w:sz w:val="28"/>
          <w:szCs w:val="28"/>
        </w:rPr>
        <w:t>万元。</w:t>
      </w:r>
    </w:p>
    <w:p>
      <w:pPr>
        <w:pStyle w:val="4"/>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（二）政府采购支出情况。</w:t>
      </w:r>
    </w:p>
    <w:p>
      <w:pPr>
        <w:pStyle w:val="4"/>
        <w:widowControl/>
        <w:spacing w:before="180" w:beforeAutospacing="0" w:after="360" w:afterAutospacing="0" w:line="450" w:lineRule="atLeast"/>
        <w:ind w:firstLine="800"/>
        <w:rPr>
          <w:rFonts w:asciiTheme="minorEastAsia" w:hAnsiTheme="minorEastAsia" w:cstheme="minorEastAsia"/>
          <w:sz w:val="28"/>
          <w:szCs w:val="28"/>
        </w:rPr>
      </w:pPr>
      <w:r>
        <w:rPr>
          <w:rFonts w:hint="eastAsia" w:asciiTheme="minorEastAsia" w:hAnsiTheme="minorEastAsia" w:cstheme="minorEastAsia"/>
          <w:color w:val="333333"/>
          <w:sz w:val="28"/>
          <w:szCs w:val="28"/>
        </w:rPr>
        <w:t>2019年度政府采购支出总额 0  万元，其中：政府采购货物支出 0 万元、政府采购工程支出  0 万元、政府采购服务支出 0 万元。</w:t>
      </w:r>
    </w:p>
    <w:p>
      <w:pPr>
        <w:pStyle w:val="4"/>
        <w:widowControl/>
        <w:spacing w:before="180" w:beforeAutospacing="0" w:after="360" w:afterAutospacing="0" w:line="450" w:lineRule="atLeas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（三）国有资产占用情况。</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截至 2019年 12 月 31 日，本部门共有车辆</w:t>
      </w:r>
      <w:r>
        <w:rPr>
          <w:rFonts w:asciiTheme="minorEastAsia" w:hAnsiTheme="minorEastAsia" w:cstheme="minorEastAsia"/>
          <w:color w:val="333333"/>
          <w:sz w:val="28"/>
          <w:szCs w:val="28"/>
        </w:rPr>
        <w:t>11</w:t>
      </w:r>
      <w:r>
        <w:rPr>
          <w:rFonts w:hint="eastAsia" w:asciiTheme="minorEastAsia" w:hAnsiTheme="minorEastAsia" w:cstheme="minorEastAsia"/>
          <w:color w:val="333333"/>
          <w:sz w:val="28"/>
          <w:szCs w:val="28"/>
        </w:rPr>
        <w:t>辆，其中，一般公务用车</w:t>
      </w:r>
      <w:r>
        <w:rPr>
          <w:rFonts w:asciiTheme="minorEastAsia" w:hAnsiTheme="minorEastAsia" w:cstheme="minorEastAsia"/>
          <w:color w:val="333333"/>
          <w:sz w:val="28"/>
          <w:szCs w:val="28"/>
        </w:rPr>
        <w:t>11</w:t>
      </w:r>
      <w:r>
        <w:rPr>
          <w:rFonts w:hint="eastAsia" w:asciiTheme="minorEastAsia" w:hAnsiTheme="minorEastAsia" w:cstheme="minorEastAsia"/>
          <w:color w:val="333333"/>
          <w:sz w:val="28"/>
          <w:szCs w:val="28"/>
        </w:rPr>
        <w:t>辆、一般执法执勤用  0辆、特种专业技术用车 0 辆、其他用车0  辆，其他用车主要是办案用车；单位价值 50 万万元以上通用设备 0 台（套），单价100 万万元以上专用设备  0 台（套）。</w:t>
      </w:r>
    </w:p>
    <w:p>
      <w:pPr>
        <w:pStyle w:val="4"/>
        <w:widowControl/>
        <w:spacing w:before="180" w:beforeAutospacing="0" w:after="360" w:afterAutospacing="0" w:line="450" w:lineRule="atLeas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（四）2019年度预算绩效情况说明</w:t>
      </w:r>
    </w:p>
    <w:p>
      <w:pPr>
        <w:pStyle w:val="4"/>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color w:val="333333"/>
          <w:sz w:val="28"/>
          <w:szCs w:val="28"/>
        </w:rPr>
        <w:t>无 </w:t>
      </w:r>
    </w:p>
    <w:p>
      <w:pPr>
        <w:pStyle w:val="4"/>
        <w:widowControl/>
        <w:spacing w:before="180" w:beforeAutospacing="0" w:after="360" w:afterAutospacing="0" w:line="457"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第三部分 名词解释</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一、财政拨款收入</w:t>
      </w:r>
      <w:r>
        <w:rPr>
          <w:rFonts w:hint="eastAsia" w:asciiTheme="minorEastAsia" w:hAnsiTheme="minorEastAsia" w:cstheme="minorEastAsia"/>
          <w:color w:val="333333"/>
          <w:sz w:val="28"/>
          <w:szCs w:val="28"/>
        </w:rPr>
        <w:t>：指县级财政当年拨付的资金。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二、事业收入</w:t>
      </w:r>
      <w:r>
        <w:rPr>
          <w:rFonts w:hint="eastAsia" w:asciiTheme="minorEastAsia" w:hAnsiTheme="minorEastAsia" w:cstheme="minorEastAsia"/>
          <w:color w:val="333333"/>
          <w:sz w:val="28"/>
          <w:szCs w:val="28"/>
        </w:rPr>
        <w:t>：指事业单位开展专业业务活动及辅助活动所取得的收入。</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三、经营收入</w:t>
      </w:r>
      <w:r>
        <w:rPr>
          <w:rFonts w:hint="eastAsia" w:asciiTheme="minorEastAsia" w:hAnsiTheme="minorEastAsia" w:cstheme="minorEastAsia"/>
          <w:color w:val="333333"/>
          <w:sz w:val="28"/>
          <w:szCs w:val="28"/>
        </w:rPr>
        <w:t>：指事业单位在专业业务活动及其辅助活动之外开展非独立核算经营活动取得的收入。</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四、其他收入</w:t>
      </w:r>
      <w:r>
        <w:rPr>
          <w:rFonts w:hint="eastAsia" w:asciiTheme="minorEastAsia" w:hAnsiTheme="minorEastAsia" w:cstheme="minorEastAsia"/>
          <w:color w:val="333333"/>
          <w:sz w:val="28"/>
          <w:szCs w:val="28"/>
        </w:rPr>
        <w:t>：指除上述“财政拨款收入”、“事业收入”、“经营收入”等以外的收入。</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五、用事业基金弥补收支差额</w:t>
      </w:r>
      <w:r>
        <w:rPr>
          <w:rFonts w:hint="eastAsia" w:asciiTheme="minorEastAsia" w:hAnsi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六、年初结转和结余</w:t>
      </w:r>
      <w:r>
        <w:rPr>
          <w:rFonts w:hint="eastAsia" w:asciiTheme="minorEastAsia" w:hAnsiTheme="minorEastAsia" w:cstheme="minorEastAsia"/>
          <w:color w:val="333333"/>
          <w:sz w:val="28"/>
          <w:szCs w:val="28"/>
        </w:rPr>
        <w:t>：指以前年度尚未完成、结转到本年按有关规定继续使用的资金。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七、结余分配</w:t>
      </w:r>
      <w:r>
        <w:rPr>
          <w:rFonts w:hint="eastAsia" w:asciiTheme="minorEastAsia" w:hAnsiTheme="minorEastAsia" w:cstheme="minorEastAsia"/>
          <w:color w:val="333333"/>
          <w:sz w:val="28"/>
          <w:szCs w:val="28"/>
        </w:rPr>
        <w:t>：指事业单位按规定提取的职工福利基金、事业基金和缴纳的所得税，以及建设单位按规定应交回的基本建设竣工项目结余资金。</w:t>
      </w:r>
    </w:p>
    <w:p>
      <w:pPr>
        <w:pStyle w:val="4"/>
        <w:widowControl/>
        <w:spacing w:before="180" w:beforeAutospacing="0" w:after="360" w:afterAutospacing="0" w:line="450" w:lineRule="atLeas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八、年末结转和结余</w:t>
      </w:r>
      <w:r>
        <w:rPr>
          <w:rFonts w:hint="eastAsia" w:asciiTheme="minorEastAsia" w:hAnsiTheme="minorEastAsia" w:cstheme="minorEastAsia"/>
          <w:color w:val="333333"/>
          <w:sz w:val="28"/>
          <w:szCs w:val="28"/>
        </w:rPr>
        <w:t>：指本年度或以前年度预算安排、因客观条件发生变化无法按原计划实施，需延迟到以后年度按有关规定继续使用的资金。</w:t>
      </w:r>
    </w:p>
    <w:p>
      <w:pPr>
        <w:pStyle w:val="4"/>
        <w:widowControl/>
        <w:spacing w:before="180" w:beforeAutospacing="0" w:after="360" w:afterAutospacing="0" w:line="450" w:lineRule="atLeast"/>
        <w:ind w:firstLine="899"/>
        <w:rPr>
          <w:rFonts w:asciiTheme="minorEastAsia" w:hAnsiTheme="minorEastAsia" w:cstheme="minorEastAsia"/>
          <w:sz w:val="28"/>
          <w:szCs w:val="28"/>
        </w:rPr>
      </w:pPr>
      <w:r>
        <w:rPr>
          <w:rFonts w:hint="eastAsia" w:asciiTheme="minorEastAsia" w:hAnsiTheme="minorEastAsia" w:cstheme="minorEastAsia"/>
          <w:b/>
          <w:color w:val="333333"/>
          <w:sz w:val="28"/>
          <w:szCs w:val="28"/>
        </w:rPr>
        <w:t>九、基本支出</w:t>
      </w:r>
      <w:r>
        <w:rPr>
          <w:rFonts w:hint="eastAsia" w:asciiTheme="minorEastAsia" w:hAnsiTheme="minorEastAsia" w:cstheme="minorEastAsia"/>
          <w:color w:val="333333"/>
          <w:sz w:val="28"/>
          <w:szCs w:val="28"/>
        </w:rPr>
        <w:t>：指为保障机构正常运转、完成日常工作任务而发生的人员支出和公用支出。</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十、项目支出</w:t>
      </w:r>
      <w:r>
        <w:rPr>
          <w:rFonts w:hint="eastAsia" w:asciiTheme="minorEastAsia" w:hAnsiTheme="minorEastAsia" w:cstheme="minorEastAsia"/>
          <w:color w:val="333333"/>
          <w:sz w:val="28"/>
          <w:szCs w:val="28"/>
        </w:rPr>
        <w:t>：指在基本支出之外为完成特定行政任务和事业发展目标所发生的支出。</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十一、经营支出</w:t>
      </w:r>
      <w:r>
        <w:rPr>
          <w:rFonts w:hint="eastAsia" w:asciiTheme="minorEastAsia" w:hAnsiTheme="minorEastAsia" w:cstheme="minorEastAsia"/>
          <w:color w:val="333333"/>
          <w:sz w:val="28"/>
          <w:szCs w:val="28"/>
        </w:rPr>
        <w:t>：指事业单位在专业业务活动及其辅助活动之外开展非独立核算经营活动发生的支出。</w:t>
      </w:r>
    </w:p>
    <w:p>
      <w:pPr>
        <w:pStyle w:val="4"/>
        <w:widowControl/>
        <w:spacing w:before="180" w:beforeAutospacing="0" w:after="360" w:afterAutospacing="0" w:line="450" w:lineRule="atLeas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十二、“三公”经费</w:t>
      </w:r>
      <w:r>
        <w:rPr>
          <w:rFonts w:hint="eastAsia" w:asciiTheme="minorEastAsia" w:hAnsiTheme="minorEastAsia" w:cstheme="minor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4"/>
        <w:widowControl/>
        <w:spacing w:before="180" w:beforeAutospacing="0" w:after="360" w:afterAutospacing="0" w:line="450" w:lineRule="atLeast"/>
        <w:ind w:firstLine="729"/>
        <w:rPr>
          <w:rFonts w:asciiTheme="minorEastAsia" w:hAnsiTheme="minorEastAsia" w:cstheme="minorEastAsia"/>
          <w:sz w:val="28"/>
          <w:szCs w:val="28"/>
        </w:rPr>
      </w:pPr>
      <w:r>
        <w:rPr>
          <w:rFonts w:hint="eastAsia" w:asciiTheme="minorEastAsia" w:hAnsiTheme="minorEastAsia" w:cstheme="minorEastAsia"/>
          <w:b/>
          <w:color w:val="333333"/>
          <w:sz w:val="28"/>
          <w:szCs w:val="28"/>
        </w:rPr>
        <w:t>十三、机关运行经费</w:t>
      </w:r>
      <w:r>
        <w:rPr>
          <w:rFonts w:hint="eastAsia" w:asciiTheme="minorEastAsia" w:hAnsi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DE7389C"/>
    <w:rsid w:val="00074882"/>
    <w:rsid w:val="00170272"/>
    <w:rsid w:val="002047E6"/>
    <w:rsid w:val="00257ADB"/>
    <w:rsid w:val="002C3F3F"/>
    <w:rsid w:val="0030404B"/>
    <w:rsid w:val="00306884"/>
    <w:rsid w:val="003A2D0B"/>
    <w:rsid w:val="003F2F79"/>
    <w:rsid w:val="0040302B"/>
    <w:rsid w:val="004047F8"/>
    <w:rsid w:val="00406091"/>
    <w:rsid w:val="00420E72"/>
    <w:rsid w:val="00461E5D"/>
    <w:rsid w:val="004A4A59"/>
    <w:rsid w:val="004B6500"/>
    <w:rsid w:val="004C6D76"/>
    <w:rsid w:val="00542C1F"/>
    <w:rsid w:val="00553BB1"/>
    <w:rsid w:val="00585346"/>
    <w:rsid w:val="0061258C"/>
    <w:rsid w:val="00697D88"/>
    <w:rsid w:val="00746053"/>
    <w:rsid w:val="00796BD9"/>
    <w:rsid w:val="00824C1F"/>
    <w:rsid w:val="0085447D"/>
    <w:rsid w:val="008F38FF"/>
    <w:rsid w:val="009456C1"/>
    <w:rsid w:val="00956021"/>
    <w:rsid w:val="00AE2DAE"/>
    <w:rsid w:val="00B52D97"/>
    <w:rsid w:val="00BA55AE"/>
    <w:rsid w:val="00BC7E4C"/>
    <w:rsid w:val="00CC675B"/>
    <w:rsid w:val="00CD73AA"/>
    <w:rsid w:val="00CE7E7E"/>
    <w:rsid w:val="00D72E9E"/>
    <w:rsid w:val="00DE1B77"/>
    <w:rsid w:val="00E03D09"/>
    <w:rsid w:val="00EB451D"/>
    <w:rsid w:val="00ED5C18"/>
    <w:rsid w:val="00F45470"/>
    <w:rsid w:val="01340F75"/>
    <w:rsid w:val="03FE7F0E"/>
    <w:rsid w:val="098217C0"/>
    <w:rsid w:val="0B754ABA"/>
    <w:rsid w:val="0E980DC7"/>
    <w:rsid w:val="11426CF9"/>
    <w:rsid w:val="11A13411"/>
    <w:rsid w:val="179B676B"/>
    <w:rsid w:val="1A1F65C5"/>
    <w:rsid w:val="1CFB22BC"/>
    <w:rsid w:val="1E970EB9"/>
    <w:rsid w:val="22504408"/>
    <w:rsid w:val="25053D3F"/>
    <w:rsid w:val="2636205E"/>
    <w:rsid w:val="26B609D3"/>
    <w:rsid w:val="27663E97"/>
    <w:rsid w:val="285D6BD6"/>
    <w:rsid w:val="2A054FEB"/>
    <w:rsid w:val="2B136A28"/>
    <w:rsid w:val="2DE7389C"/>
    <w:rsid w:val="33243128"/>
    <w:rsid w:val="3964752F"/>
    <w:rsid w:val="3DDC6AB6"/>
    <w:rsid w:val="3E7434E4"/>
    <w:rsid w:val="3F98625C"/>
    <w:rsid w:val="419008B3"/>
    <w:rsid w:val="420A1A58"/>
    <w:rsid w:val="42225B2E"/>
    <w:rsid w:val="45F6547F"/>
    <w:rsid w:val="4D1461B3"/>
    <w:rsid w:val="55ED5493"/>
    <w:rsid w:val="56421AA2"/>
    <w:rsid w:val="58604457"/>
    <w:rsid w:val="5AA522CE"/>
    <w:rsid w:val="5AC561CD"/>
    <w:rsid w:val="5B7C66FE"/>
    <w:rsid w:val="5E811BD2"/>
    <w:rsid w:val="6229347E"/>
    <w:rsid w:val="62763A6A"/>
    <w:rsid w:val="63913F88"/>
    <w:rsid w:val="63C42D73"/>
    <w:rsid w:val="64A72B8E"/>
    <w:rsid w:val="69A14074"/>
    <w:rsid w:val="6B6E45D7"/>
    <w:rsid w:val="6BC52739"/>
    <w:rsid w:val="7064604C"/>
    <w:rsid w:val="70926D86"/>
    <w:rsid w:val="73244EEB"/>
    <w:rsid w:val="74626E7C"/>
    <w:rsid w:val="75E5464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1"/>
    <w:uiPriority w:val="0"/>
    <w:pPr>
      <w:tabs>
        <w:tab w:val="center" w:pos="4153"/>
        <w:tab w:val="right" w:pos="8306"/>
      </w:tabs>
      <w:snapToGrid w:val="0"/>
      <w:jc w:val="left"/>
    </w:pPr>
    <w:rPr>
      <w:sz w:val="18"/>
      <w:szCs w:val="18"/>
    </w:rPr>
  </w:style>
  <w:style w:type="paragraph" w:styleId="3">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FollowedHyperlink"/>
    <w:basedOn w:val="6"/>
    <w:qFormat/>
    <w:uiPriority w:val="0"/>
    <w:rPr>
      <w:color w:val="333333"/>
      <w:sz w:val="18"/>
      <w:szCs w:val="18"/>
      <w:u w:val="none"/>
    </w:rPr>
  </w:style>
  <w:style w:type="character" w:styleId="9">
    <w:name w:val="Emphasis"/>
    <w:basedOn w:val="6"/>
    <w:qFormat/>
    <w:uiPriority w:val="0"/>
    <w:rPr>
      <w:i/>
    </w:rPr>
  </w:style>
  <w:style w:type="character" w:styleId="10">
    <w:name w:val="Hyperlink"/>
    <w:basedOn w:val="6"/>
    <w:qFormat/>
    <w:uiPriority w:val="0"/>
    <w:rPr>
      <w:color w:val="333333"/>
      <w:sz w:val="18"/>
      <w:szCs w:val="18"/>
      <w:u w:val="none"/>
    </w:rPr>
  </w:style>
  <w:style w:type="character" w:customStyle="1" w:styleId="11">
    <w:name w:val="laiy"/>
    <w:basedOn w:val="6"/>
    <w:qFormat/>
    <w:uiPriority w:val="0"/>
  </w:style>
  <w:style w:type="character" w:customStyle="1" w:styleId="12">
    <w:name w:val="zuoz"/>
    <w:basedOn w:val="6"/>
    <w:qFormat/>
    <w:uiPriority w:val="0"/>
  </w:style>
  <w:style w:type="character" w:customStyle="1" w:styleId="13">
    <w:name w:val="update"/>
    <w:basedOn w:val="6"/>
    <w:qFormat/>
    <w:uiPriority w:val="0"/>
  </w:style>
  <w:style w:type="character" w:customStyle="1" w:styleId="14">
    <w:name w:val="hot1"/>
    <w:basedOn w:val="6"/>
    <w:qFormat/>
    <w:uiPriority w:val="0"/>
  </w:style>
  <w:style w:type="character" w:customStyle="1" w:styleId="15">
    <w:name w:val="td12"/>
    <w:basedOn w:val="6"/>
    <w:qFormat/>
    <w:uiPriority w:val="0"/>
    <w:rPr>
      <w:rFonts w:ascii="Arial" w:hAnsi="Arial" w:cs="Arial"/>
      <w:color w:val="FFFFFF"/>
      <w:sz w:val="16"/>
      <w:szCs w:val="16"/>
    </w:rPr>
  </w:style>
  <w:style w:type="character" w:customStyle="1" w:styleId="16">
    <w:name w:val="td22"/>
    <w:basedOn w:val="6"/>
    <w:qFormat/>
    <w:uiPriority w:val="0"/>
  </w:style>
  <w:style w:type="character" w:customStyle="1" w:styleId="17">
    <w:name w:val="td32"/>
    <w:basedOn w:val="6"/>
    <w:uiPriority w:val="0"/>
  </w:style>
  <w:style w:type="character" w:customStyle="1" w:styleId="18">
    <w:name w:val="home"/>
    <w:basedOn w:val="6"/>
    <w:qFormat/>
    <w:uiPriority w:val="0"/>
  </w:style>
  <w:style w:type="character" w:customStyle="1" w:styleId="19">
    <w:name w:val="active"/>
    <w:basedOn w:val="6"/>
    <w:uiPriority w:val="0"/>
    <w:rPr>
      <w:shd w:val="clear" w:color="auto" w:fill="FFA500"/>
    </w:rPr>
  </w:style>
  <w:style w:type="character" w:customStyle="1" w:styleId="20">
    <w:name w:val="页眉 Char"/>
    <w:basedOn w:val="6"/>
    <w:link w:val="3"/>
    <w:uiPriority w:val="0"/>
    <w:rPr>
      <w:rFonts w:asciiTheme="minorHAnsi" w:hAnsiTheme="minorHAnsi" w:eastAsiaTheme="minorEastAsia" w:cstheme="minorBidi"/>
      <w:kern w:val="2"/>
      <w:sz w:val="18"/>
      <w:szCs w:val="18"/>
    </w:rPr>
  </w:style>
  <w:style w:type="character" w:customStyle="1" w:styleId="2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2897</Words>
  <Characters>480</Characters>
  <Lines>4</Lines>
  <Paragraphs>6</Paragraphs>
  <TotalTime>336</TotalTime>
  <ScaleCrop>false</ScaleCrop>
  <LinksUpToDate>false</LinksUpToDate>
  <CharactersWithSpaces>3371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86183</cp:lastModifiedBy>
  <dcterms:modified xsi:type="dcterms:W3CDTF">2021-05-19T07:48:34Z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325CDBB88CAB4E76B82705F037663BF6</vt:lpwstr>
  </property>
</Properties>
</file>