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30"/>
          <w:szCs w:val="30"/>
        </w:rPr>
      </w:pPr>
      <w:r>
        <w:rPr>
          <w:rFonts w:hint="eastAsia" w:asciiTheme="minorEastAsia" w:hAnsiTheme="minorEastAsia" w:eastAsiaTheme="minorEastAsia" w:cstheme="minorEastAsia"/>
          <w:b/>
          <w:color w:val="333333"/>
          <w:sz w:val="30"/>
          <w:szCs w:val="30"/>
          <w:lang w:val="en-US" w:eastAsia="zh-CN"/>
        </w:rPr>
        <w:t>201</w:t>
      </w:r>
      <w:r>
        <w:rPr>
          <w:rFonts w:hint="eastAsia" w:asciiTheme="minorEastAsia" w:hAnsiTheme="minorEastAsia" w:cstheme="minorEastAsia"/>
          <w:b/>
          <w:color w:val="333333"/>
          <w:sz w:val="30"/>
          <w:szCs w:val="30"/>
          <w:lang w:val="en-US" w:eastAsia="zh-CN"/>
        </w:rPr>
        <w:t>9</w:t>
      </w:r>
      <w:r>
        <w:rPr>
          <w:rFonts w:hint="eastAsia" w:asciiTheme="minorEastAsia" w:hAnsiTheme="minorEastAsia" w:eastAsiaTheme="minorEastAsia" w:cstheme="minorEastAsia"/>
          <w:b/>
          <w:color w:val="333333"/>
          <w:sz w:val="30"/>
          <w:szCs w:val="30"/>
          <w:lang w:val="en-US" w:eastAsia="zh-CN"/>
        </w:rPr>
        <w:t>年度</w:t>
      </w:r>
      <w:r>
        <w:rPr>
          <w:rFonts w:hint="eastAsia" w:asciiTheme="minorEastAsia" w:hAnsiTheme="minorEastAsia" w:cstheme="minorEastAsia"/>
          <w:b/>
          <w:color w:val="333333"/>
          <w:sz w:val="30"/>
          <w:szCs w:val="30"/>
          <w:lang w:val="en-US" w:eastAsia="zh-CN"/>
        </w:rPr>
        <w:t>中共绥滨县委机构编制委员会办公室</w:t>
      </w:r>
      <w:r>
        <w:rPr>
          <w:rFonts w:hint="eastAsia" w:asciiTheme="minorEastAsia" w:hAnsiTheme="minorEastAsia" w:eastAsiaTheme="minorEastAsia" w:cstheme="minorEastAsia"/>
          <w:b/>
          <w:color w:val="333333"/>
          <w:sz w:val="30"/>
          <w:szCs w:val="30"/>
          <w:lang w:val="en-US" w:eastAsia="zh-CN"/>
        </w:rPr>
        <w:t>决算文字说明</w:t>
      </w: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b/>
          <w:color w:val="333333"/>
          <w:sz w:val="28"/>
          <w:szCs w:val="28"/>
        </w:rPr>
        <w:t>部门概况</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eastAsiaTheme="minorEastAsia" w:cstheme="minorEastAsia"/>
          <w:b/>
          <w:bCs/>
          <w:color w:val="333333"/>
          <w:sz w:val="28"/>
          <w:szCs w:val="28"/>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（一）统一管理全县党政机关，人大、政协、法院、检察院机关，各民主党派、人民团体机关和事业单位的机构编制工作；拟订全县机构编制的有关管理办法。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二）拟订全县行政管理体制和机构改革的总体方案；审核县级机关各部门和乡镇机构改革方案；指导、协调全县行政管理体制和机构改革以及机构编制管理工作；提出全县行政编制、政法专项编制分配及调整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（三）协调县级机关各部门和乡镇的职能配置与调整；协调县级机关各部门之间以及各部门与乡镇的职责分工。研究提出县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直拟参照公务员法管理事业单位的公共事务管理职能。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（四）审核县级机关各部门机构设置、调整及其内设机构、人员编制；审核县政府议事协调机构和临时机构的设立；审核乡镇机构设置与调整。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五）牵头负责全县事业单位改革；拟订全县事业单位管理体制和机构改革方案；指导、协调全县事业单位管理体制和机构改革；审核各行业事业单位机构改革方案；贯彻执行事业编制总量控制标准，审核全县事业单位机构编制；负责全县事业单位登记的日常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（六）审核县直正副科级单位领导班子职数；审批全县机关事业单位股级领导职数。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（七）监督检查行政管理体制和机构改革方案以及机构编制管理政策、法规的执行情况。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（八）贯彻执行机构编制实名管理办法、机构编制网络管理制度；负责全县机构编制统计工作和机构编制数据库的管理；负责全县机关、事业单位和其他非营利性机构中文域名注册审核工作。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 xml:space="preserve">（九）负责全县机关、事业单位工勤人员管理及人事档案管理。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（十）负责全县机关、事业单位工资统发的人员编制审核；负责全县财政供养人员增减审核；负责财政（机关事业保险机构）供养人员的监管。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（十一）承办县委、县政府和县机构编制委员会交办的其他工作任务。</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333333"/>
          <w:sz w:val="28"/>
          <w:szCs w:val="28"/>
        </w:rPr>
        <w:t>二、机构设置及部门决算单位构成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中共绥滨县委机构编制委员会办公室为全额行政单位，内设</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个内设机构，为一级预算单位。</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333333"/>
          <w:sz w:val="28"/>
          <w:szCs w:val="28"/>
        </w:rPr>
        <w:t>三、人员构成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 xml:space="preserve"> 行政单位编制数</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个，其中行政编制</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 xml:space="preserve">5人 </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，在职</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人，退休</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人，离休</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人；事业编制</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个，在职</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人，退休</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人。</w:t>
      </w:r>
    </w:p>
    <w:p>
      <w:pPr>
        <w:pStyle w:val="2"/>
        <w:keepNext w:val="0"/>
        <w:keepLines w:val="0"/>
        <w:widowControl/>
        <w:numPr>
          <w:ilvl w:val="0"/>
          <w:numId w:val="1"/>
        </w:numPr>
        <w:suppressLineNumbers w:val="0"/>
        <w:spacing w:before="492" w:beforeAutospacing="0" w:after="672" w:afterAutospacing="0" w:line="450" w:lineRule="atLeast"/>
        <w:ind w:left="260" w:leftChars="0" w:right="0" w:firstLine="0" w:firstLineChars="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numPr>
          <w:ilvl w:val="0"/>
          <w:numId w:val="0"/>
        </w:numPr>
        <w:suppressLineNumbers w:val="0"/>
        <w:spacing w:before="492" w:beforeAutospacing="0" w:after="672" w:afterAutospacing="0" w:line="450" w:lineRule="atLeast"/>
        <w:ind w:right="0" w:rightChars="0" w:firstLine="723" w:firstLineChars="300"/>
        <w:jc w:val="left"/>
        <w:rPr>
          <w:rFonts w:hint="eastAsia" w:asciiTheme="minorEastAsia" w:hAnsiTheme="minorEastAsia" w:eastAsiaTheme="minorEastAsia" w:cstheme="minorEastAsia"/>
          <w:i w:val="0"/>
          <w:caps w:val="0"/>
          <w:color w:val="333333"/>
          <w:spacing w:val="0"/>
          <w:sz w:val="24"/>
          <w:szCs w:val="24"/>
        </w:rPr>
      </w:pPr>
      <w:r>
        <w:rPr>
          <w:rStyle w:val="5"/>
          <w:rFonts w:hint="eastAsia" w:asciiTheme="minorEastAsia" w:hAnsiTheme="minorEastAsia" w:eastAsiaTheme="minorEastAsia" w:cstheme="minorEastAsia"/>
          <w:b/>
          <w:i w:val="0"/>
          <w:caps w:val="0"/>
          <w:color w:val="373737"/>
          <w:spacing w:val="0"/>
          <w:sz w:val="24"/>
          <w:szCs w:val="24"/>
          <w:shd w:val="clear" w:fill="FFFFFF"/>
          <w:vertAlign w:val="baseline"/>
        </w:rPr>
        <w:t>一、20</w:t>
      </w:r>
      <w:r>
        <w:rPr>
          <w:rStyle w:val="5"/>
          <w:rFonts w:hint="eastAsia" w:asciiTheme="minorEastAsia" w:hAnsiTheme="minorEastAsia" w:cstheme="minorEastAsia"/>
          <w:b/>
          <w:i w:val="0"/>
          <w:caps w:val="0"/>
          <w:color w:val="373737"/>
          <w:spacing w:val="0"/>
          <w:sz w:val="24"/>
          <w:szCs w:val="24"/>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4"/>
          <w:szCs w:val="24"/>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40.86</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40.86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71.31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71.31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99.9974</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0.0019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0.0026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60.64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83.9</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16.1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72.38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19.92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38.76</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72.38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40.84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71.31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98.66</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19.92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38.76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b/>
          <w:bCs/>
          <w:i w:val="0"/>
          <w:caps w:val="0"/>
          <w:color w:val="373737"/>
          <w:spacing w:val="0"/>
          <w:sz w:val="28"/>
          <w:szCs w:val="28"/>
          <w:shd w:val="clear" w:fill="FFFFFF"/>
          <w:vertAlign w:val="baseline"/>
          <w:lang w:eastAsia="zh-CN"/>
        </w:rPr>
        <w:t>一般公共服务</w:t>
      </w:r>
      <w:r>
        <w:rPr>
          <w:rFonts w:hint="eastAsia" w:asciiTheme="minorEastAsia" w:hAnsiTheme="minorEastAsia" w:cstheme="minorEastAsia"/>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62.45万元，占86.4%：</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7.67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5.03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58.79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122.94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在职员工增加，养老保险相应调整增长，导致工资福利支出增加，基本支出增加。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为6.4万</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5.56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86.875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单位职工调出社会保障就业减少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一般公共服务支出。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48.89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62.45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w:t>
      </w:r>
      <w:r>
        <w:rPr>
          <w:rFonts w:hint="eastAsia" w:asciiTheme="minorEastAsia" w:hAnsiTheme="minorEastAsia" w:cstheme="minorEastAsia"/>
          <w:i w:val="0"/>
          <w:caps w:val="0"/>
          <w:color w:val="373737"/>
          <w:spacing w:val="0"/>
          <w:sz w:val="28"/>
          <w:szCs w:val="28"/>
          <w:shd w:val="clear" w:fill="FFFFFF"/>
          <w:vertAlign w:val="baseline"/>
          <w:lang w:val="en-US" w:eastAsia="zh-CN"/>
        </w:rPr>
        <w:t>算的127.73%。决算</w:t>
      </w:r>
      <w:r>
        <w:rPr>
          <w:rFonts w:hint="eastAsia" w:asciiTheme="minorEastAsia" w:hAnsiTheme="minorEastAsia" w:eastAsiaTheme="minorEastAsia" w:cstheme="minorEastAsia"/>
          <w:i w:val="0"/>
          <w:caps w:val="0"/>
          <w:color w:val="373737"/>
          <w:spacing w:val="0"/>
          <w:sz w:val="28"/>
          <w:szCs w:val="28"/>
          <w:shd w:val="clear" w:fill="FFFFFF"/>
          <w:vertAlign w:val="baseline"/>
        </w:rPr>
        <w:t>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单位职工增加，各项基本支出相对增加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 xml:space="preserve"> 0.64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。决算数</w:t>
      </w:r>
      <w:r>
        <w:rPr>
          <w:rFonts w:hint="eastAsia" w:asciiTheme="minorEastAsia" w:hAnsiTheme="minorEastAsia" w:eastAsiaTheme="minorEastAsia" w:cstheme="minorEastAsia"/>
          <w:i w:val="0"/>
          <w:caps w:val="0"/>
          <w:color w:val="373737"/>
          <w:spacing w:val="0"/>
          <w:sz w:val="28"/>
          <w:szCs w:val="28"/>
          <w:shd w:val="clear" w:fill="FFFFFF"/>
          <w:vertAlign w:val="baseline"/>
        </w:rPr>
        <w:t>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脱贫攻坚投入增加。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102.85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60.64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59.03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1.61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kern w:val="2"/>
          <w:sz w:val="28"/>
          <w:szCs w:val="28"/>
          <w:shd w:val="clear" w:fill="FFFFFF"/>
          <w:lang w:val="en-US" w:eastAsia="zh-CN" w:bidi="ar"/>
        </w:rPr>
      </w:pPr>
      <w:r>
        <w:rPr>
          <w:rFonts w:hint="eastAsia" w:ascii="宋体" w:hAnsi="宋体" w:eastAsia="宋体" w:cs="宋体"/>
          <w:kern w:val="2"/>
          <w:sz w:val="28"/>
          <w:szCs w:val="28"/>
          <w:shd w:val="clear" w:fill="FFFFFF"/>
          <w:lang w:val="en-US" w:eastAsia="zh-CN" w:bidi="ar"/>
        </w:rPr>
        <w:t>（一）机关运行经费支出情况。</w:t>
      </w:r>
    </w:p>
    <w:p>
      <w:pPr>
        <w:keepNext w:val="0"/>
        <w:keepLines w:val="0"/>
        <w:widowControl/>
        <w:suppressLineNumbers w:val="0"/>
        <w:spacing w:before="150" w:beforeAutospacing="0" w:after="300" w:afterAutospacing="0" w:line="450" w:lineRule="atLeast"/>
        <w:ind w:left="0" w:right="0" w:firstLine="560"/>
        <w:jc w:val="left"/>
      </w:pPr>
      <w:r>
        <w:rPr>
          <w:rFonts w:hint="eastAsia" w:ascii="宋体" w:hAnsi="宋体" w:eastAsia="宋体" w:cs="宋体"/>
          <w:kern w:val="2"/>
          <w:sz w:val="28"/>
          <w:szCs w:val="28"/>
          <w:shd w:val="clear" w:fill="FFFFFF"/>
          <w:lang w:val="en-US" w:eastAsia="zh-CN" w:bidi="ar"/>
        </w:rPr>
        <w:t>本部门 2019年度机关运行经费支出1.61万元，比上年减少0.44万元，降低%。主要原因是：我局严格执行</w:t>
      </w:r>
      <w:r>
        <w:rPr>
          <w:rFonts w:hint="eastAsia" w:ascii="宋体" w:hAnsi="宋体" w:eastAsia="宋体" w:cs="宋体"/>
          <w:kern w:val="2"/>
          <w:sz w:val="28"/>
          <w:szCs w:val="28"/>
          <w:shd w:val="clear" w:fill="FFFFFF"/>
          <w:lang w:val="en-US" w:eastAsia="zh-CN" w:bidi="ar"/>
        </w:rPr>
        <w:t>中央八项规定精神，结合新形势，年初重新修订财务制度，各项开支严格按制度来进行落实。</w:t>
      </w:r>
      <w:bookmarkStart w:id="0" w:name="_GoBack"/>
      <w:bookmarkEnd w:id="0"/>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highlight w:val="yellow"/>
          <w:lang w:eastAsia="zh-CN"/>
        </w:rPr>
      </w:pP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highlight w:val="none"/>
        </w:rPr>
        <w:t>根据财政预算管理要求和年初设定的绩效目标，我单位组织对 201</w:t>
      </w:r>
      <w:r>
        <w:rPr>
          <w:rFonts w:hint="eastAsia" w:asciiTheme="minorEastAsia" w:hAnsiTheme="minorEastAsia" w:cstheme="minorEastAsia"/>
          <w:color w:val="333333"/>
          <w:sz w:val="28"/>
          <w:szCs w:val="28"/>
          <w:highlight w:val="none"/>
          <w:lang w:val="en-US" w:eastAsia="zh-CN"/>
        </w:rPr>
        <w:t>9</w:t>
      </w:r>
      <w:r>
        <w:rPr>
          <w:rFonts w:hint="eastAsia" w:asciiTheme="minorEastAsia" w:hAnsiTheme="minorEastAsia" w:eastAsiaTheme="minorEastAsia" w:cstheme="minorEastAsia"/>
          <w:color w:val="333333"/>
          <w:sz w:val="28"/>
          <w:szCs w:val="28"/>
          <w:highlight w:val="none"/>
        </w:rPr>
        <w:t>年度项目支出全面开展绩效自评。共涉及资金</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72.28</w:t>
      </w:r>
      <w:r>
        <w:rPr>
          <w:rFonts w:hint="eastAsia" w:asciiTheme="minorEastAsia" w:hAnsiTheme="minorEastAsia" w:eastAsiaTheme="minorEastAsia" w:cstheme="minorEastAsia"/>
          <w:color w:val="333333"/>
          <w:sz w:val="28"/>
          <w:szCs w:val="28"/>
          <w:highlight w:val="none"/>
        </w:rPr>
        <w:t>万元，自评覆盖率达到100%。共组织对“</w:t>
      </w:r>
      <w:r>
        <w:rPr>
          <w:rFonts w:hint="eastAsia" w:asciiTheme="minorEastAsia" w:hAnsiTheme="minorEastAsia" w:cstheme="minorEastAsia"/>
          <w:color w:val="333333"/>
          <w:sz w:val="28"/>
          <w:szCs w:val="28"/>
          <w:highlight w:val="none"/>
          <w:lang w:val="en-US" w:eastAsia="zh-CN"/>
        </w:rPr>
        <w:t>一般公共服务支出</w:t>
      </w:r>
      <w:r>
        <w:rPr>
          <w:rFonts w:hint="eastAsia" w:asciiTheme="minorEastAsia" w:hAnsiTheme="minorEastAsia" w:eastAsiaTheme="minorEastAsia" w:cstheme="minorEastAsia"/>
          <w:color w:val="333333"/>
          <w:sz w:val="28"/>
          <w:szCs w:val="28"/>
          <w:highlight w:val="none"/>
        </w:rPr>
        <w:t>”等 7 个项目进行了绩效评价，共涉及资金</w:t>
      </w:r>
      <w:r>
        <w:rPr>
          <w:rFonts w:hint="eastAsia" w:asciiTheme="minorEastAsia" w:hAnsiTheme="minorEastAsia" w:cstheme="minorEastAsia"/>
          <w:color w:val="333333"/>
          <w:sz w:val="28"/>
          <w:szCs w:val="28"/>
          <w:highlight w:val="none"/>
          <w:lang w:val="en-US" w:eastAsia="zh-CN"/>
        </w:rPr>
        <w:t>72.28</w:t>
      </w:r>
      <w:r>
        <w:rPr>
          <w:rFonts w:hint="eastAsia" w:asciiTheme="minorEastAsia" w:hAnsiTheme="minorEastAsia" w:eastAsiaTheme="minorEastAsia" w:cstheme="minorEastAsia"/>
          <w:color w:val="333333"/>
          <w:sz w:val="28"/>
          <w:szCs w:val="28"/>
          <w:highlight w:val="none"/>
        </w:rPr>
        <w:t>万元。从评价情况来看，本部门共开展了</w:t>
      </w:r>
      <w:r>
        <w:rPr>
          <w:rFonts w:hint="eastAsia" w:asciiTheme="minorEastAsia" w:hAnsiTheme="minorEastAsia" w:cstheme="minorEastAsia"/>
          <w:color w:val="333333"/>
          <w:sz w:val="28"/>
          <w:szCs w:val="28"/>
          <w:highlight w:val="none"/>
          <w:lang w:val="en-US" w:eastAsia="zh-CN"/>
        </w:rPr>
        <w:t>对收入和支出</w:t>
      </w:r>
      <w:r>
        <w:rPr>
          <w:rFonts w:hint="eastAsia" w:asciiTheme="minorEastAsia" w:hAnsiTheme="minorEastAsia" w:eastAsiaTheme="minorEastAsia" w:cstheme="minorEastAsia"/>
          <w:color w:val="333333"/>
          <w:sz w:val="28"/>
          <w:szCs w:val="28"/>
          <w:highlight w:val="none"/>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19D701"/>
    <w:multiLevelType w:val="singleLevel"/>
    <w:tmpl w:val="9919D701"/>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23A47B5"/>
    <w:rsid w:val="13E539EB"/>
    <w:rsid w:val="179B676B"/>
    <w:rsid w:val="1A1F65C5"/>
    <w:rsid w:val="1C3567B1"/>
    <w:rsid w:val="1CFB22BC"/>
    <w:rsid w:val="1D794E29"/>
    <w:rsid w:val="21715F14"/>
    <w:rsid w:val="22220241"/>
    <w:rsid w:val="249F55FC"/>
    <w:rsid w:val="280E31FB"/>
    <w:rsid w:val="28B72A86"/>
    <w:rsid w:val="2A054FEB"/>
    <w:rsid w:val="2D941329"/>
    <w:rsid w:val="2DE7389C"/>
    <w:rsid w:val="31F93F7E"/>
    <w:rsid w:val="3964752F"/>
    <w:rsid w:val="3DDC6AB6"/>
    <w:rsid w:val="3E7434E4"/>
    <w:rsid w:val="3F98625C"/>
    <w:rsid w:val="400F3D8B"/>
    <w:rsid w:val="419008B3"/>
    <w:rsid w:val="4438399D"/>
    <w:rsid w:val="4CC274BD"/>
    <w:rsid w:val="4EC62396"/>
    <w:rsid w:val="50F02C03"/>
    <w:rsid w:val="58392385"/>
    <w:rsid w:val="5C1C2E2B"/>
    <w:rsid w:val="62763A6A"/>
    <w:rsid w:val="62BE6BCF"/>
    <w:rsid w:val="6B6E45D7"/>
    <w:rsid w:val="6BC52739"/>
    <w:rsid w:val="763C3B43"/>
    <w:rsid w:val="768870B2"/>
    <w:rsid w:val="7BC22F3A"/>
    <w:rsid w:val="7C4622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style>
  <w:style w:type="character" w:styleId="8">
    <w:name w:val="HTML Definition"/>
    <w:basedOn w:val="4"/>
    <w:uiPriority w:val="0"/>
  </w:style>
  <w:style w:type="character" w:styleId="9">
    <w:name w:val="HTML Acronym"/>
    <w:basedOn w:val="4"/>
    <w:uiPriority w:val="0"/>
    <w:rPr>
      <w:u w:val="none"/>
    </w:rPr>
  </w:style>
  <w:style w:type="character" w:styleId="10">
    <w:name w:val="HTML Variable"/>
    <w:basedOn w:val="4"/>
    <w:uiPriority w:val="0"/>
  </w:style>
  <w:style w:type="character" w:styleId="11">
    <w:name w:val="Hyperlink"/>
    <w:basedOn w:val="4"/>
    <w:qFormat/>
    <w:uiPriority w:val="0"/>
    <w:rPr>
      <w:color w:val="333333"/>
      <w:sz w:val="18"/>
      <w:szCs w:val="18"/>
      <w:u w:val="none"/>
    </w:rPr>
  </w:style>
  <w:style w:type="character" w:styleId="12">
    <w:name w:val="HTML Code"/>
    <w:basedOn w:val="4"/>
    <w:uiPriority w:val="0"/>
    <w:rPr>
      <w:rFonts w:ascii="微软雅黑" w:hAnsi="微软雅黑" w:eastAsia="微软雅黑" w:cs="微软雅黑"/>
      <w:sz w:val="21"/>
      <w:szCs w:val="21"/>
      <w:bdr w:val="none" w:color="auto" w:sz="0" w:space="0"/>
    </w:rPr>
  </w:style>
  <w:style w:type="character" w:styleId="13">
    <w:name w:val="HTML Cite"/>
    <w:basedOn w:val="4"/>
    <w:uiPriority w:val="0"/>
  </w:style>
  <w:style w:type="character" w:customStyle="1" w:styleId="14">
    <w:name w:val="laiy"/>
    <w:basedOn w:val="4"/>
    <w:qFormat/>
    <w:uiPriority w:val="0"/>
  </w:style>
  <w:style w:type="character" w:customStyle="1" w:styleId="15">
    <w:name w:val="zuoz"/>
    <w:basedOn w:val="4"/>
    <w:qFormat/>
    <w:uiPriority w:val="0"/>
  </w:style>
  <w:style w:type="character" w:customStyle="1" w:styleId="16">
    <w:name w:val="update"/>
    <w:basedOn w:val="4"/>
    <w:qFormat/>
    <w:uiPriority w:val="0"/>
  </w:style>
  <w:style w:type="character" w:customStyle="1" w:styleId="17">
    <w:name w:val="hot1"/>
    <w:basedOn w:val="4"/>
    <w:qFormat/>
    <w:uiPriority w:val="0"/>
  </w:style>
  <w:style w:type="character" w:customStyle="1" w:styleId="18">
    <w:name w:val="td12"/>
    <w:basedOn w:val="4"/>
    <w:qFormat/>
    <w:uiPriority w:val="0"/>
    <w:rPr>
      <w:rFonts w:ascii="Arial" w:hAnsi="Arial" w:cs="Arial"/>
      <w:color w:val="FFFFFF"/>
      <w:sz w:val="16"/>
      <w:szCs w:val="16"/>
    </w:rPr>
  </w:style>
  <w:style w:type="character" w:customStyle="1" w:styleId="19">
    <w:name w:val="td22"/>
    <w:basedOn w:val="4"/>
    <w:qFormat/>
    <w:uiPriority w:val="0"/>
  </w:style>
  <w:style w:type="character" w:customStyle="1" w:styleId="20">
    <w:name w:val="td32"/>
    <w:basedOn w:val="4"/>
    <w:qFormat/>
    <w:uiPriority w:val="0"/>
  </w:style>
  <w:style w:type="character" w:customStyle="1" w:styleId="21">
    <w:name w:val="home"/>
    <w:basedOn w:val="4"/>
    <w:qFormat/>
    <w:uiPriority w:val="0"/>
  </w:style>
  <w:style w:type="character" w:customStyle="1" w:styleId="22">
    <w:name w:val="dropselect_box"/>
    <w:basedOn w:val="4"/>
    <w:uiPriority w:val="0"/>
  </w:style>
  <w:style w:type="character" w:customStyle="1" w:styleId="23">
    <w:name w:val="dropselect_box1"/>
    <w:basedOn w:val="4"/>
    <w:uiPriority w:val="0"/>
    <w:rPr>
      <w:bdr w:val="single" w:color="E2E2E2" w:sz="6"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小树苗</cp:lastModifiedBy>
  <dcterms:modified xsi:type="dcterms:W3CDTF">2020-10-15T11:18:35Z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