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spacing w:before="180" w:beforeAutospacing="0" w:after="360" w:afterAutospacing="0" w:line="450" w:lineRule="atLeast"/>
        <w:ind w:right="0"/>
        <w:jc w:val="center"/>
        <w:rPr>
          <w:rFonts w:hint="eastAsia" w:asciiTheme="minorEastAsia" w:hAnsiTheme="minorEastAsia" w:eastAsiaTheme="minorEastAsia" w:cstheme="minorEastAsia"/>
          <w:b/>
          <w:color w:val="333333"/>
          <w:sz w:val="28"/>
          <w:szCs w:val="28"/>
          <w:lang w:val="en-US" w:eastAsia="zh-CN"/>
        </w:rPr>
      </w:pPr>
      <w:r>
        <w:rPr>
          <w:rFonts w:hint="eastAsia" w:asciiTheme="minorEastAsia" w:hAnsiTheme="minorEastAsia" w:eastAsiaTheme="minorEastAsia" w:cstheme="minorEastAsia"/>
          <w:b/>
          <w:color w:val="333333"/>
          <w:sz w:val="28"/>
          <w:szCs w:val="28"/>
          <w:lang w:val="en-US" w:eastAsia="zh-CN"/>
        </w:rPr>
        <w:t>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lang w:val="en-US" w:eastAsia="zh-CN"/>
        </w:rPr>
        <w:t>年度</w:t>
      </w:r>
      <w:r>
        <w:rPr>
          <w:rFonts w:hint="eastAsia" w:asciiTheme="minorEastAsia" w:hAnsiTheme="minorEastAsia" w:cstheme="minorEastAsia"/>
          <w:b/>
          <w:color w:val="333333"/>
          <w:sz w:val="28"/>
          <w:szCs w:val="28"/>
          <w:lang w:val="en-US" w:eastAsia="zh-CN"/>
        </w:rPr>
        <w:t>绥滨县退役军人事务局</w:t>
      </w:r>
      <w:r>
        <w:rPr>
          <w:rFonts w:hint="eastAsia" w:asciiTheme="minorEastAsia" w:hAnsiTheme="minorEastAsia" w:eastAsiaTheme="minorEastAsia" w:cstheme="minorEastAsia"/>
          <w:b/>
          <w:color w:val="333333"/>
          <w:sz w:val="28"/>
          <w:szCs w:val="28"/>
          <w:lang w:val="en-US" w:eastAsia="zh-CN"/>
        </w:rPr>
        <w:t>决算文字说明</w:t>
      </w:r>
    </w:p>
    <w:p>
      <w:pPr>
        <w:pStyle w:val="3"/>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3"/>
        <w:keepNext w:val="0"/>
        <w:keepLines w:val="0"/>
        <w:widowControl/>
        <w:numPr>
          <w:ilvl w:val="0"/>
          <w:numId w:val="1"/>
        </w:numPr>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r>
        <w:rPr>
          <w:rFonts w:hint="eastAsia" w:asciiTheme="minorEastAsia" w:hAnsiTheme="minorEastAsia" w:eastAsiaTheme="minorEastAsia" w:cstheme="minorEastAsia"/>
          <w:b/>
          <w:color w:val="333333"/>
          <w:sz w:val="28"/>
          <w:szCs w:val="28"/>
        </w:rPr>
        <w:t>部门概况</w:t>
      </w:r>
    </w:p>
    <w:p>
      <w:pPr>
        <w:pStyle w:val="3"/>
        <w:keepNext w:val="0"/>
        <w:keepLines w:val="0"/>
        <w:widowControl/>
        <w:numPr>
          <w:ilvl w:val="0"/>
          <w:numId w:val="0"/>
        </w:numPr>
        <w:suppressLineNumbers w:val="0"/>
        <w:spacing w:before="180" w:beforeAutospacing="0" w:after="360" w:afterAutospacing="0" w:line="450" w:lineRule="atLeast"/>
        <w:ind w:right="0" w:rightChars="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xml:space="preserve"> 一、主要职能</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180" w:beforeAutospacing="0" w:after="360" w:afterAutospacing="0" w:line="240" w:lineRule="auto"/>
        <w:ind w:left="0" w:right="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shd w:val="clear" w:fill="FFFFFF"/>
        </w:rPr>
        <w:t>  （一）</w:t>
      </w:r>
      <w:r>
        <w:rPr>
          <w:rFonts w:hint="eastAsia" w:ascii="宋体" w:hAnsi="宋体" w:eastAsia="宋体" w:cs="宋体"/>
          <w:b w:val="0"/>
          <w:bCs w:val="0"/>
          <w:sz w:val="32"/>
          <w:szCs w:val="32"/>
          <w:lang w:eastAsia="zh-CN"/>
        </w:rPr>
        <w:t>责贯彻落实</w:t>
      </w:r>
      <w:r>
        <w:rPr>
          <w:rFonts w:hint="eastAsia" w:cs="宋体"/>
          <w:b w:val="0"/>
          <w:bCs w:val="0"/>
          <w:sz w:val="32"/>
          <w:szCs w:val="32"/>
          <w:lang w:eastAsia="zh-CN"/>
        </w:rPr>
        <w:t>退役军人思想政治、管理保障和安置优抚等工作政策法规，褒扬彰显退役军人为党、国家和人民牺牲奉献的精神风范和价值导向。</w:t>
      </w:r>
      <w:r>
        <w:rPr>
          <w:rFonts w:hint="eastAsia" w:asciiTheme="minorEastAsia" w:hAnsiTheme="minorEastAsia" w:eastAsiaTheme="minorEastAsia" w:cstheme="minorEastAsia"/>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shd w:val="clear" w:fill="FFFFFF"/>
        </w:rPr>
        <w:t>；</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180" w:beforeAutospacing="0" w:after="360" w:afterAutospacing="0" w:line="240" w:lineRule="auto"/>
        <w:ind w:left="0" w:right="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shd w:val="clear" w:fill="FFFFFF"/>
        </w:rPr>
        <w:t> （二）</w:t>
      </w:r>
      <w:r>
        <w:rPr>
          <w:rFonts w:hint="eastAsia" w:cs="宋体"/>
          <w:b w:val="0"/>
          <w:bCs w:val="0"/>
          <w:sz w:val="32"/>
          <w:szCs w:val="32"/>
          <w:lang w:eastAsia="zh-CN"/>
        </w:rPr>
        <w:t>负责全县军队转业干部、复员干部、离休退休干部、退役士兵和无军籍退休退职职工的移交安置工作和自主择业、就业退役军人服务管理工作</w:t>
      </w:r>
      <w:r>
        <w:rPr>
          <w:rFonts w:hint="eastAsia" w:asciiTheme="minorEastAsia" w:hAnsiTheme="minorEastAsia" w:eastAsiaTheme="minorEastAsia" w:cstheme="minorEastAsia"/>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shd w:val="clear" w:fill="FFFFFF"/>
        </w:rPr>
        <w:t>；</w:t>
      </w:r>
      <w:r>
        <w:rPr>
          <w:rFonts w:hint="eastAsia" w:asciiTheme="minorEastAsia" w:hAnsiTheme="minorEastAsia" w:eastAsiaTheme="minorEastAsia" w:cstheme="minorEastAsia"/>
          <w:color w:val="333333"/>
          <w:sz w:val="28"/>
          <w:szCs w:val="28"/>
          <w:shd w:val="clear" w:fill="FFFFFF"/>
        </w:rPr>
        <w:br w:type="textWrapping"/>
      </w:r>
      <w:r>
        <w:rPr>
          <w:rFonts w:hint="eastAsia" w:asciiTheme="minorEastAsia" w:hAnsiTheme="minorEastAsia" w:eastAsiaTheme="minorEastAsia" w:cstheme="minorEastAsia"/>
          <w:color w:val="333333"/>
          <w:sz w:val="28"/>
          <w:szCs w:val="28"/>
          <w:shd w:val="clear" w:fill="FFFFFF"/>
        </w:rPr>
        <w:t>  </w:t>
      </w:r>
      <w:r>
        <w:rPr>
          <w:rFonts w:hint="eastAsia" w:asciiTheme="minorEastAsia" w:hAnsiTheme="minorEastAsia" w:cstheme="minorEastAsia"/>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shd w:val="clear" w:fill="FFFFFF"/>
        </w:rPr>
        <w:t>（三）</w:t>
      </w:r>
      <w:r>
        <w:rPr>
          <w:rFonts w:hint="eastAsia" w:cs="宋体"/>
          <w:b w:val="0"/>
          <w:bCs w:val="0"/>
          <w:sz w:val="32"/>
          <w:szCs w:val="32"/>
          <w:lang w:eastAsia="zh-CN"/>
        </w:rPr>
        <w:t>组织指导全县退役军人教育培训工作，协调扶持退役军人和随军随调家属就业创业</w:t>
      </w:r>
      <w:r>
        <w:rPr>
          <w:rFonts w:hint="eastAsia" w:asciiTheme="minorEastAsia" w:hAnsiTheme="minorEastAsia" w:eastAsiaTheme="minorEastAsia" w:cstheme="minorEastAsia"/>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shd w:val="clear" w:fill="FFFFFF"/>
        </w:rPr>
        <w:t>；</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180" w:beforeAutospacing="0" w:after="360" w:afterAutospacing="0" w:line="240" w:lineRule="auto"/>
        <w:ind w:left="0" w:right="0" w:firstLine="840" w:firstLineChars="300"/>
        <w:jc w:val="left"/>
        <w:textAlignment w:val="auto"/>
        <w:rPr>
          <w:rFonts w:hint="eastAsia" w:asciiTheme="minorEastAsia" w:hAnsiTheme="minorEastAsia" w:eastAsiaTheme="minorEastAsia" w:cstheme="minorEastAsia"/>
          <w:color w:val="333333"/>
          <w:sz w:val="28"/>
          <w:szCs w:val="28"/>
          <w:shd w:val="clear" w:fill="FFFFFF"/>
          <w:lang w:eastAsia="zh-CN"/>
        </w:rPr>
      </w:pPr>
      <w:r>
        <w:rPr>
          <w:rFonts w:hint="eastAsia" w:asciiTheme="minorEastAsia" w:hAnsiTheme="minorEastAsia" w:eastAsiaTheme="minorEastAsia" w:cstheme="minorEastAsia"/>
          <w:color w:val="333333"/>
          <w:sz w:val="28"/>
          <w:szCs w:val="28"/>
          <w:shd w:val="clear" w:fill="FFFFFF"/>
        </w:rPr>
        <w:t>（四）</w:t>
      </w:r>
      <w:r>
        <w:rPr>
          <w:rFonts w:hint="eastAsia" w:cs="宋体"/>
          <w:b w:val="0"/>
          <w:bCs w:val="0"/>
          <w:sz w:val="32"/>
          <w:szCs w:val="32"/>
          <w:lang w:eastAsia="zh-CN"/>
        </w:rPr>
        <w:t>会同有关部门拟订退役军人特殊保障实施意见并组织落实</w:t>
      </w:r>
      <w:r>
        <w:rPr>
          <w:rFonts w:hint="eastAsia" w:asciiTheme="minorEastAsia" w:hAnsiTheme="minorEastAsia" w:eastAsiaTheme="minorEastAsia" w:cstheme="minorEastAsia"/>
          <w:color w:val="333333"/>
          <w:sz w:val="28"/>
          <w:szCs w:val="28"/>
          <w:shd w:val="clear" w:fill="FFFFFF"/>
        </w:rPr>
        <w:t> </w:t>
      </w:r>
      <w:r>
        <w:rPr>
          <w:rFonts w:hint="eastAsia" w:asciiTheme="minorEastAsia" w:hAnsiTheme="minorEastAsia" w:eastAsiaTheme="minorEastAsia" w:cstheme="minorEastAsia"/>
          <w:color w:val="333333"/>
          <w:sz w:val="28"/>
          <w:szCs w:val="28"/>
          <w:shd w:val="clear" w:fill="FFFFFF"/>
          <w:lang w:eastAsia="zh-CN"/>
        </w:rPr>
        <w:t>。</w:t>
      </w:r>
    </w:p>
    <w:p>
      <w:pPr>
        <w:pStyle w:val="2"/>
        <w:keepNext w:val="0"/>
        <w:keepLines w:val="0"/>
        <w:pageBreakBefore w:val="0"/>
        <w:numPr>
          <w:ilvl w:val="0"/>
          <w:numId w:val="0"/>
        </w:numPr>
        <w:kinsoku/>
        <w:wordWrap/>
        <w:overflowPunct/>
        <w:topLinePunct w:val="0"/>
        <w:autoSpaceDE/>
        <w:autoSpaceDN/>
        <w:bidi w:val="0"/>
        <w:adjustRightInd/>
        <w:snapToGrid/>
        <w:spacing w:line="240" w:lineRule="auto"/>
        <w:ind w:right="0" w:rightChars="0" w:firstLine="960" w:firstLineChars="300"/>
        <w:jc w:val="left"/>
        <w:textAlignment w:val="auto"/>
        <w:rPr>
          <w:rFonts w:hint="eastAsia" w:cs="宋体"/>
          <w:b w:val="0"/>
          <w:bCs w:val="0"/>
          <w:sz w:val="32"/>
          <w:szCs w:val="32"/>
          <w:lang w:eastAsia="zh-CN"/>
        </w:rPr>
      </w:pPr>
      <w:r>
        <w:rPr>
          <w:rFonts w:hint="eastAsia" w:cs="宋体"/>
          <w:b w:val="0"/>
          <w:bCs w:val="0"/>
          <w:sz w:val="32"/>
          <w:szCs w:val="32"/>
          <w:lang w:val="en-US" w:eastAsia="zh-CN"/>
        </w:rPr>
        <w:t>(五）</w:t>
      </w:r>
      <w:r>
        <w:rPr>
          <w:rFonts w:hint="eastAsia" w:cs="宋体"/>
          <w:b w:val="0"/>
          <w:bCs w:val="0"/>
          <w:sz w:val="32"/>
          <w:szCs w:val="32"/>
          <w:lang w:eastAsia="zh-CN"/>
        </w:rPr>
        <w:t>组织协调落实移交地方的离休退休军人、符合条件的其他退役军人和无军籍退休退职职工的住房保障工作，以及退役军人医疗保险、社会保险等待遇保障工作。</w:t>
      </w:r>
    </w:p>
    <w:p>
      <w:pPr>
        <w:pStyle w:val="2"/>
        <w:keepNext w:val="0"/>
        <w:keepLines w:val="0"/>
        <w:pageBreakBefore w:val="0"/>
        <w:numPr>
          <w:ilvl w:val="0"/>
          <w:numId w:val="0"/>
        </w:numPr>
        <w:kinsoku/>
        <w:wordWrap/>
        <w:overflowPunct/>
        <w:topLinePunct w:val="0"/>
        <w:autoSpaceDE/>
        <w:autoSpaceDN/>
        <w:bidi w:val="0"/>
        <w:adjustRightInd/>
        <w:snapToGrid/>
        <w:spacing w:line="240" w:lineRule="auto"/>
        <w:ind w:right="0" w:rightChars="0" w:firstLine="960" w:firstLineChars="300"/>
        <w:jc w:val="left"/>
        <w:textAlignment w:val="auto"/>
        <w:rPr>
          <w:rFonts w:hint="eastAsia" w:cs="宋体"/>
          <w:b w:val="0"/>
          <w:bCs w:val="0"/>
          <w:sz w:val="32"/>
          <w:szCs w:val="32"/>
          <w:lang w:eastAsia="zh-CN"/>
        </w:rPr>
      </w:pPr>
      <w:r>
        <w:rPr>
          <w:rFonts w:hint="eastAsia" w:cs="宋体"/>
          <w:b w:val="0"/>
          <w:bCs w:val="0"/>
          <w:sz w:val="32"/>
          <w:szCs w:val="32"/>
          <w:lang w:eastAsia="zh-CN"/>
        </w:rPr>
        <w:t>（六）组织指导全县伤病残退役军人服务管理和抚恤工作，组织实施有关退役军人医疗、疗养、养老等机构的规划政策；承担不适宜继续服役的伤病残军人相关工作；组织指导军供服务保障工作；承担国家机关工作人员等残疾等级评定申报并负责伤亡抚恤职责。组织指导全县拥军优属工作。</w:t>
      </w:r>
    </w:p>
    <w:p>
      <w:pPr>
        <w:pStyle w:val="2"/>
        <w:numPr>
          <w:ilvl w:val="0"/>
          <w:numId w:val="0"/>
        </w:numPr>
        <w:spacing w:line="360" w:lineRule="auto"/>
        <w:ind w:right="0" w:rightChars="0" w:firstLine="640" w:firstLineChars="200"/>
        <w:rPr>
          <w:rFonts w:hint="eastAsia" w:cs="宋体"/>
          <w:b w:val="0"/>
          <w:bCs w:val="0"/>
          <w:sz w:val="32"/>
          <w:szCs w:val="32"/>
          <w:lang w:eastAsia="zh-CN"/>
        </w:rPr>
      </w:pPr>
      <w:r>
        <w:rPr>
          <w:rFonts w:hint="eastAsia" w:cs="宋体"/>
          <w:b w:val="0"/>
          <w:bCs w:val="0"/>
          <w:sz w:val="32"/>
          <w:szCs w:val="32"/>
          <w:lang w:eastAsia="zh-CN"/>
        </w:rPr>
        <w:t>（七）负责现役军人、退役军人、军队文职人员和军属优待、抚恤等工作，落实国家和省关于国民党抗战老兵等有关人员优待政策。</w:t>
      </w:r>
    </w:p>
    <w:p>
      <w:pPr>
        <w:pStyle w:val="2"/>
        <w:numPr>
          <w:ilvl w:val="0"/>
          <w:numId w:val="0"/>
        </w:numPr>
        <w:spacing w:line="360" w:lineRule="auto"/>
        <w:ind w:right="0" w:rightChars="0" w:firstLine="640" w:firstLineChars="200"/>
        <w:rPr>
          <w:rFonts w:hint="eastAsia" w:cs="宋体"/>
          <w:b w:val="0"/>
          <w:bCs w:val="0"/>
          <w:sz w:val="32"/>
          <w:szCs w:val="32"/>
          <w:lang w:eastAsia="zh-CN"/>
        </w:rPr>
      </w:pPr>
      <w:r>
        <w:rPr>
          <w:rFonts w:hint="eastAsia" w:cs="宋体"/>
          <w:b w:val="0"/>
          <w:bCs w:val="0"/>
          <w:sz w:val="32"/>
          <w:szCs w:val="32"/>
          <w:lang w:eastAsia="zh-CN"/>
        </w:rPr>
        <w:t>（八）负责全县烈士及退役军人荣誉奖励、军人公墓管理维护、纪念活动等工作，依法承担英雄烈士保护相关工作，承办外国在我县烈士纪念设施保护事宜，总结表彰和宣扬退役军人、退役军</w:t>
      </w:r>
      <w:r>
        <w:rPr>
          <w:rFonts w:hint="eastAsia" w:cs="宋体"/>
          <w:b w:val="0"/>
          <w:bCs w:val="0"/>
          <w:sz w:val="32"/>
          <w:szCs w:val="32"/>
          <w:lang w:val="en-US" w:eastAsia="zh-CN"/>
        </w:rPr>
        <w:t>人工作单位和个人先进典型事迹。</w:t>
      </w:r>
    </w:p>
    <w:p>
      <w:pPr>
        <w:pStyle w:val="2"/>
        <w:numPr>
          <w:ilvl w:val="0"/>
          <w:numId w:val="0"/>
        </w:numPr>
        <w:spacing w:line="360" w:lineRule="auto"/>
        <w:ind w:right="0" w:rightChars="0" w:firstLine="640" w:firstLineChars="200"/>
        <w:rPr>
          <w:rFonts w:hint="eastAsia" w:cs="宋体"/>
          <w:b w:val="0"/>
          <w:bCs w:val="0"/>
          <w:sz w:val="32"/>
          <w:szCs w:val="32"/>
          <w:lang w:eastAsia="zh-CN"/>
        </w:rPr>
      </w:pPr>
      <w:r>
        <w:rPr>
          <w:rFonts w:hint="eastAsia" w:cs="宋体"/>
          <w:b w:val="0"/>
          <w:bCs w:val="0"/>
          <w:sz w:val="32"/>
          <w:szCs w:val="32"/>
          <w:lang w:val="en-US" w:eastAsia="zh-CN"/>
        </w:rPr>
        <w:t>（九）指导退役军人相关法律法规和政策措施的落实，组织开展退役军人权益维护和有关人员的帮扶援助工作。</w:t>
      </w:r>
    </w:p>
    <w:p>
      <w:pPr>
        <w:pStyle w:val="2"/>
        <w:numPr>
          <w:ilvl w:val="0"/>
          <w:numId w:val="0"/>
        </w:numPr>
        <w:spacing w:line="360" w:lineRule="auto"/>
        <w:ind w:right="0" w:rightChars="0" w:firstLine="640" w:firstLineChars="200"/>
        <w:rPr>
          <w:rFonts w:hint="eastAsia" w:cs="宋体"/>
          <w:b w:val="0"/>
          <w:bCs w:val="0"/>
          <w:sz w:val="32"/>
          <w:szCs w:val="32"/>
          <w:lang w:eastAsia="zh-CN"/>
        </w:rPr>
      </w:pPr>
      <w:r>
        <w:rPr>
          <w:rFonts w:hint="eastAsia" w:cs="宋体"/>
          <w:b w:val="0"/>
          <w:bCs w:val="0"/>
          <w:sz w:val="32"/>
          <w:szCs w:val="32"/>
          <w:lang w:val="en-US" w:eastAsia="zh-CN"/>
        </w:rPr>
        <w:t>（十）完成县委、县政府交办的其他任务。</w:t>
      </w:r>
    </w:p>
    <w:p>
      <w:pPr>
        <w:pStyle w:val="3"/>
        <w:keepNext w:val="0"/>
        <w:keepLines w:val="0"/>
        <w:widowControl/>
        <w:suppressLineNumbers w:val="0"/>
        <w:shd w:val="clear" w:fill="FFFFFF"/>
        <w:spacing w:before="180" w:beforeAutospacing="0" w:after="360" w:afterAutospacing="0" w:line="360" w:lineRule="atLeast"/>
        <w:ind w:left="0" w:right="0" w:firstLine="640"/>
        <w:jc w:val="left"/>
        <w:rPr>
          <w:rFonts w:hint="eastAsia" w:asciiTheme="minorEastAsia" w:hAnsiTheme="minorEastAsia" w:eastAsiaTheme="minorEastAsia" w:cstheme="minorEastAsia"/>
          <w:color w:val="333333"/>
          <w:sz w:val="28"/>
          <w:szCs w:val="28"/>
          <w:shd w:val="clear" w:fill="FFFFFF"/>
          <w:lang w:eastAsia="zh-CN"/>
        </w:rPr>
      </w:pPr>
    </w:p>
    <w:p>
      <w:pPr>
        <w:pStyle w:val="3"/>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spacing w:line="360" w:lineRule="auto"/>
        <w:ind w:left="0" w:firstLine="640" w:firstLineChars="200"/>
        <w:rPr>
          <w:rFonts w:hint="eastAsia" w:ascii="宋体" w:hAnsi="宋体" w:eastAsia="宋体" w:cs="宋体"/>
          <w:sz w:val="32"/>
          <w:szCs w:val="32"/>
        </w:rPr>
      </w:pPr>
      <w:r>
        <w:rPr>
          <w:rFonts w:hint="eastAsia" w:ascii="宋体" w:hAnsi="宋体" w:eastAsia="宋体" w:cs="宋体"/>
          <w:sz w:val="32"/>
          <w:szCs w:val="32"/>
        </w:rPr>
        <w:t>绥滨县</w:t>
      </w:r>
      <w:r>
        <w:rPr>
          <w:rFonts w:hint="eastAsia" w:cs="宋体"/>
          <w:sz w:val="32"/>
          <w:szCs w:val="32"/>
          <w:lang w:eastAsia="zh-CN"/>
        </w:rPr>
        <w:t>退役军人事务</w:t>
      </w:r>
      <w:r>
        <w:rPr>
          <w:rFonts w:hint="eastAsia" w:ascii="宋体" w:hAnsi="宋体" w:eastAsia="宋体" w:cs="宋体"/>
          <w:sz w:val="32"/>
          <w:szCs w:val="32"/>
        </w:rPr>
        <w:t>局预算是包括绥滨县</w:t>
      </w:r>
      <w:r>
        <w:rPr>
          <w:rFonts w:hint="eastAsia" w:cs="宋体"/>
          <w:sz w:val="32"/>
          <w:szCs w:val="32"/>
          <w:lang w:eastAsia="zh-CN"/>
        </w:rPr>
        <w:t>退役军人事务</w:t>
      </w:r>
      <w:r>
        <w:rPr>
          <w:rFonts w:hint="eastAsia" w:ascii="宋体" w:hAnsi="宋体" w:eastAsia="宋体" w:cs="宋体"/>
          <w:sz w:val="32"/>
          <w:szCs w:val="32"/>
        </w:rPr>
        <w:t>局以及下属</w:t>
      </w:r>
      <w:r>
        <w:rPr>
          <w:rFonts w:hint="eastAsia" w:cs="宋体"/>
          <w:sz w:val="32"/>
          <w:szCs w:val="32"/>
          <w:lang w:eastAsia="zh-CN"/>
        </w:rPr>
        <w:t>绥滨县退役军人服务中心</w:t>
      </w:r>
      <w:r>
        <w:rPr>
          <w:rFonts w:hint="eastAsia" w:ascii="宋体" w:hAnsi="宋体" w:eastAsia="宋体" w:cs="宋体"/>
          <w:sz w:val="32"/>
          <w:szCs w:val="32"/>
        </w:rPr>
        <w:t>预算单位的综合收支计划。本部门中，行政单位</w:t>
      </w:r>
      <w:r>
        <w:rPr>
          <w:rFonts w:hint="eastAsia" w:cs="宋体"/>
          <w:sz w:val="32"/>
          <w:szCs w:val="32"/>
          <w:lang w:val="en-US" w:eastAsia="zh-CN"/>
        </w:rPr>
        <w:t>1</w:t>
      </w:r>
      <w:r>
        <w:rPr>
          <w:rFonts w:hint="eastAsia" w:ascii="宋体" w:hAnsi="宋体" w:eastAsia="宋体" w:cs="宋体"/>
          <w:sz w:val="32"/>
          <w:szCs w:val="32"/>
        </w:rPr>
        <w:t>家，事业</w:t>
      </w:r>
      <w:r>
        <w:rPr>
          <w:rFonts w:hint="eastAsia" w:cs="宋体"/>
          <w:sz w:val="32"/>
          <w:szCs w:val="32"/>
          <w:lang w:eastAsia="zh-CN"/>
        </w:rPr>
        <w:t>单位</w:t>
      </w:r>
      <w:r>
        <w:rPr>
          <w:rFonts w:hint="eastAsia" w:cs="宋体"/>
          <w:sz w:val="32"/>
          <w:szCs w:val="32"/>
          <w:lang w:val="en-US" w:eastAsia="zh-CN"/>
        </w:rPr>
        <w:t>1</w:t>
      </w:r>
      <w:r>
        <w:rPr>
          <w:rFonts w:hint="eastAsia" w:ascii="宋体" w:hAnsi="宋体" w:eastAsia="宋体" w:cs="宋体"/>
          <w:sz w:val="32"/>
          <w:szCs w:val="32"/>
        </w:rPr>
        <w:t>家，具体情况如下：</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6"/>
        <w:gridCol w:w="5178"/>
        <w:gridCol w:w="3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noWrap w:val="0"/>
            <w:vAlign w:val="top"/>
          </w:tcPr>
          <w:p>
            <w:pPr>
              <w:pStyle w:val="2"/>
              <w:spacing w:line="360" w:lineRule="auto"/>
              <w:rPr>
                <w:rFonts w:hint="eastAsia" w:ascii="宋体" w:hAnsi="宋体" w:eastAsia="宋体" w:cs="宋体"/>
                <w:sz w:val="32"/>
                <w:szCs w:val="32"/>
                <w:vertAlign w:val="baseline"/>
                <w:lang w:val="en-US" w:eastAsia="zh-CN"/>
              </w:rPr>
            </w:pPr>
            <w:r>
              <w:rPr>
                <w:rFonts w:hint="eastAsia" w:cs="宋体"/>
                <w:sz w:val="32"/>
                <w:szCs w:val="32"/>
                <w:vertAlign w:val="baseline"/>
                <w:lang w:val="en-US" w:eastAsia="zh-CN"/>
              </w:rPr>
              <w:t>序号</w:t>
            </w:r>
          </w:p>
        </w:tc>
        <w:tc>
          <w:tcPr>
            <w:tcW w:w="5178" w:type="dxa"/>
            <w:noWrap w:val="0"/>
            <w:vAlign w:val="top"/>
          </w:tcPr>
          <w:p>
            <w:pPr>
              <w:pStyle w:val="2"/>
              <w:spacing w:line="360" w:lineRule="auto"/>
              <w:jc w:val="center"/>
              <w:rPr>
                <w:rFonts w:hint="eastAsia" w:ascii="宋体" w:hAnsi="宋体" w:eastAsia="宋体" w:cs="宋体"/>
                <w:sz w:val="32"/>
                <w:szCs w:val="32"/>
                <w:vertAlign w:val="baseline"/>
                <w:lang w:val="en-US" w:eastAsia="zh-CN"/>
              </w:rPr>
            </w:pPr>
            <w:r>
              <w:rPr>
                <w:rFonts w:hint="eastAsia" w:cs="宋体"/>
                <w:sz w:val="32"/>
                <w:szCs w:val="32"/>
                <w:vertAlign w:val="baseline"/>
                <w:lang w:val="en-US" w:eastAsia="zh-CN"/>
              </w:rPr>
              <w:t>单位名称</w:t>
            </w:r>
          </w:p>
        </w:tc>
        <w:tc>
          <w:tcPr>
            <w:tcW w:w="3272" w:type="dxa"/>
            <w:noWrap w:val="0"/>
            <w:vAlign w:val="top"/>
          </w:tcPr>
          <w:p>
            <w:pPr>
              <w:pStyle w:val="2"/>
              <w:spacing w:line="360" w:lineRule="auto"/>
              <w:jc w:val="center"/>
              <w:rPr>
                <w:rFonts w:hint="eastAsia" w:ascii="宋体" w:hAnsi="宋体" w:eastAsia="宋体" w:cs="宋体"/>
                <w:sz w:val="32"/>
                <w:szCs w:val="32"/>
                <w:vertAlign w:val="baseline"/>
                <w:lang w:val="en-US" w:eastAsia="zh-CN"/>
              </w:rPr>
            </w:pPr>
            <w:r>
              <w:rPr>
                <w:rFonts w:hint="eastAsia" w:cs="宋体"/>
                <w:sz w:val="32"/>
                <w:szCs w:val="32"/>
                <w:vertAlign w:val="baseline"/>
                <w:lang w:val="en-US" w:eastAsia="zh-CN"/>
              </w:rPr>
              <w:t>单位性质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noWrap w:val="0"/>
            <w:vAlign w:val="top"/>
          </w:tcPr>
          <w:p>
            <w:pPr>
              <w:pStyle w:val="2"/>
              <w:spacing w:line="360" w:lineRule="auto"/>
              <w:jc w:val="center"/>
              <w:rPr>
                <w:rFonts w:hint="eastAsia" w:ascii="宋体" w:hAnsi="宋体" w:eastAsia="宋体" w:cs="宋体"/>
                <w:sz w:val="32"/>
                <w:szCs w:val="32"/>
                <w:vertAlign w:val="baseline"/>
                <w:lang w:val="en-US" w:eastAsia="zh-CN"/>
              </w:rPr>
            </w:pPr>
            <w:r>
              <w:rPr>
                <w:rFonts w:hint="eastAsia" w:cs="宋体"/>
                <w:sz w:val="32"/>
                <w:szCs w:val="32"/>
                <w:vertAlign w:val="baseline"/>
                <w:lang w:val="en-US" w:eastAsia="zh-CN"/>
              </w:rPr>
              <w:t>1</w:t>
            </w:r>
          </w:p>
        </w:tc>
        <w:tc>
          <w:tcPr>
            <w:tcW w:w="5178" w:type="dxa"/>
            <w:noWrap w:val="0"/>
            <w:vAlign w:val="top"/>
          </w:tcPr>
          <w:p>
            <w:pPr>
              <w:pStyle w:val="2"/>
              <w:spacing w:line="360" w:lineRule="auto"/>
              <w:rPr>
                <w:rFonts w:hint="eastAsia" w:ascii="宋体" w:hAnsi="宋体" w:eastAsia="宋体" w:cs="宋体"/>
                <w:sz w:val="32"/>
                <w:szCs w:val="32"/>
                <w:vertAlign w:val="baseline"/>
                <w:lang w:eastAsia="zh-CN"/>
              </w:rPr>
            </w:pPr>
            <w:r>
              <w:rPr>
                <w:rFonts w:hint="eastAsia" w:cs="宋体"/>
                <w:sz w:val="32"/>
                <w:szCs w:val="32"/>
                <w:vertAlign w:val="baseline"/>
                <w:lang w:eastAsia="zh-CN"/>
              </w:rPr>
              <w:t>绥滨县退役军人事务局</w:t>
            </w:r>
          </w:p>
        </w:tc>
        <w:tc>
          <w:tcPr>
            <w:tcW w:w="3272" w:type="dxa"/>
            <w:noWrap w:val="0"/>
            <w:vAlign w:val="top"/>
          </w:tcPr>
          <w:p>
            <w:pPr>
              <w:pStyle w:val="2"/>
              <w:spacing w:line="360" w:lineRule="auto"/>
              <w:rPr>
                <w:rFonts w:hint="eastAsia" w:ascii="宋体" w:hAnsi="宋体" w:eastAsia="宋体" w:cs="宋体"/>
                <w:sz w:val="32"/>
                <w:szCs w:val="32"/>
                <w:vertAlign w:val="baseline"/>
                <w:lang w:eastAsia="zh-CN"/>
              </w:rPr>
            </w:pPr>
            <w:r>
              <w:rPr>
                <w:rFonts w:hint="eastAsia" w:cs="宋体"/>
                <w:sz w:val="32"/>
                <w:szCs w:val="32"/>
                <w:vertAlign w:val="baseline"/>
                <w:lang w:eastAsia="zh-CN"/>
              </w:rPr>
              <w:t>行政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noWrap w:val="0"/>
            <w:vAlign w:val="top"/>
          </w:tcPr>
          <w:p>
            <w:pPr>
              <w:pStyle w:val="2"/>
              <w:spacing w:line="360" w:lineRule="auto"/>
              <w:jc w:val="center"/>
              <w:rPr>
                <w:rFonts w:hint="eastAsia" w:ascii="宋体" w:hAnsi="宋体" w:eastAsia="宋体" w:cs="宋体"/>
                <w:sz w:val="32"/>
                <w:szCs w:val="32"/>
                <w:vertAlign w:val="baseline"/>
                <w:lang w:val="en-US" w:eastAsia="zh-CN"/>
              </w:rPr>
            </w:pPr>
            <w:r>
              <w:rPr>
                <w:rFonts w:hint="eastAsia" w:cs="宋体"/>
                <w:sz w:val="32"/>
                <w:szCs w:val="32"/>
                <w:vertAlign w:val="baseline"/>
                <w:lang w:val="en-US" w:eastAsia="zh-CN"/>
              </w:rPr>
              <w:t>2</w:t>
            </w:r>
          </w:p>
        </w:tc>
        <w:tc>
          <w:tcPr>
            <w:tcW w:w="5178" w:type="dxa"/>
            <w:noWrap w:val="0"/>
            <w:vAlign w:val="top"/>
          </w:tcPr>
          <w:p>
            <w:pPr>
              <w:pStyle w:val="2"/>
              <w:spacing w:line="360" w:lineRule="auto"/>
              <w:rPr>
                <w:rFonts w:hint="eastAsia" w:ascii="宋体" w:hAnsi="宋体" w:eastAsia="宋体" w:cs="宋体"/>
                <w:sz w:val="32"/>
                <w:szCs w:val="32"/>
                <w:vertAlign w:val="baseline"/>
                <w:lang w:eastAsia="zh-CN"/>
              </w:rPr>
            </w:pPr>
            <w:r>
              <w:rPr>
                <w:rFonts w:hint="eastAsia" w:cs="宋体"/>
                <w:sz w:val="32"/>
                <w:szCs w:val="32"/>
                <w:vertAlign w:val="baseline"/>
                <w:lang w:eastAsia="zh-CN"/>
              </w:rPr>
              <w:t>绥滨县退役军人服务中心</w:t>
            </w:r>
          </w:p>
        </w:tc>
        <w:tc>
          <w:tcPr>
            <w:tcW w:w="3272" w:type="dxa"/>
            <w:noWrap w:val="0"/>
            <w:vAlign w:val="top"/>
          </w:tcPr>
          <w:p>
            <w:pPr>
              <w:pStyle w:val="2"/>
              <w:spacing w:line="360" w:lineRule="auto"/>
              <w:rPr>
                <w:rFonts w:hint="eastAsia" w:ascii="宋体" w:hAnsi="宋体" w:eastAsia="宋体" w:cs="宋体"/>
                <w:sz w:val="32"/>
                <w:szCs w:val="32"/>
                <w:vertAlign w:val="baseline"/>
                <w:lang w:eastAsia="zh-CN"/>
              </w:rPr>
            </w:pPr>
            <w:r>
              <w:rPr>
                <w:rFonts w:hint="eastAsia" w:cs="宋体"/>
                <w:sz w:val="32"/>
                <w:szCs w:val="32"/>
                <w:vertAlign w:val="baseline"/>
                <w:lang w:eastAsia="zh-CN"/>
              </w:rPr>
              <w:t>事业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noWrap w:val="0"/>
            <w:vAlign w:val="top"/>
          </w:tcPr>
          <w:p>
            <w:pPr>
              <w:pStyle w:val="2"/>
              <w:spacing w:line="360" w:lineRule="auto"/>
              <w:jc w:val="center"/>
              <w:rPr>
                <w:rFonts w:hint="eastAsia" w:ascii="宋体" w:hAnsi="宋体" w:eastAsia="宋体" w:cs="宋体"/>
                <w:sz w:val="32"/>
                <w:szCs w:val="32"/>
                <w:vertAlign w:val="baseline"/>
                <w:lang w:val="en-US" w:eastAsia="zh-CN"/>
              </w:rPr>
            </w:pPr>
            <w:r>
              <w:rPr>
                <w:rFonts w:hint="eastAsia" w:cs="宋体"/>
                <w:sz w:val="32"/>
                <w:szCs w:val="32"/>
                <w:vertAlign w:val="baseline"/>
                <w:lang w:val="en-US" w:eastAsia="zh-CN"/>
              </w:rPr>
              <w:t>3</w:t>
            </w:r>
          </w:p>
        </w:tc>
        <w:tc>
          <w:tcPr>
            <w:tcW w:w="5178" w:type="dxa"/>
            <w:noWrap w:val="0"/>
            <w:vAlign w:val="top"/>
          </w:tcPr>
          <w:p>
            <w:pPr>
              <w:pStyle w:val="2"/>
              <w:spacing w:line="360" w:lineRule="auto"/>
              <w:rPr>
                <w:rFonts w:hint="eastAsia" w:ascii="宋体" w:hAnsi="宋体" w:eastAsia="宋体" w:cs="宋体"/>
                <w:sz w:val="32"/>
                <w:szCs w:val="32"/>
                <w:vertAlign w:val="baseline"/>
              </w:rPr>
            </w:pPr>
          </w:p>
        </w:tc>
        <w:tc>
          <w:tcPr>
            <w:tcW w:w="3272" w:type="dxa"/>
            <w:noWrap w:val="0"/>
            <w:vAlign w:val="top"/>
          </w:tcPr>
          <w:p>
            <w:pPr>
              <w:pStyle w:val="2"/>
              <w:spacing w:line="360" w:lineRule="auto"/>
              <w:rPr>
                <w:rFonts w:hint="eastAsia" w:ascii="宋体" w:hAnsi="宋体" w:eastAsia="宋体" w:cs="宋体"/>
                <w:sz w:val="32"/>
                <w:szCs w:val="32"/>
                <w:vertAlign w:val="baseline"/>
              </w:rPr>
            </w:pPr>
          </w:p>
        </w:tc>
      </w:tr>
    </w:tbl>
    <w:p>
      <w:pPr>
        <w:pStyle w:val="3"/>
        <w:keepNext w:val="0"/>
        <w:keepLines w:val="0"/>
        <w:widowControl/>
        <w:suppressLineNumbers w:val="0"/>
        <w:spacing w:before="180" w:beforeAutospacing="0" w:after="360" w:afterAutospacing="0" w:line="450" w:lineRule="atLeast"/>
        <w:ind w:right="0"/>
        <w:jc w:val="left"/>
        <w:rPr>
          <w:rFonts w:hint="eastAsia" w:asciiTheme="minorEastAsia" w:hAnsiTheme="minorEastAsia" w:eastAsiaTheme="minorEastAsia" w:cstheme="minorEastAsia"/>
          <w:sz w:val="28"/>
          <w:szCs w:val="28"/>
        </w:rPr>
      </w:pPr>
    </w:p>
    <w:p>
      <w:pPr>
        <w:pStyle w:val="3"/>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spacing w:line="360" w:lineRule="auto"/>
        <w:ind w:left="0" w:firstLine="560" w:firstLineChars="200"/>
        <w:rPr>
          <w:rFonts w:hint="eastAsia" w:ascii="宋体" w:hAnsi="宋体" w:eastAsia="宋体" w:cs="宋体"/>
          <w:sz w:val="32"/>
          <w:szCs w:val="32"/>
        </w:rPr>
      </w:pPr>
      <w:r>
        <w:rPr>
          <w:rFonts w:hint="eastAsia" w:asciiTheme="minorEastAsia" w:hAnsiTheme="minorEastAsia" w:eastAsiaTheme="minorEastAsia" w:cstheme="minorEastAsia"/>
          <w:color w:val="333333"/>
          <w:sz w:val="28"/>
          <w:szCs w:val="28"/>
        </w:rPr>
        <w:t xml:space="preserve">    </w:t>
      </w:r>
      <w:r>
        <w:rPr>
          <w:rFonts w:hint="eastAsia" w:ascii="宋体" w:hAnsi="宋体" w:eastAsia="宋体" w:cs="宋体"/>
          <w:sz w:val="32"/>
          <w:szCs w:val="32"/>
        </w:rPr>
        <w:t>绥滨县</w:t>
      </w:r>
      <w:r>
        <w:rPr>
          <w:rFonts w:hint="eastAsia" w:cs="宋体"/>
          <w:sz w:val="32"/>
          <w:szCs w:val="32"/>
          <w:lang w:eastAsia="zh-CN"/>
        </w:rPr>
        <w:t>退役军人事务</w:t>
      </w:r>
      <w:r>
        <w:rPr>
          <w:rFonts w:hint="eastAsia" w:ascii="宋体" w:hAnsi="宋体" w:eastAsia="宋体" w:cs="宋体"/>
          <w:sz w:val="32"/>
          <w:szCs w:val="32"/>
        </w:rPr>
        <w:t>局总编制人数</w:t>
      </w:r>
      <w:r>
        <w:rPr>
          <w:rFonts w:hint="eastAsia" w:cs="宋体"/>
          <w:sz w:val="32"/>
          <w:szCs w:val="32"/>
          <w:lang w:val="en-US" w:eastAsia="zh-CN"/>
        </w:rPr>
        <w:t>22</w:t>
      </w:r>
      <w:r>
        <w:rPr>
          <w:rFonts w:hint="eastAsia" w:ascii="宋体" w:hAnsi="宋体" w:eastAsia="宋体" w:cs="宋体"/>
          <w:sz w:val="32"/>
          <w:szCs w:val="32"/>
        </w:rPr>
        <w:t>人，在职实有人数</w:t>
      </w:r>
      <w:r>
        <w:rPr>
          <w:rFonts w:hint="eastAsia" w:cs="宋体"/>
          <w:sz w:val="32"/>
          <w:szCs w:val="32"/>
          <w:lang w:val="en-US" w:eastAsia="zh-CN"/>
        </w:rPr>
        <w:t>5</w:t>
      </w:r>
      <w:r>
        <w:rPr>
          <w:rFonts w:hint="eastAsia" w:ascii="宋体" w:hAnsi="宋体" w:eastAsia="宋体" w:cs="宋体"/>
          <w:sz w:val="32"/>
          <w:szCs w:val="32"/>
        </w:rPr>
        <w:t>人，其中：行政编制</w:t>
      </w:r>
      <w:r>
        <w:rPr>
          <w:rFonts w:hint="eastAsia" w:cs="宋体"/>
          <w:sz w:val="32"/>
          <w:szCs w:val="32"/>
          <w:lang w:val="en-US" w:eastAsia="zh-CN"/>
        </w:rPr>
        <w:t>2</w:t>
      </w:r>
      <w:r>
        <w:rPr>
          <w:rFonts w:hint="eastAsia" w:ascii="宋体" w:hAnsi="宋体" w:eastAsia="宋体" w:cs="宋体"/>
          <w:sz w:val="32"/>
          <w:szCs w:val="32"/>
        </w:rPr>
        <w:t>人、事业编制</w:t>
      </w:r>
      <w:r>
        <w:rPr>
          <w:rFonts w:hint="eastAsia" w:cs="宋体"/>
          <w:sz w:val="32"/>
          <w:szCs w:val="32"/>
          <w:lang w:val="en-US" w:eastAsia="zh-CN"/>
        </w:rPr>
        <w:t>3</w:t>
      </w:r>
      <w:r>
        <w:rPr>
          <w:rFonts w:hint="eastAsia" w:ascii="宋体" w:hAnsi="宋体" w:eastAsia="宋体" w:cs="宋体"/>
          <w:sz w:val="32"/>
          <w:szCs w:val="32"/>
        </w:rPr>
        <w:t>人；</w:t>
      </w:r>
      <w:r>
        <w:rPr>
          <w:rFonts w:hint="eastAsia" w:cs="宋体"/>
          <w:sz w:val="32"/>
          <w:szCs w:val="32"/>
          <w:lang w:eastAsia="zh-CN"/>
        </w:rPr>
        <w:t>试用期人员</w:t>
      </w:r>
      <w:r>
        <w:rPr>
          <w:rFonts w:hint="eastAsia" w:cs="宋体"/>
          <w:sz w:val="32"/>
          <w:szCs w:val="32"/>
          <w:lang w:val="en-US" w:eastAsia="zh-CN"/>
        </w:rPr>
        <w:t>6人，</w:t>
      </w:r>
      <w:r>
        <w:rPr>
          <w:rFonts w:hint="eastAsia" w:ascii="宋体" w:hAnsi="宋体" w:eastAsia="宋体" w:cs="宋体"/>
          <w:sz w:val="32"/>
          <w:szCs w:val="32"/>
        </w:rPr>
        <w:t>退休人员</w:t>
      </w:r>
      <w:r>
        <w:rPr>
          <w:rFonts w:hint="eastAsia" w:cs="宋体"/>
          <w:sz w:val="32"/>
          <w:szCs w:val="32"/>
          <w:lang w:val="en-US" w:eastAsia="zh-CN"/>
        </w:rPr>
        <w:t>2</w:t>
      </w:r>
      <w:r>
        <w:rPr>
          <w:rFonts w:hint="eastAsia" w:ascii="宋体" w:hAnsi="宋体" w:eastAsia="宋体" w:cs="宋体"/>
          <w:sz w:val="32"/>
          <w:szCs w:val="32"/>
        </w:rPr>
        <w:t>人。</w:t>
      </w:r>
    </w:p>
    <w:p>
      <w:pPr>
        <w:pStyle w:val="3"/>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8"/>
          <w:szCs w:val="28"/>
        </w:rPr>
      </w:pPr>
    </w:p>
    <w:p>
      <w:pPr>
        <w:pStyle w:val="3"/>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3"/>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年度部门决算情况说明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7"/>
          <w:rFonts w:hint="eastAsia" w:asciiTheme="minorEastAsia" w:hAnsiTheme="minorEastAsia" w:eastAsiaTheme="minorEastAsia" w:cstheme="minorEastAsia"/>
          <w:b/>
          <w:i w:val="0"/>
          <w:caps w:val="0"/>
          <w:color w:val="373737"/>
          <w:spacing w:val="0"/>
          <w:sz w:val="28"/>
          <w:szCs w:val="28"/>
          <w:shd w:val="clear" w:fill="FFFFFF"/>
          <w:vertAlign w:val="baseline"/>
        </w:rPr>
        <w:t>一、20</w:t>
      </w:r>
      <w:r>
        <w:rPr>
          <w:rStyle w:val="7"/>
          <w:rFonts w:hint="eastAsia" w:asciiTheme="minorEastAsia" w:hAnsiTheme="minorEastAsia" w:cstheme="minorEastAsia"/>
          <w:b/>
          <w:i w:val="0"/>
          <w:caps w:val="0"/>
          <w:color w:val="373737"/>
          <w:spacing w:val="0"/>
          <w:sz w:val="28"/>
          <w:szCs w:val="28"/>
          <w:shd w:val="clear" w:fill="FFFFFF"/>
          <w:vertAlign w:val="baseline"/>
          <w:lang w:val="en-US" w:eastAsia="zh-CN"/>
        </w:rPr>
        <w:t>19</w:t>
      </w:r>
      <w:r>
        <w:rPr>
          <w:rStyle w:val="7"/>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903.99</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650.1</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903.99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650.1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7"/>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7"/>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7"/>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903.99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893.54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98.84</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10.46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1.16</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7"/>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7"/>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7"/>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650.1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124.64</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19.17 </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525.46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80.83</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7"/>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7"/>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7"/>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893.54</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893.54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650.1</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651.0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7"/>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7"/>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7"/>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7"/>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650.1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年相比，财政拨款支出增加</w:t>
      </w:r>
      <w:r>
        <w:rPr>
          <w:rFonts w:hint="eastAsia" w:asciiTheme="minorEastAsia" w:hAnsiTheme="minorEastAsia" w:cstheme="minorEastAsia"/>
          <w:i w:val="0"/>
          <w:caps w:val="0"/>
          <w:color w:val="373737"/>
          <w:spacing w:val="0"/>
          <w:sz w:val="28"/>
          <w:szCs w:val="28"/>
          <w:shd w:val="clear" w:fill="FFFFFF"/>
          <w:vertAlign w:val="baseline"/>
          <w:lang w:val="en-US" w:eastAsia="zh-CN"/>
        </w:rPr>
        <w:t>650.1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7"/>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650.1</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7"/>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640.32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98.5</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7"/>
          <w:rFonts w:hint="eastAsia" w:asciiTheme="minorEastAsia" w:hAnsiTheme="minorEastAsia" w:eastAsiaTheme="minorEastAsia" w:cstheme="minorEastAsia"/>
          <w:b/>
          <w:i w:val="0"/>
          <w:caps w:val="0"/>
          <w:color w:val="373737"/>
          <w:spacing w:val="0"/>
          <w:sz w:val="28"/>
          <w:szCs w:val="28"/>
          <w:shd w:val="clear" w:fill="FFFFFF"/>
          <w:vertAlign w:val="baseline"/>
        </w:rPr>
        <w:t>医疗卫生与计划生育（类）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8.66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1.33</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7"/>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7"/>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1.12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0.17</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（根据单位实际科目）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7"/>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r>
        <w:rPr>
          <w:rStyle w:val="7"/>
          <w:rFonts w:hint="eastAsia" w:asciiTheme="minorEastAsia" w:hAnsiTheme="minorEastAsia" w:cstheme="minorEastAsia"/>
          <w:b/>
          <w:i w:val="0"/>
          <w:caps w:val="0"/>
          <w:color w:val="373737"/>
          <w:spacing w:val="0"/>
          <w:sz w:val="28"/>
          <w:szCs w:val="28"/>
          <w:shd w:val="clear" w:fill="FFFFFF"/>
          <w:vertAlign w:val="baseline"/>
          <w:lang w:eastAsia="zh-CN"/>
        </w:rPr>
        <w:t>（根据单位实际科目）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650.1</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649.71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99.94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7"/>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640.32</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639.93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99.94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7"/>
          <w:rFonts w:hint="eastAsia" w:asciiTheme="minorEastAsia" w:hAnsiTheme="minorEastAsia" w:eastAsiaTheme="minorEastAsia" w:cstheme="minorEastAsia"/>
          <w:b/>
          <w:i w:val="0"/>
          <w:caps w:val="0"/>
          <w:color w:val="373737"/>
          <w:spacing w:val="0"/>
          <w:sz w:val="28"/>
          <w:szCs w:val="28"/>
          <w:shd w:val="clear" w:fill="FFFFFF"/>
          <w:vertAlign w:val="baseline"/>
        </w:rPr>
        <w:t>2. 医疗卫生和计划生育（类）医疗保障（款）行政单位医疗（项）。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8.66</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8.66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7"/>
          <w:rFonts w:hint="eastAsia" w:asciiTheme="minorEastAsia" w:hAnsiTheme="minorEastAsia" w:eastAsiaTheme="minorEastAsia" w:cstheme="minorEastAsia"/>
          <w:b/>
          <w:i w:val="0"/>
          <w:caps w:val="0"/>
          <w:color w:val="373737"/>
          <w:spacing w:val="0"/>
          <w:sz w:val="28"/>
          <w:szCs w:val="28"/>
          <w:shd w:val="clear" w:fill="FFFFFF"/>
          <w:vertAlign w:val="baseline"/>
        </w:rPr>
        <w:t>3. 农林水（类）农业（款）行政运行（项）。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7"/>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7"/>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7"/>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7"/>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1.12</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1.12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7"/>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7"/>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7"/>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124.64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108.2</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Fonts w:hint="eastAsia" w:asciiTheme="minorEastAsia" w:hAnsiTheme="minorEastAsia" w:cstheme="minorEastAsia"/>
          <w:i w:val="0"/>
          <w:caps w:val="0"/>
          <w:color w:val="373737"/>
          <w:spacing w:val="0"/>
          <w:sz w:val="28"/>
          <w:szCs w:val="28"/>
          <w:shd w:val="clear" w:fill="FFFFFF"/>
          <w:vertAlign w:val="baseline"/>
          <w:lang w:val="en-US" w:eastAsia="zh-CN"/>
        </w:rPr>
        <w:t>16.44</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7"/>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7"/>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7"/>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7"/>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7"/>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%，其中：因公出国（境）费支出决算为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7"/>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7"/>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Style w:val="7"/>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Style w:val="7"/>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Style w:val="7"/>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7"/>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7"/>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7"/>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7"/>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7"/>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7"/>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7"/>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7"/>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7"/>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7"/>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7"/>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7"/>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7"/>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7"/>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7"/>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7"/>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7"/>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3"/>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3"/>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3"/>
        <w:keepNext w:val="0"/>
        <w:keepLines w:val="0"/>
        <w:widowControl/>
        <w:suppressLineNumbers w:val="0"/>
        <w:spacing w:before="180" w:beforeAutospacing="0" w:after="360" w:afterAutospacing="0" w:line="450" w:lineRule="atLeast"/>
        <w:ind w:left="0" w:right="0" w:firstLine="848"/>
        <w:jc w:val="left"/>
        <w:rPr>
          <w:rFonts w:hint="default"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年度机关运行经费支出</w:t>
      </w:r>
      <w:r>
        <w:rPr>
          <w:rFonts w:hint="eastAsia" w:asciiTheme="minorEastAsia" w:hAnsiTheme="minorEastAsia" w:cstheme="minorEastAsia"/>
          <w:color w:val="333333"/>
          <w:sz w:val="28"/>
          <w:szCs w:val="28"/>
          <w:lang w:val="en-US" w:eastAsia="zh-CN"/>
        </w:rPr>
        <w:t>16.44</w:t>
      </w:r>
      <w:r>
        <w:rPr>
          <w:rFonts w:hint="eastAsia" w:asciiTheme="minorEastAsia" w:hAnsiTheme="minorEastAsia" w:eastAsiaTheme="minorEastAsia" w:cstheme="minorEastAsia"/>
          <w:color w:val="333333"/>
          <w:sz w:val="28"/>
          <w:szCs w:val="28"/>
        </w:rPr>
        <w:t>万元（与部门决算中行政单位和参照公务员法管理事业单位一般公共预算财政拨款基本支出中公用经费之和保持一致），比</w:t>
      </w:r>
      <w:r>
        <w:rPr>
          <w:rFonts w:hint="eastAsia" w:asciiTheme="minorEastAsia" w:hAnsiTheme="minorEastAsia" w:cstheme="minorEastAsia"/>
          <w:color w:val="333333"/>
          <w:sz w:val="28"/>
          <w:szCs w:val="28"/>
          <w:lang w:eastAsia="zh-CN"/>
        </w:rPr>
        <w:t>上</w:t>
      </w:r>
      <w:r>
        <w:rPr>
          <w:rFonts w:hint="eastAsia" w:asciiTheme="minorEastAsia" w:hAnsiTheme="minorEastAsia" w:eastAsiaTheme="minorEastAsia" w:cstheme="minorEastAsia"/>
          <w:color w:val="333333"/>
          <w:sz w:val="28"/>
          <w:szCs w:val="28"/>
        </w:rPr>
        <w:t>年增加</w:t>
      </w:r>
      <w:r>
        <w:rPr>
          <w:rFonts w:hint="eastAsia" w:asciiTheme="minorEastAsia" w:hAnsiTheme="minorEastAsia" w:cstheme="minorEastAsia"/>
          <w:color w:val="333333"/>
          <w:sz w:val="28"/>
          <w:szCs w:val="28"/>
          <w:lang w:val="en-US" w:eastAsia="zh-CN"/>
        </w:rPr>
        <w:t>16.44</w:t>
      </w:r>
      <w:r>
        <w:rPr>
          <w:rFonts w:hint="eastAsia" w:asciiTheme="minorEastAsia" w:hAnsiTheme="minorEastAsia" w:eastAsiaTheme="minorEastAsia" w:cstheme="minorEastAsia"/>
          <w:color w:val="333333"/>
          <w:sz w:val="28"/>
          <w:szCs w:val="28"/>
        </w:rPr>
        <w:t>万元，增长</w:t>
      </w:r>
      <w:r>
        <w:rPr>
          <w:rFonts w:hint="eastAsia" w:asciiTheme="minorEastAsia" w:hAnsiTheme="minorEastAsia" w:cstheme="minorEastAsia"/>
          <w:color w:val="333333"/>
          <w:sz w:val="28"/>
          <w:szCs w:val="28"/>
          <w:lang w:val="en-US" w:eastAsia="zh-CN"/>
        </w:rPr>
        <w:t>100</w:t>
      </w:r>
      <w:r>
        <w:rPr>
          <w:rFonts w:hint="eastAsia" w:asciiTheme="minorEastAsia" w:hAnsiTheme="minorEastAsia" w:eastAsiaTheme="minorEastAsia" w:cstheme="minorEastAsia"/>
          <w:color w:val="333333"/>
          <w:sz w:val="28"/>
          <w:szCs w:val="28"/>
        </w:rPr>
        <w:t>%。主要原因是：</w:t>
      </w:r>
      <w:r>
        <w:rPr>
          <w:rFonts w:hint="eastAsia" w:asciiTheme="minorEastAsia" w:hAnsiTheme="minorEastAsia" w:cstheme="minorEastAsia"/>
          <w:color w:val="333333"/>
          <w:sz w:val="28"/>
          <w:szCs w:val="28"/>
          <w:lang w:val="en-US" w:eastAsia="zh-CN"/>
        </w:rPr>
        <w:t>2019年绥滨县退役军人事务局为新成立单位。</w:t>
      </w:r>
    </w:p>
    <w:p>
      <w:pPr>
        <w:pStyle w:val="3"/>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3"/>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年度政府采购支出总额</w:t>
      </w:r>
      <w:r>
        <w:rPr>
          <w:rFonts w:hint="eastAsia" w:asciiTheme="minorEastAsia" w:hAnsiTheme="minorEastAsia" w:cstheme="minorEastAsia"/>
          <w:color w:val="333333"/>
          <w:sz w:val="28"/>
          <w:szCs w:val="28"/>
          <w:lang w:val="en-US" w:eastAsia="zh-CN"/>
        </w:rPr>
        <w:t>5.3</w:t>
      </w:r>
      <w:r>
        <w:rPr>
          <w:rFonts w:hint="eastAsia" w:asciiTheme="minorEastAsia" w:hAnsiTheme="minorEastAsia" w:eastAsiaTheme="minorEastAsia" w:cstheme="minorEastAsia"/>
          <w:color w:val="333333"/>
          <w:sz w:val="28"/>
          <w:szCs w:val="28"/>
        </w:rPr>
        <w:t>万元，其中：政府采购</w:t>
      </w:r>
      <w:r>
        <w:rPr>
          <w:rFonts w:hint="eastAsia" w:asciiTheme="minorEastAsia" w:hAnsiTheme="minorEastAsia" w:cstheme="minorEastAsia"/>
          <w:color w:val="333333"/>
          <w:sz w:val="28"/>
          <w:szCs w:val="28"/>
          <w:lang w:eastAsia="zh-CN"/>
        </w:rPr>
        <w:t>办公设备</w:t>
      </w:r>
      <w:r>
        <w:rPr>
          <w:rFonts w:hint="eastAsia" w:asciiTheme="minorEastAsia" w:hAnsiTheme="minorEastAsia" w:eastAsiaTheme="minorEastAsia" w:cstheme="minorEastAsia"/>
          <w:color w:val="333333"/>
          <w:sz w:val="28"/>
          <w:szCs w:val="28"/>
        </w:rPr>
        <w:t>支出</w:t>
      </w:r>
      <w:r>
        <w:rPr>
          <w:rFonts w:hint="eastAsia" w:asciiTheme="minorEastAsia" w:hAnsiTheme="minorEastAsia" w:cstheme="minorEastAsia"/>
          <w:color w:val="333333"/>
          <w:sz w:val="28"/>
          <w:szCs w:val="28"/>
          <w:lang w:val="en-US" w:eastAsia="zh-CN"/>
        </w:rPr>
        <w:t>5.3</w:t>
      </w:r>
      <w:r>
        <w:rPr>
          <w:rFonts w:hint="eastAsia" w:asciiTheme="minorEastAsia" w:hAnsiTheme="minorEastAsia" w:eastAsiaTheme="minorEastAsia" w:cstheme="minorEastAsia"/>
          <w:color w:val="333333"/>
          <w:sz w:val="28"/>
          <w:szCs w:val="28"/>
        </w:rPr>
        <w:t>万元</w:t>
      </w:r>
      <w:r>
        <w:rPr>
          <w:rFonts w:hint="eastAsia" w:asciiTheme="minorEastAsia" w:hAnsiTheme="minorEastAsia" w:cstheme="minorEastAsia"/>
          <w:color w:val="333333"/>
          <w:sz w:val="28"/>
          <w:szCs w:val="28"/>
          <w:lang w:eastAsia="zh-CN"/>
        </w:rPr>
        <w:t>。</w:t>
      </w:r>
    </w:p>
    <w:p>
      <w:pPr>
        <w:pStyle w:val="3"/>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辆，其中，一般公务用车 0 辆、一般执法执勤用</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 台（套）。</w:t>
      </w:r>
    </w:p>
    <w:p>
      <w:pPr>
        <w:pStyle w:val="3"/>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年度预算绩效情况说明</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根据财政预算管理要求和年初设定的绩效目标，我单位组织对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年度项目支出全面开展绩效自评。共涉及资金</w:t>
      </w:r>
      <w:r>
        <w:rPr>
          <w:rFonts w:hint="eastAsia" w:asciiTheme="minorEastAsia" w:hAnsiTheme="minorEastAsia" w:cstheme="minorEastAsia"/>
          <w:color w:val="333333"/>
          <w:sz w:val="28"/>
          <w:szCs w:val="28"/>
          <w:lang w:val="en-US" w:eastAsia="zh-CN"/>
        </w:rPr>
        <w:t>863.62</w:t>
      </w:r>
      <w:r>
        <w:rPr>
          <w:rFonts w:hint="eastAsia" w:asciiTheme="minorEastAsia" w:hAnsiTheme="minorEastAsia" w:eastAsiaTheme="minorEastAsia" w:cstheme="minorEastAsia"/>
          <w:color w:val="333333"/>
          <w:sz w:val="28"/>
          <w:szCs w:val="28"/>
        </w:rPr>
        <w:t>万元，自评覆盖率达到100%。</w:t>
      </w:r>
      <w:bookmarkStart w:id="0" w:name="_GoBack"/>
      <w:bookmarkEnd w:id="0"/>
      <w:r>
        <w:rPr>
          <w:rFonts w:hint="eastAsia" w:asciiTheme="minorEastAsia" w:hAnsiTheme="minorEastAsia" w:eastAsiaTheme="minorEastAsia" w:cstheme="minorEastAsia"/>
          <w:color w:val="333333"/>
          <w:sz w:val="28"/>
          <w:szCs w:val="28"/>
        </w:rPr>
        <w:t>从评价情况来看，本部门共</w:t>
      </w:r>
      <w:r>
        <w:rPr>
          <w:rFonts w:hint="eastAsia" w:asciiTheme="minorEastAsia" w:hAnsiTheme="minorEastAsia" w:cstheme="minorEastAsia"/>
          <w:color w:val="333333"/>
          <w:sz w:val="28"/>
          <w:szCs w:val="28"/>
          <w:lang w:eastAsia="zh-CN"/>
        </w:rPr>
        <w:t>对“</w:t>
      </w:r>
      <w:r>
        <w:rPr>
          <w:rFonts w:hint="eastAsia" w:asciiTheme="minorEastAsia" w:hAnsiTheme="minorEastAsia" w:cstheme="minorEastAsia"/>
          <w:color w:val="333333"/>
          <w:sz w:val="28"/>
          <w:szCs w:val="28"/>
          <w:lang w:val="en-US" w:eastAsia="zh-CN"/>
        </w:rPr>
        <w:t>2019年企业军转干部生活困难中央补助</w:t>
      </w:r>
      <w:r>
        <w:rPr>
          <w:rFonts w:hint="eastAsia" w:asciiTheme="minorEastAsia" w:hAnsiTheme="minorEastAsia" w:cstheme="minorEastAsia"/>
          <w:color w:val="333333"/>
          <w:sz w:val="28"/>
          <w:szCs w:val="28"/>
          <w:lang w:eastAsia="zh-CN"/>
        </w:rPr>
        <w:t>”、“</w:t>
      </w:r>
      <w:r>
        <w:rPr>
          <w:rFonts w:hint="eastAsia" w:asciiTheme="minorEastAsia" w:hAnsiTheme="minorEastAsia" w:cstheme="minorEastAsia"/>
          <w:color w:val="333333"/>
          <w:sz w:val="28"/>
          <w:szCs w:val="28"/>
          <w:lang w:val="en-US" w:eastAsia="zh-CN"/>
        </w:rPr>
        <w:t>2019年度军队转业干部补助</w:t>
      </w:r>
      <w:r>
        <w:rPr>
          <w:rFonts w:hint="eastAsia" w:asciiTheme="minorEastAsia" w:hAnsiTheme="minorEastAsia" w:cstheme="minorEastAsia"/>
          <w:color w:val="333333"/>
          <w:sz w:val="28"/>
          <w:szCs w:val="28"/>
          <w:lang w:eastAsia="zh-CN"/>
        </w:rPr>
        <w:t>”、“退役士兵补缴养老保险”、“退役士兵管理教育”、“</w:t>
      </w:r>
      <w:r>
        <w:rPr>
          <w:rFonts w:hint="eastAsia" w:asciiTheme="minorEastAsia" w:hAnsiTheme="minorEastAsia" w:cstheme="minorEastAsia"/>
          <w:color w:val="333333"/>
          <w:sz w:val="28"/>
          <w:szCs w:val="28"/>
          <w:lang w:val="en-US" w:eastAsia="zh-CN"/>
        </w:rPr>
        <w:t>2019年义务兵优待补助资金</w:t>
      </w:r>
      <w:r>
        <w:rPr>
          <w:rFonts w:hint="eastAsia" w:asciiTheme="minorEastAsia" w:hAnsiTheme="minorEastAsia" w:cstheme="minorEastAsia"/>
          <w:color w:val="333333"/>
          <w:sz w:val="28"/>
          <w:szCs w:val="28"/>
          <w:lang w:eastAsia="zh-CN"/>
        </w:rPr>
        <w:t>”、“</w:t>
      </w:r>
      <w:r>
        <w:rPr>
          <w:rFonts w:hint="eastAsia" w:asciiTheme="minorEastAsia" w:hAnsiTheme="minorEastAsia" w:cstheme="minorEastAsia"/>
          <w:color w:val="333333"/>
          <w:sz w:val="28"/>
          <w:szCs w:val="28"/>
          <w:lang w:val="en-US" w:eastAsia="zh-CN"/>
        </w:rPr>
        <w:t>2019年优抚对象医疗补助资金</w:t>
      </w:r>
      <w:r>
        <w:rPr>
          <w:rFonts w:hint="eastAsia" w:asciiTheme="minorEastAsia" w:hAnsiTheme="minorEastAsia" w:cstheme="minorEastAsia"/>
          <w:color w:val="333333"/>
          <w:sz w:val="28"/>
          <w:szCs w:val="28"/>
          <w:lang w:eastAsia="zh-CN"/>
        </w:rPr>
        <w:t>”、“退役士兵自主就业一次性经济补助金”、“</w:t>
      </w:r>
      <w:r>
        <w:rPr>
          <w:rFonts w:hint="eastAsia" w:asciiTheme="minorEastAsia" w:hAnsiTheme="minorEastAsia" w:cstheme="minorEastAsia"/>
          <w:color w:val="333333"/>
          <w:sz w:val="28"/>
          <w:szCs w:val="28"/>
          <w:lang w:val="en-US" w:eastAsia="zh-CN"/>
        </w:rPr>
        <w:t>2019年军队移交政府安置的离退休人员及管理机构经费</w:t>
      </w:r>
      <w:r>
        <w:rPr>
          <w:rFonts w:hint="eastAsia" w:asciiTheme="minorEastAsia" w:hAnsiTheme="minorEastAsia" w:cstheme="minorEastAsia"/>
          <w:color w:val="333333"/>
          <w:sz w:val="28"/>
          <w:szCs w:val="28"/>
          <w:lang w:eastAsia="zh-CN"/>
        </w:rPr>
        <w:t>”、“</w:t>
      </w:r>
      <w:r>
        <w:rPr>
          <w:rFonts w:hint="eastAsia" w:asciiTheme="minorEastAsia" w:hAnsiTheme="minorEastAsia" w:cstheme="minorEastAsia"/>
          <w:color w:val="333333"/>
          <w:sz w:val="28"/>
          <w:szCs w:val="28"/>
          <w:lang w:val="en-US" w:eastAsia="zh-CN"/>
        </w:rPr>
        <w:t>2019年优抚对象抚恤补助资金</w:t>
      </w:r>
      <w:r>
        <w:rPr>
          <w:rFonts w:hint="eastAsia" w:asciiTheme="minorEastAsia" w:hAnsiTheme="minorEastAsia" w:cstheme="minorEastAsia"/>
          <w:color w:val="333333"/>
          <w:sz w:val="28"/>
          <w:szCs w:val="28"/>
          <w:lang w:eastAsia="zh-CN"/>
        </w:rPr>
        <w:t>”等</w:t>
      </w:r>
      <w:r>
        <w:rPr>
          <w:rFonts w:hint="eastAsia" w:asciiTheme="minorEastAsia" w:hAnsiTheme="minorEastAsia" w:cstheme="minorEastAsia"/>
          <w:color w:val="333333"/>
          <w:sz w:val="28"/>
          <w:szCs w:val="28"/>
          <w:lang w:val="en-US" w:eastAsia="zh-CN"/>
        </w:rPr>
        <w:t>9项</w:t>
      </w:r>
      <w:r>
        <w:rPr>
          <w:rFonts w:hint="eastAsia" w:asciiTheme="minorEastAsia" w:hAnsiTheme="minorEastAsia" w:eastAsiaTheme="minorEastAsia" w:cstheme="minorEastAsia"/>
          <w:color w:val="333333"/>
          <w:sz w:val="28"/>
          <w:szCs w:val="28"/>
        </w:rPr>
        <w:t>进行了绩效考核。</w:t>
      </w:r>
    </w:p>
    <w:p>
      <w:pPr>
        <w:pStyle w:val="3"/>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3"/>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3"/>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3"/>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75377D"/>
    <w:multiLevelType w:val="singleLevel"/>
    <w:tmpl w:val="E375377D"/>
    <w:lvl w:ilvl="0" w:tentative="0">
      <w:start w:val="1"/>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5430E87"/>
    <w:rsid w:val="098217C0"/>
    <w:rsid w:val="0B754ABA"/>
    <w:rsid w:val="0E980DC7"/>
    <w:rsid w:val="179B676B"/>
    <w:rsid w:val="1A1F65C5"/>
    <w:rsid w:val="1CFB22BC"/>
    <w:rsid w:val="2A054FEB"/>
    <w:rsid w:val="2DE7389C"/>
    <w:rsid w:val="3964752F"/>
    <w:rsid w:val="3DDC6AB6"/>
    <w:rsid w:val="3E7434E4"/>
    <w:rsid w:val="3F98625C"/>
    <w:rsid w:val="419008B3"/>
    <w:rsid w:val="49633DB1"/>
    <w:rsid w:val="514007DE"/>
    <w:rsid w:val="62763A6A"/>
    <w:rsid w:val="6B6E45D7"/>
    <w:rsid w:val="6BC52739"/>
    <w:rsid w:val="70037D56"/>
    <w:rsid w:val="763C3B43"/>
    <w:rsid w:val="768870B2"/>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260"/>
    </w:pPr>
    <w:rPr>
      <w:rFonts w:ascii="宋体" w:hAnsi="宋体" w:eastAsia="宋体" w:cs="宋体"/>
      <w:sz w:val="32"/>
      <w:szCs w:val="32"/>
      <w:lang w:val="zh-CN" w:eastAsia="zh-CN" w:bidi="zh-CN"/>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0"/>
    <w:rPr>
      <w:b/>
    </w:rPr>
  </w:style>
  <w:style w:type="character" w:styleId="8">
    <w:name w:val="FollowedHyperlink"/>
    <w:basedOn w:val="6"/>
    <w:qFormat/>
    <w:uiPriority w:val="0"/>
    <w:rPr>
      <w:color w:val="333333"/>
      <w:sz w:val="18"/>
      <w:szCs w:val="18"/>
      <w:u w:val="none"/>
    </w:rPr>
  </w:style>
  <w:style w:type="character" w:styleId="9">
    <w:name w:val="Emphasis"/>
    <w:basedOn w:val="6"/>
    <w:qFormat/>
    <w:uiPriority w:val="0"/>
    <w:rPr>
      <w:i/>
    </w:rPr>
  </w:style>
  <w:style w:type="character" w:styleId="10">
    <w:name w:val="Hyperlink"/>
    <w:basedOn w:val="6"/>
    <w:qFormat/>
    <w:uiPriority w:val="0"/>
    <w:rPr>
      <w:color w:val="333333"/>
      <w:sz w:val="18"/>
      <w:szCs w:val="18"/>
      <w:u w:val="none"/>
    </w:rPr>
  </w:style>
  <w:style w:type="character" w:customStyle="1" w:styleId="11">
    <w:name w:val="laiy"/>
    <w:basedOn w:val="6"/>
    <w:qFormat/>
    <w:uiPriority w:val="0"/>
  </w:style>
  <w:style w:type="character" w:customStyle="1" w:styleId="12">
    <w:name w:val="zuoz"/>
    <w:basedOn w:val="6"/>
    <w:qFormat/>
    <w:uiPriority w:val="0"/>
  </w:style>
  <w:style w:type="character" w:customStyle="1" w:styleId="13">
    <w:name w:val="update"/>
    <w:basedOn w:val="6"/>
    <w:qFormat/>
    <w:uiPriority w:val="0"/>
  </w:style>
  <w:style w:type="character" w:customStyle="1" w:styleId="14">
    <w:name w:val="hot1"/>
    <w:basedOn w:val="6"/>
    <w:qFormat/>
    <w:uiPriority w:val="0"/>
  </w:style>
  <w:style w:type="character" w:customStyle="1" w:styleId="15">
    <w:name w:val="td12"/>
    <w:basedOn w:val="6"/>
    <w:qFormat/>
    <w:uiPriority w:val="0"/>
    <w:rPr>
      <w:rFonts w:ascii="Arial" w:hAnsi="Arial" w:cs="Arial"/>
      <w:color w:val="FFFFFF"/>
      <w:sz w:val="16"/>
      <w:szCs w:val="16"/>
    </w:rPr>
  </w:style>
  <w:style w:type="character" w:customStyle="1" w:styleId="16">
    <w:name w:val="td22"/>
    <w:basedOn w:val="6"/>
    <w:qFormat/>
    <w:uiPriority w:val="0"/>
  </w:style>
  <w:style w:type="character" w:customStyle="1" w:styleId="17">
    <w:name w:val="td32"/>
    <w:basedOn w:val="6"/>
    <w:qFormat/>
    <w:uiPriority w:val="0"/>
  </w:style>
  <w:style w:type="character" w:customStyle="1" w:styleId="18">
    <w:name w:val="home"/>
    <w:basedOn w:val="6"/>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52</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Administrator</cp:lastModifiedBy>
  <dcterms:modified xsi:type="dcterms:W3CDTF">2020-10-12T02:47:06Z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