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right="0"/>
        <w:jc w:val="center"/>
        <w:rPr>
          <w:rFonts w:hint="eastAsia" w:asciiTheme="minorEastAsia" w:hAnsiTheme="minorEastAsia" w:eastAsiaTheme="minorEastAsia" w:cstheme="minorEastAsia"/>
          <w:b/>
          <w:color w:val="333333"/>
          <w:sz w:val="28"/>
          <w:szCs w:val="28"/>
          <w:lang w:val="en-US" w:eastAsia="zh-CN"/>
        </w:rPr>
      </w:pP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公证处</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0" w:lineRule="atLeast"/>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一、主要职能</w:t>
      </w:r>
    </w:p>
    <w:p>
      <w:pPr>
        <w:pStyle w:val="2"/>
        <w:keepNext w:val="0"/>
        <w:keepLines w:val="0"/>
        <w:widowControl/>
        <w:suppressLineNumbers w:val="0"/>
        <w:shd w:val="clear" w:fill="FFFFFF"/>
        <w:spacing w:before="180" w:beforeAutospacing="0" w:after="360" w:afterAutospacing="0" w:line="360" w:lineRule="atLeast"/>
        <w:ind w:left="0" w:right="0" w:firstLine="640"/>
        <w:jc w:val="left"/>
        <w:rPr>
          <w:rFonts w:hint="eastAsia" w:asciiTheme="minorEastAsia" w:hAnsiTheme="minorEastAsia" w:eastAsiaTheme="minorEastAsia" w:cstheme="minorEastAsia"/>
          <w:color w:val="333333"/>
          <w:sz w:val="28"/>
          <w:szCs w:val="28"/>
          <w:shd w:val="clear" w:fill="FFFFFF"/>
        </w:rPr>
      </w:pPr>
      <w:r>
        <w:rPr>
          <w:rFonts w:hint="eastAsia" w:asciiTheme="minorEastAsia" w:hAnsiTheme="minorEastAsia" w:eastAsiaTheme="minorEastAsia" w:cstheme="minorEastAsia"/>
          <w:color w:val="333333"/>
          <w:sz w:val="28"/>
          <w:szCs w:val="28"/>
          <w:shd w:val="clear" w:fill="FFFFFF"/>
        </w:rPr>
        <w:t> 办理国内经济，民事公证，办理涉外经济，民事公证，预防纠纷，法律宣传。</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w:t>
      </w:r>
      <w:r>
        <w:rPr>
          <w:rFonts w:hint="eastAsia" w:asciiTheme="minorEastAsia" w:hAnsiTheme="minorEastAsia" w:cstheme="minorEastAsia"/>
          <w:color w:val="333333"/>
          <w:sz w:val="28"/>
          <w:szCs w:val="28"/>
          <w:lang w:eastAsia="zh-CN"/>
        </w:rPr>
        <w:t>差额事业</w:t>
      </w:r>
      <w:r>
        <w:rPr>
          <w:rFonts w:hint="eastAsia" w:asciiTheme="minorEastAsia" w:hAnsiTheme="minorEastAsia" w:eastAsiaTheme="minorEastAsia" w:cstheme="minorEastAsia"/>
          <w:color w:val="333333"/>
          <w:sz w:val="28"/>
          <w:szCs w:val="28"/>
        </w:rPr>
        <w:t>单位，</w:t>
      </w:r>
      <w:r>
        <w:rPr>
          <w:rFonts w:hint="eastAsia" w:asciiTheme="minorEastAsia" w:hAnsiTheme="minorEastAsia" w:cstheme="minorEastAsia"/>
          <w:color w:val="333333"/>
          <w:sz w:val="28"/>
          <w:szCs w:val="28"/>
          <w:lang w:eastAsia="zh-CN"/>
        </w:rPr>
        <w:t>无</w:t>
      </w:r>
      <w:r>
        <w:rPr>
          <w:rFonts w:hint="eastAsia" w:asciiTheme="minorEastAsia" w:hAnsiTheme="minorEastAsia" w:eastAsiaTheme="minorEastAsia" w:cstheme="minorEastAsia"/>
          <w:color w:val="333333"/>
          <w:sz w:val="28"/>
          <w:szCs w:val="28"/>
        </w:rPr>
        <w:t>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行政单位编制数</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个，其中行政编制</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，在职</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人，离休</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人；事业编制</w:t>
      </w:r>
      <w:r>
        <w:rPr>
          <w:rFonts w:hint="eastAsia" w:asciiTheme="minorEastAsia" w:hAnsiTheme="minorEastAsia" w:cstheme="minorEastAsia"/>
          <w:color w:val="333333"/>
          <w:sz w:val="28"/>
          <w:szCs w:val="28"/>
          <w:lang w:val="en-US" w:eastAsia="zh-CN"/>
        </w:rPr>
        <w:t>3</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cstheme="minorEastAsia"/>
          <w:color w:val="333333"/>
          <w:sz w:val="28"/>
          <w:szCs w:val="28"/>
          <w:lang w:val="en-US" w:eastAsia="zh-CN"/>
        </w:rPr>
        <w:t>3</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27.87</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28.36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2.09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8.1</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2.58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10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27.87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27.87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28.36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27.62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97.39</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0.74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2.61</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27.87</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2.09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8.1</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28.36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2.58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10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28.36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2.58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10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28.36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10.55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公共安全</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23.33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82.27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0.74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2.6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4.58</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26.76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28.36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105.98</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%。决算数大于预算数的主要原因：按照相关</w:t>
      </w:r>
      <w:r>
        <w:rPr>
          <w:rFonts w:hint="eastAsia" w:asciiTheme="minorEastAsia" w:hAnsiTheme="minorEastAsia" w:cstheme="minorEastAsia"/>
          <w:i w:val="0"/>
          <w:caps w:val="0"/>
          <w:color w:val="373737"/>
          <w:spacing w:val="0"/>
          <w:sz w:val="28"/>
          <w:szCs w:val="28"/>
          <w:shd w:val="clear" w:fill="FFFFFF"/>
          <w:vertAlign w:val="baseline"/>
          <w:lang w:eastAsia="zh-CN"/>
        </w:rPr>
        <w:t>文件</w:t>
      </w:r>
      <w:r>
        <w:rPr>
          <w:rFonts w:hint="eastAsia" w:asciiTheme="minorEastAsia" w:hAnsiTheme="minorEastAsia" w:eastAsiaTheme="minorEastAsia" w:cstheme="minorEastAsia"/>
          <w:i w:val="0"/>
          <w:caps w:val="0"/>
          <w:color w:val="373737"/>
          <w:spacing w:val="0"/>
          <w:sz w:val="28"/>
          <w:szCs w:val="28"/>
          <w:shd w:val="clear" w:fill="FFFFFF"/>
          <w:vertAlign w:val="baseline"/>
        </w:rPr>
        <w:t>规定，</w:t>
      </w:r>
      <w:r>
        <w:rPr>
          <w:rFonts w:hint="eastAsia" w:asciiTheme="minorEastAsia" w:hAnsiTheme="minorEastAsia" w:cstheme="minorEastAsia"/>
          <w:i w:val="0"/>
          <w:caps w:val="0"/>
          <w:color w:val="373737"/>
          <w:spacing w:val="0"/>
          <w:sz w:val="28"/>
          <w:szCs w:val="28"/>
          <w:shd w:val="clear" w:fill="FFFFFF"/>
          <w:vertAlign w:val="baseline"/>
          <w:lang w:eastAsia="zh-CN"/>
        </w:rPr>
        <w:t>事业单位</w:t>
      </w:r>
      <w:r>
        <w:rPr>
          <w:rFonts w:hint="eastAsia" w:asciiTheme="minorEastAsia" w:hAnsiTheme="minorEastAsia" w:eastAsiaTheme="minorEastAsia" w:cstheme="minorEastAsia"/>
          <w:i w:val="0"/>
          <w:caps w:val="0"/>
          <w:color w:val="373737"/>
          <w:spacing w:val="0"/>
          <w:sz w:val="28"/>
          <w:szCs w:val="28"/>
          <w:shd w:val="clear" w:fill="FFFFFF"/>
          <w:vertAlign w:val="baseline"/>
        </w:rPr>
        <w:t>在职职工工资调整，导致工资福利支出增加，基本支出增加</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2. </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公共安全</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（类）</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司法</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（款）</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律师公证管理</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21.73</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23.33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107.36</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eastAsia="zh-CN"/>
        </w:rPr>
        <w:t>是</w:t>
      </w:r>
      <w:r>
        <w:rPr>
          <w:rFonts w:hint="eastAsia" w:asciiTheme="minorEastAsia" w:hAnsiTheme="minorEastAsia" w:eastAsiaTheme="minorEastAsia" w:cstheme="minorEastAsia"/>
          <w:i w:val="0"/>
          <w:caps w:val="0"/>
          <w:color w:val="373737"/>
          <w:spacing w:val="0"/>
          <w:sz w:val="28"/>
          <w:szCs w:val="28"/>
          <w:shd w:val="clear" w:fill="FFFFFF"/>
          <w:vertAlign w:val="baseline"/>
        </w:rPr>
        <w:t>在职职工工资调整，导致工资福利支出增加，基本支出增加</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0.74</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0.74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27.62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27.62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万元，主要包括：基本工资、津贴补贴、奖金、其他社会保障缴费、其他工资福利支出</w:t>
      </w:r>
      <w:r>
        <w:rPr>
          <w:rFonts w:hint="eastAsia" w:asciiTheme="minorEastAsia" w:hAnsiTheme="minorEastAsia" w:cstheme="minorEastAsia"/>
          <w:i w:val="0"/>
          <w:caps w:val="0"/>
          <w:color w:val="373737"/>
          <w:spacing w:val="0"/>
          <w:sz w:val="28"/>
          <w:szCs w:val="28"/>
          <w:shd w:val="clear" w:fill="FFFFFF"/>
          <w:vertAlign w:val="baseline"/>
          <w:lang w:eastAsia="zh-CN"/>
        </w:rPr>
        <w:t>、</w:t>
      </w:r>
      <w:r>
        <w:rPr>
          <w:rFonts w:hint="eastAsia" w:asciiTheme="minorEastAsia" w:hAnsiTheme="minorEastAsia" w:eastAsiaTheme="minorEastAsia" w:cstheme="minorEastAsia"/>
          <w:i w:val="0"/>
          <w:caps w:val="0"/>
          <w:color w:val="373737"/>
          <w:spacing w:val="0"/>
          <w:sz w:val="28"/>
          <w:szCs w:val="28"/>
          <w:shd w:val="clear" w:fill="FFFFFF"/>
          <w:vertAlign w:val="baseline"/>
        </w:rPr>
        <w:t>奖励金、住房公积金、提租补贴、采暖补贴；公用经费</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万元；公务用车购置及运行费支出决算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万元；公务接待费支出决算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年度机关运行经费支出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r>
        <w:rPr>
          <w:rFonts w:hint="eastAsia" w:asciiTheme="minorEastAsia" w:hAnsiTheme="minorEastAsia" w:cstheme="minorEastAsia"/>
          <w:color w:val="333333"/>
          <w:sz w:val="28"/>
          <w:szCs w:val="28"/>
          <w:lang w:eastAsia="zh-CN"/>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cstheme="minorEastAsia"/>
          <w:color w:val="333333"/>
          <w:sz w:val="28"/>
          <w:szCs w:val="28"/>
          <w:lang w:eastAsia="zh-CN"/>
        </w:rPr>
      </w:pPr>
      <w:r>
        <w:rPr>
          <w:rFonts w:hint="eastAsia" w:asciiTheme="minorEastAsia" w:hAnsiTheme="minorEastAsia" w:cstheme="minorEastAsia"/>
          <w:color w:val="333333"/>
          <w:sz w:val="28"/>
          <w:szCs w:val="28"/>
          <w:lang w:eastAsia="zh-CN"/>
        </w:rPr>
        <w:t>无。</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、特种专业技术用车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无。</w:t>
      </w: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42977F1"/>
    <w:rsid w:val="098217C0"/>
    <w:rsid w:val="0B754ABA"/>
    <w:rsid w:val="0E980DC7"/>
    <w:rsid w:val="179B676B"/>
    <w:rsid w:val="1A1F65C5"/>
    <w:rsid w:val="1CFB22BC"/>
    <w:rsid w:val="2A054FEB"/>
    <w:rsid w:val="2DE7389C"/>
    <w:rsid w:val="3964752F"/>
    <w:rsid w:val="3DDC6AB6"/>
    <w:rsid w:val="3E7434E4"/>
    <w:rsid w:val="3F98625C"/>
    <w:rsid w:val="419008B3"/>
    <w:rsid w:val="62763A6A"/>
    <w:rsid w:val="6B6E45D7"/>
    <w:rsid w:val="6BC52739"/>
    <w:rsid w:val="763C3B43"/>
    <w:rsid w:val="768870B2"/>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qFormat/>
    <w:uiPriority w:val="0"/>
    <w:rPr>
      <w:color w:val="333333"/>
      <w:sz w:val="18"/>
      <w:szCs w:val="18"/>
      <w:u w:val="none"/>
    </w:rPr>
  </w:style>
  <w:style w:type="character" w:styleId="6">
    <w:name w:val="Emphasis"/>
    <w:basedOn w:val="3"/>
    <w:qFormat/>
    <w:uiPriority w:val="0"/>
    <w:rPr>
      <w:i/>
    </w:rPr>
  </w:style>
  <w:style w:type="character" w:styleId="7">
    <w:name w:val="Hyperlink"/>
    <w:basedOn w:val="3"/>
    <w:qFormat/>
    <w:uiPriority w:val="0"/>
    <w:rPr>
      <w:color w:val="333333"/>
      <w:sz w:val="18"/>
      <w:szCs w:val="18"/>
      <w:u w:val="none"/>
    </w:rPr>
  </w:style>
  <w:style w:type="character" w:customStyle="1" w:styleId="9">
    <w:name w:val="laiy"/>
    <w:basedOn w:val="3"/>
    <w:qFormat/>
    <w:uiPriority w:val="0"/>
  </w:style>
  <w:style w:type="character" w:customStyle="1" w:styleId="10">
    <w:name w:val="zuoz"/>
    <w:basedOn w:val="3"/>
    <w:qFormat/>
    <w:uiPriority w:val="0"/>
  </w:style>
  <w:style w:type="character" w:customStyle="1" w:styleId="11">
    <w:name w:val="update"/>
    <w:basedOn w:val="3"/>
    <w:qFormat/>
    <w:uiPriority w:val="0"/>
  </w:style>
  <w:style w:type="character" w:customStyle="1" w:styleId="12">
    <w:name w:val="hot1"/>
    <w:basedOn w:val="3"/>
    <w:qFormat/>
    <w:uiPriority w:val="0"/>
  </w:style>
  <w:style w:type="character" w:customStyle="1" w:styleId="13">
    <w:name w:val="td12"/>
    <w:basedOn w:val="3"/>
    <w:qFormat/>
    <w:uiPriority w:val="0"/>
    <w:rPr>
      <w:rFonts w:ascii="Arial" w:hAnsi="Arial" w:cs="Arial"/>
      <w:color w:val="FFFFFF"/>
      <w:sz w:val="16"/>
      <w:szCs w:val="16"/>
    </w:rPr>
  </w:style>
  <w:style w:type="character" w:customStyle="1" w:styleId="14">
    <w:name w:val="td22"/>
    <w:basedOn w:val="3"/>
    <w:qFormat/>
    <w:uiPriority w:val="0"/>
  </w:style>
  <w:style w:type="character" w:customStyle="1" w:styleId="15">
    <w:name w:val="td32"/>
    <w:basedOn w:val="3"/>
    <w:uiPriority w:val="0"/>
  </w:style>
  <w:style w:type="character" w:customStyle="1" w:styleId="16">
    <w:name w:val="home"/>
    <w:basedOn w:val="3"/>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2020-10-17T06:22:01Z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