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 xml:space="preserve">        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民政局</w:t>
      </w:r>
      <w:bookmarkStart w:id="0" w:name="_GoBack"/>
      <w:bookmarkEnd w:id="0"/>
      <w:r>
        <w:rPr>
          <w:rFonts w:hint="eastAsia" w:asciiTheme="minorEastAsia" w:hAnsiTheme="minorEastAsia" w:eastAsiaTheme="minorEastAsia" w:cstheme="minorEastAsia"/>
          <w:b/>
          <w:color w:val="333333"/>
          <w:sz w:val="28"/>
          <w:szCs w:val="28"/>
          <w:lang w:val="en-US" w:eastAsia="zh-CN"/>
        </w:rPr>
        <w:t>决算文字说明</w:t>
      </w:r>
    </w:p>
    <w:p>
      <w:pPr>
        <w:pStyle w:val="3"/>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3"/>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3"/>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3"/>
        <w:keepNext w:val="0"/>
        <w:keepLines w:val="0"/>
        <w:widowControl/>
        <w:suppressLineNumbers w:val="0"/>
        <w:spacing w:before="180" w:beforeAutospacing="0" w:after="360" w:afterAutospacing="0" w:line="45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一、主要职能</w:t>
      </w:r>
    </w:p>
    <w:p>
      <w:pPr>
        <w:pStyle w:val="2"/>
        <w:spacing w:line="360" w:lineRule="auto"/>
        <w:ind w:firstLine="640" w:firstLineChars="200"/>
        <w:rPr>
          <w:rFonts w:ascii="宋体" w:hAnsi="宋体" w:eastAsia="宋体" w:cs="宋体"/>
          <w:sz w:val="32"/>
          <w:szCs w:val="32"/>
        </w:rPr>
      </w:pPr>
      <w:r>
        <w:rPr>
          <w:rFonts w:hint="eastAsia" w:cs="宋体"/>
          <w:sz w:val="32"/>
          <w:szCs w:val="32"/>
          <w:lang w:eastAsia="zh-CN"/>
        </w:rPr>
        <w:t>（一）</w:t>
      </w:r>
      <w:r>
        <w:rPr>
          <w:rFonts w:ascii="宋体" w:hAnsi="宋体" w:eastAsia="宋体" w:cs="宋体"/>
          <w:sz w:val="32"/>
          <w:szCs w:val="32"/>
        </w:rPr>
        <w:t>贯彻实施国家和省关于民政工作的方针、政策和法律法规，拟定全县民政工作相关规章制度和民政事业发展规划并组</w:t>
      </w:r>
      <w:r>
        <w:rPr>
          <w:rFonts w:ascii="宋体" w:hAnsi="宋体" w:eastAsia="宋体" w:cs="宋体"/>
          <w:sz w:val="32"/>
          <w:szCs w:val="32"/>
        </w:rPr>
        <w:br w:type="textWrapping"/>
      </w:r>
      <w:r>
        <w:rPr>
          <w:rFonts w:ascii="宋体" w:hAnsi="宋体" w:eastAsia="宋体" w:cs="宋体"/>
          <w:sz w:val="32"/>
          <w:szCs w:val="32"/>
        </w:rPr>
        <w:t>织实施。</w:t>
      </w:r>
      <w:r>
        <w:rPr>
          <w:rFonts w:ascii="宋体" w:hAnsi="宋体" w:eastAsia="宋体" w:cs="宋体"/>
          <w:sz w:val="32"/>
          <w:szCs w:val="32"/>
        </w:rPr>
        <w:br w:type="textWrapping"/>
      </w:r>
      <w:r>
        <w:rPr>
          <w:rFonts w:hint="eastAsia" w:cs="宋体"/>
          <w:sz w:val="32"/>
          <w:szCs w:val="32"/>
          <w:lang w:val="en-US" w:eastAsia="zh-CN"/>
        </w:rPr>
        <w:t xml:space="preserve">   </w:t>
      </w:r>
      <w:r>
        <w:rPr>
          <w:rFonts w:ascii="宋体" w:hAnsi="宋体" w:eastAsia="宋体" w:cs="宋体"/>
          <w:sz w:val="32"/>
          <w:szCs w:val="32"/>
        </w:rPr>
        <w:t>（二)落实社会团体、社会服务机构等社会组织登记管理政策。依法对社会组织进行登记管理和执法监督。</w:t>
      </w:r>
      <w:r>
        <w:rPr>
          <w:rFonts w:ascii="宋体" w:hAnsi="宋体" w:eastAsia="宋体" w:cs="宋体"/>
          <w:sz w:val="32"/>
          <w:szCs w:val="32"/>
        </w:rPr>
        <w:br w:type="textWrapping"/>
      </w:r>
      <w:r>
        <w:rPr>
          <w:rFonts w:hint="eastAsia" w:cs="宋体"/>
          <w:sz w:val="32"/>
          <w:szCs w:val="32"/>
          <w:lang w:val="en-US" w:eastAsia="zh-CN"/>
        </w:rPr>
        <w:t xml:space="preserve">  </w:t>
      </w:r>
      <w:r>
        <w:rPr>
          <w:rFonts w:ascii="宋体" w:hAnsi="宋体" w:eastAsia="宋体" w:cs="宋体"/>
          <w:sz w:val="32"/>
          <w:szCs w:val="32"/>
        </w:rPr>
        <w:t>（三）落实社会救助政策、标准，统筹推进社会救助体系建设，负责城乡居民最低生活保障、特困人员救助供养、临时救助、生活无着流浪乞讨人员救助工作。</w:t>
      </w:r>
      <w:r>
        <w:rPr>
          <w:rFonts w:ascii="宋体" w:hAnsi="宋体" w:eastAsia="宋体" w:cs="宋体"/>
          <w:sz w:val="32"/>
          <w:szCs w:val="32"/>
        </w:rPr>
        <w:br w:type="textWrapping"/>
      </w:r>
      <w:r>
        <w:rPr>
          <w:rFonts w:hint="eastAsia" w:cs="宋体"/>
          <w:sz w:val="32"/>
          <w:szCs w:val="32"/>
          <w:lang w:val="en-US" w:eastAsia="zh-CN"/>
        </w:rPr>
        <w:t xml:space="preserve">  </w:t>
      </w:r>
      <w:r>
        <w:rPr>
          <w:rFonts w:ascii="宋体" w:hAnsi="宋体" w:eastAsia="宋体" w:cs="宋体"/>
          <w:sz w:val="32"/>
          <w:szCs w:val="32"/>
        </w:rPr>
        <w:t>（四）拟订并组织实施全县城乡基层群众自治建设和社区治理规划，指导城乡社区治理体系和治理能力建设，指导村（居)民委员会换届选举，提出加强和改进城乡基层政权建设的建议，推动基层民主政治建设。</w:t>
      </w:r>
      <w:r>
        <w:rPr>
          <w:rFonts w:ascii="宋体" w:hAnsi="宋体" w:eastAsia="宋体" w:cs="宋体"/>
          <w:sz w:val="32"/>
          <w:szCs w:val="32"/>
        </w:rPr>
        <w:br w:type="textWrapping"/>
      </w:r>
      <w:r>
        <w:rPr>
          <w:rFonts w:hint="eastAsia" w:cs="宋体"/>
          <w:sz w:val="32"/>
          <w:szCs w:val="32"/>
          <w:lang w:val="en-US" w:eastAsia="zh-CN"/>
        </w:rPr>
        <w:t xml:space="preserve">  </w:t>
      </w:r>
      <w:r>
        <w:rPr>
          <w:rFonts w:ascii="宋体" w:hAnsi="宋体" w:eastAsia="宋体" w:cs="宋体"/>
          <w:sz w:val="32"/>
          <w:szCs w:val="32"/>
        </w:rPr>
        <w:t>（五)负责行政区划设置管理工作。负责行政区划的设立、命名、变更和政府驻地迁移审核呈报工作。组织指导全县行政区域界线的勘定和管理。承担全县地名管理工作。负责指导全县地名标志设置工作。</w:t>
      </w:r>
      <w:r>
        <w:rPr>
          <w:rFonts w:ascii="宋体" w:hAnsi="宋体" w:eastAsia="宋体" w:cs="宋体"/>
          <w:sz w:val="32"/>
          <w:szCs w:val="32"/>
        </w:rPr>
        <w:br w:type="textWrapping"/>
      </w:r>
      <w:r>
        <w:rPr>
          <w:rFonts w:hint="eastAsia" w:cs="宋体"/>
          <w:sz w:val="32"/>
          <w:szCs w:val="32"/>
          <w:lang w:val="en-US" w:eastAsia="zh-CN"/>
        </w:rPr>
        <w:t xml:space="preserve">    </w:t>
      </w:r>
      <w:r>
        <w:rPr>
          <w:rFonts w:ascii="宋体" w:hAnsi="宋体" w:eastAsia="宋体" w:cs="宋体"/>
          <w:sz w:val="32"/>
          <w:szCs w:val="32"/>
        </w:rPr>
        <w:t>（六）落实婚姻管理政策并组织实施，推进婚俗改革。</w:t>
      </w:r>
      <w:r>
        <w:rPr>
          <w:rFonts w:ascii="宋体" w:hAnsi="宋体" w:eastAsia="宋体" w:cs="宋体"/>
          <w:sz w:val="32"/>
          <w:szCs w:val="32"/>
        </w:rPr>
        <w:br w:type="textWrapping"/>
      </w:r>
      <w:r>
        <w:rPr>
          <w:rFonts w:hint="eastAsia" w:cs="宋体"/>
          <w:sz w:val="32"/>
          <w:szCs w:val="32"/>
          <w:lang w:val="en-US" w:eastAsia="zh-CN"/>
        </w:rPr>
        <w:t xml:space="preserve">    </w:t>
      </w:r>
      <w:r>
        <w:rPr>
          <w:rFonts w:ascii="宋体" w:hAnsi="宋体" w:eastAsia="宋体" w:cs="宋体"/>
          <w:sz w:val="32"/>
          <w:szCs w:val="32"/>
        </w:rPr>
        <w:t>（七）落实殡葬管理政策、服务规范并组织实施，推进殡葬改革。</w:t>
      </w:r>
      <w:r>
        <w:rPr>
          <w:rFonts w:ascii="宋体" w:hAnsi="宋体" w:eastAsia="宋体" w:cs="宋体"/>
          <w:sz w:val="32"/>
          <w:szCs w:val="32"/>
        </w:rPr>
        <w:br w:type="textWrapping"/>
      </w:r>
      <w:r>
        <w:rPr>
          <w:rFonts w:hint="eastAsia" w:cs="宋体"/>
          <w:sz w:val="32"/>
          <w:szCs w:val="32"/>
          <w:lang w:val="en-US" w:eastAsia="zh-CN"/>
        </w:rPr>
        <w:t xml:space="preserve">    </w:t>
      </w:r>
      <w:r>
        <w:rPr>
          <w:rFonts w:ascii="宋体" w:hAnsi="宋体" w:eastAsia="宋体" w:cs="宋体"/>
          <w:sz w:val="32"/>
          <w:szCs w:val="32"/>
        </w:rPr>
        <w:t>（八）统筹推进、督促指导、监督管理养老服务工作，拟订养老服务体系建设规划、标准并组织实施，承担老年人福利和特殊困难老年人救助工作。</w:t>
      </w:r>
    </w:p>
    <w:p>
      <w:pPr>
        <w:pStyle w:val="2"/>
        <w:spacing w:line="360" w:lineRule="auto"/>
        <w:ind w:left="0" w:leftChars="0" w:firstLine="640" w:firstLineChars="200"/>
        <w:rPr>
          <w:rFonts w:ascii="宋体" w:hAnsi="宋体" w:eastAsia="宋体" w:cs="宋体"/>
          <w:sz w:val="32"/>
          <w:szCs w:val="32"/>
        </w:rPr>
      </w:pPr>
      <w:r>
        <w:rPr>
          <w:rFonts w:ascii="宋体" w:hAnsi="宋体" w:eastAsia="宋体" w:cs="宋体"/>
          <w:sz w:val="32"/>
          <w:szCs w:val="32"/>
        </w:rPr>
        <w:t>(九）落实残疾人权益保护政策，统筹推进并组织实施残疾人福利制度建设。</w:t>
      </w:r>
      <w:r>
        <w:rPr>
          <w:rFonts w:ascii="宋体" w:hAnsi="宋体" w:eastAsia="宋体" w:cs="宋体"/>
          <w:sz w:val="32"/>
          <w:szCs w:val="32"/>
        </w:rPr>
        <w:br w:type="textWrapping"/>
      </w:r>
      <w:r>
        <w:rPr>
          <w:rFonts w:hint="eastAsia" w:cs="宋体"/>
          <w:sz w:val="32"/>
          <w:szCs w:val="32"/>
          <w:lang w:val="en-US" w:eastAsia="zh-CN"/>
        </w:rPr>
        <w:t xml:space="preserve">   </w:t>
      </w:r>
      <w:r>
        <w:rPr>
          <w:rFonts w:ascii="宋体" w:hAnsi="宋体" w:eastAsia="宋体" w:cs="宋体"/>
          <w:sz w:val="32"/>
          <w:szCs w:val="32"/>
        </w:rPr>
        <w:t>（十）组织实施儿童福利、孤弃儿童保障、儿童收养、儿童救助保护政策、标准，健全农村留守儿童关爱服务体系和困境儿童保障制度。</w:t>
      </w:r>
      <w:r>
        <w:rPr>
          <w:rFonts w:ascii="宋体" w:hAnsi="宋体" w:eastAsia="宋体" w:cs="宋体"/>
          <w:sz w:val="32"/>
          <w:szCs w:val="32"/>
        </w:rPr>
        <w:br w:type="textWrapping"/>
      </w:r>
      <w:r>
        <w:rPr>
          <w:rFonts w:hint="eastAsia" w:cs="宋体"/>
          <w:sz w:val="32"/>
          <w:szCs w:val="32"/>
          <w:lang w:val="en-US" w:eastAsia="zh-CN"/>
        </w:rPr>
        <w:t xml:space="preserve">   </w:t>
      </w:r>
      <w:r>
        <w:rPr>
          <w:rFonts w:ascii="宋体" w:hAnsi="宋体" w:eastAsia="宋体" w:cs="宋体"/>
          <w:sz w:val="32"/>
          <w:szCs w:val="32"/>
        </w:rPr>
        <w:t>（十一）组织实施促进慈善事业发展政策，指导社会捐助工作，配合管理福利彩票工作。</w:t>
      </w:r>
      <w:r>
        <w:rPr>
          <w:rFonts w:ascii="宋体" w:hAnsi="宋体" w:eastAsia="宋体" w:cs="宋体"/>
          <w:sz w:val="32"/>
          <w:szCs w:val="32"/>
        </w:rPr>
        <w:br w:type="textWrapping"/>
      </w:r>
      <w:r>
        <w:rPr>
          <w:rFonts w:hint="eastAsia" w:cs="宋体"/>
          <w:sz w:val="32"/>
          <w:szCs w:val="32"/>
          <w:lang w:val="en-US" w:eastAsia="zh-CN"/>
        </w:rPr>
        <w:t xml:space="preserve">   </w:t>
      </w:r>
      <w:r>
        <w:rPr>
          <w:rFonts w:ascii="宋体" w:hAnsi="宋体" w:eastAsia="宋体" w:cs="宋体"/>
          <w:sz w:val="32"/>
          <w:szCs w:val="32"/>
        </w:rPr>
        <w:t>（十二）组织实施社会工作、志愿服务政策和标准，会同有关部门推进社会工作人才队伍建设和志愿者队伍建设。</w:t>
      </w:r>
      <w:r>
        <w:rPr>
          <w:rFonts w:ascii="宋体" w:hAnsi="宋体" w:eastAsia="宋体" w:cs="宋体"/>
          <w:sz w:val="32"/>
          <w:szCs w:val="32"/>
        </w:rPr>
        <w:br w:type="textWrapping"/>
      </w:r>
      <w:r>
        <w:rPr>
          <w:rFonts w:hint="eastAsia" w:cs="宋体"/>
          <w:sz w:val="32"/>
          <w:szCs w:val="32"/>
          <w:lang w:val="en-US" w:eastAsia="zh-CN"/>
        </w:rPr>
        <w:t xml:space="preserve">   </w:t>
      </w:r>
      <w:r>
        <w:rPr>
          <w:rFonts w:ascii="宋体" w:hAnsi="宋体" w:eastAsia="宋体" w:cs="宋体"/>
          <w:sz w:val="32"/>
          <w:szCs w:val="32"/>
        </w:rPr>
        <w:t>（十三）完成县委、县政府交办的其他任务。</w:t>
      </w:r>
    </w:p>
    <w:p>
      <w:pPr>
        <w:pStyle w:val="3"/>
        <w:keepNext w:val="0"/>
        <w:keepLines w:val="0"/>
        <w:widowControl/>
        <w:suppressLineNumbers w:val="0"/>
        <w:shd w:val="clear" w:fill="FFFFFF"/>
        <w:spacing w:before="180" w:beforeAutospacing="0" w:after="360" w:afterAutospacing="0" w:line="360" w:lineRule="atLeast"/>
        <w:ind w:right="0" w:firstLine="640" w:firstLineChars="200"/>
        <w:jc w:val="left"/>
        <w:rPr>
          <w:rFonts w:hint="eastAsia" w:asciiTheme="minorEastAsia" w:hAnsiTheme="minorEastAsia" w:eastAsiaTheme="minorEastAsia" w:cstheme="minorEastAsia"/>
          <w:sz w:val="28"/>
          <w:szCs w:val="28"/>
        </w:rPr>
      </w:pPr>
      <w:r>
        <w:rPr>
          <w:rFonts w:hint="eastAsia" w:ascii="宋体" w:hAnsi="宋体" w:eastAsia="宋体" w:cs="宋体"/>
          <w:sz w:val="32"/>
          <w:szCs w:val="32"/>
          <w:lang w:eastAsia="zh-CN"/>
        </w:rPr>
        <w:t>（</w:t>
      </w:r>
      <w:r>
        <w:rPr>
          <w:rFonts w:ascii="宋体" w:hAnsi="宋体" w:eastAsia="宋体" w:cs="宋体"/>
          <w:sz w:val="32"/>
          <w:szCs w:val="32"/>
        </w:rPr>
        <w:t>十四）职能转变。县民政局应强化基本民生保障职能，为</w:t>
      </w:r>
      <w:r>
        <w:rPr>
          <w:rFonts w:hint="eastAsia" w:cs="宋体"/>
          <w:sz w:val="32"/>
          <w:szCs w:val="32"/>
          <w:lang w:eastAsia="zh-CN"/>
        </w:rPr>
        <w:t>困</w:t>
      </w:r>
      <w:r>
        <w:rPr>
          <w:rFonts w:ascii="宋体" w:hAnsi="宋体" w:eastAsia="宋体" w:cs="宋体"/>
          <w:sz w:val="32"/>
          <w:szCs w:val="32"/>
        </w:rPr>
        <w:t>难群</w:t>
      </w:r>
      <w:r>
        <w:rPr>
          <w:rFonts w:hint="eastAsia" w:cs="宋体"/>
          <w:sz w:val="32"/>
          <w:szCs w:val="32"/>
          <w:lang w:eastAsia="zh-CN"/>
        </w:rPr>
        <w:t>众</w:t>
      </w:r>
      <w:r>
        <w:rPr>
          <w:rFonts w:ascii="宋体" w:hAnsi="宋体" w:eastAsia="宋体" w:cs="宋体"/>
          <w:sz w:val="32"/>
          <w:szCs w:val="32"/>
        </w:rPr>
        <w:t>，孤老孤残孤儿等特殊群体提供基本社会服务：保进资</w:t>
      </w:r>
      <w:r>
        <w:rPr>
          <w:rFonts w:ascii="宋体" w:hAnsi="宋体" w:eastAsia="宋体" w:cs="宋体"/>
          <w:sz w:val="32"/>
          <w:szCs w:val="32"/>
        </w:rPr>
        <w:br w:type="textWrapping"/>
      </w:r>
      <w:r>
        <w:rPr>
          <w:rFonts w:hint="eastAsia" w:cs="宋体"/>
          <w:sz w:val="32"/>
          <w:szCs w:val="32"/>
          <w:lang w:eastAsia="zh-CN"/>
        </w:rPr>
        <w:t>源</w:t>
      </w:r>
      <w:r>
        <w:rPr>
          <w:rFonts w:ascii="宋体" w:hAnsi="宋体" w:eastAsia="宋体" w:cs="宋体"/>
          <w:sz w:val="32"/>
          <w:szCs w:val="32"/>
        </w:rPr>
        <w:t>向薄弱地区、领域、环节倾斜。积极培育社会组织、社会工作者等多元参与主体，推动搭建基层社会治理和社区公共服务平</w:t>
      </w:r>
      <w:r>
        <w:rPr>
          <w:rFonts w:ascii="宋体" w:hAnsi="宋体" w:eastAsia="宋体" w:cs="宋体"/>
          <w:sz w:val="32"/>
          <w:szCs w:val="32"/>
        </w:rPr>
        <w:br w:type="textWrapping"/>
      </w:r>
      <w:r>
        <w:rPr>
          <w:rFonts w:hint="eastAsia" w:cs="宋体"/>
          <w:sz w:val="32"/>
          <w:szCs w:val="32"/>
          <w:lang w:val="en-US" w:eastAsia="zh-CN"/>
        </w:rPr>
        <w:t xml:space="preserve">   </w:t>
      </w:r>
      <w:r>
        <w:rPr>
          <w:rFonts w:ascii="宋体" w:hAnsi="宋体" w:eastAsia="宋体" w:cs="宋体"/>
          <w:sz w:val="32"/>
          <w:szCs w:val="32"/>
        </w:rPr>
        <w:t>（十五）有关职责分工。</w:t>
      </w:r>
    </w:p>
    <w:p>
      <w:pPr>
        <w:pStyle w:val="3"/>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3"/>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cstheme="minorEastAsia"/>
          <w:color w:val="333333"/>
          <w:sz w:val="28"/>
          <w:szCs w:val="28"/>
          <w:lang w:val="en-US" w:eastAsia="zh-CN"/>
        </w:rPr>
        <w:t>3</w:t>
      </w:r>
      <w:r>
        <w:rPr>
          <w:rFonts w:hint="eastAsia" w:asciiTheme="minorEastAsia" w:hAnsiTheme="minorEastAsia" w:eastAsiaTheme="minorEastAsia" w:cstheme="minorEastAsia"/>
          <w:color w:val="333333"/>
          <w:sz w:val="28"/>
          <w:szCs w:val="28"/>
        </w:rPr>
        <w:t>个内设机构，为一级预算单位。</w:t>
      </w:r>
    </w:p>
    <w:p>
      <w:pPr>
        <w:pStyle w:val="3"/>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3"/>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行政单位编制数</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cstheme="minorEastAsia"/>
          <w:color w:val="333333"/>
          <w:sz w:val="28"/>
          <w:szCs w:val="28"/>
          <w:lang w:val="en-US" w:eastAsia="zh-CN"/>
        </w:rPr>
        <w:t>7</w:t>
      </w:r>
      <w:r>
        <w:rPr>
          <w:rFonts w:hint="eastAsia" w:asciiTheme="minorEastAsia" w:hAnsiTheme="minorEastAsia" w:eastAsiaTheme="minorEastAsia" w:cstheme="minorEastAsia"/>
          <w:color w:val="333333"/>
          <w:sz w:val="28"/>
          <w:szCs w:val="28"/>
        </w:rPr>
        <w:t>，在职</w:t>
      </w:r>
      <w:r>
        <w:rPr>
          <w:rFonts w:hint="eastAsia" w:asciiTheme="minorEastAsia" w:hAnsiTheme="minorEastAsia" w:cstheme="minorEastAsia"/>
          <w:color w:val="333333"/>
          <w:sz w:val="28"/>
          <w:szCs w:val="28"/>
          <w:lang w:val="en-US" w:eastAsia="zh-CN"/>
        </w:rPr>
        <w:t>7</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人，离休</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人；事业编制</w:t>
      </w:r>
      <w:r>
        <w:rPr>
          <w:rFonts w:hint="eastAsia" w:asciiTheme="minorEastAsia" w:hAnsiTheme="minorEastAsia" w:cstheme="minorEastAsia"/>
          <w:color w:val="333333"/>
          <w:sz w:val="28"/>
          <w:szCs w:val="28"/>
          <w:lang w:val="en-US" w:eastAsia="zh-CN"/>
        </w:rPr>
        <w:t>17</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cstheme="minorEastAsia"/>
          <w:color w:val="333333"/>
          <w:sz w:val="28"/>
          <w:szCs w:val="28"/>
          <w:lang w:val="en-US" w:eastAsia="zh-CN"/>
        </w:rPr>
        <w:t>15</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2</w:t>
      </w:r>
      <w:r>
        <w:rPr>
          <w:rFonts w:hint="eastAsia" w:asciiTheme="minorEastAsia" w:hAnsiTheme="minorEastAsia" w:eastAsiaTheme="minorEastAsia" w:cstheme="minorEastAsia"/>
          <w:color w:val="333333"/>
          <w:sz w:val="28"/>
          <w:szCs w:val="28"/>
        </w:rPr>
        <w:t>人。</w:t>
      </w:r>
    </w:p>
    <w:p>
      <w:pPr>
        <w:pStyle w:val="3"/>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3"/>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4810.77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4810.77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减少1251.62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val="en-US" w:eastAsia="zh-CN"/>
        </w:rPr>
        <w:t>减少20.65</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减少1251.62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val="en-US" w:eastAsia="zh-CN"/>
        </w:rPr>
        <w:t>减少20.65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4810.77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4733.87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4810.77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333.75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4477.02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93.06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4810.77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val="en-US" w:eastAsia="zh-CN"/>
        </w:rPr>
        <w:t>减少  1251.62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val="en-US" w:eastAsia="zh-CN"/>
        </w:rPr>
        <w:t>减少20.65</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4810.77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val="en-US" w:eastAsia="zh-CN"/>
        </w:rPr>
        <w:t>减少1251.62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val="en-US" w:eastAsia="zh-CN"/>
        </w:rPr>
        <w:t>减少20.65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4810.77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减少1251.62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val="en-US" w:eastAsia="zh-CN"/>
        </w:rPr>
        <w:t>减少20.65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b/>
          <w:bCs/>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4810.77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4166.29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86.6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547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11.37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6.72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0.14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13.86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0.29</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b/>
          <w:bCs/>
          <w:i w:val="0"/>
          <w:caps w:val="0"/>
          <w:color w:val="373737"/>
          <w:spacing w:val="0"/>
          <w:sz w:val="28"/>
          <w:szCs w:val="28"/>
          <w:shd w:val="clear" w:fill="FFFFFF"/>
          <w:vertAlign w:val="baseline"/>
          <w:lang w:val="en-US" w:eastAsia="zh-CN"/>
        </w:rPr>
        <w:t>其他支出</w:t>
      </w:r>
      <w:r>
        <w:rPr>
          <w:rFonts w:hint="eastAsia" w:asciiTheme="minorEastAsia" w:hAnsiTheme="minorEastAsia" w:cstheme="minorEastAsia"/>
          <w:b w:val="0"/>
          <w:bCs w:val="0"/>
          <w:i w:val="0"/>
          <w:caps w:val="0"/>
          <w:color w:val="373737"/>
          <w:spacing w:val="0"/>
          <w:sz w:val="28"/>
          <w:szCs w:val="28"/>
          <w:shd w:val="clear" w:fill="FFFFFF"/>
          <w:vertAlign w:val="baseline"/>
          <w:lang w:val="en-US" w:eastAsia="zh-CN"/>
        </w:rPr>
        <w:t>76.9万元，占1.6%。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262.07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4810.77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1835.68</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val="en-US" w:eastAsia="zh-CN"/>
        </w:rPr>
        <w:t>拨付项目工程款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262.07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4166.29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1589.76</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拨付项目工程款，增加了民政事务管理、社会福利、残疾人事业、最低生活保障、临时救助、特困人员救助供养等项目资金</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547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机构改革大病救助业务移交医保局</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6.72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Fonts w:hint="eastAsia" w:asciiTheme="minorEastAsia" w:hAnsiTheme="minorEastAsia" w:eastAsiaTheme="minorEastAsia" w:cstheme="minorEastAsia"/>
          <w:i w:val="0"/>
          <w:caps w:val="0"/>
          <w:color w:val="373737"/>
          <w:spacing w:val="0"/>
          <w:sz w:val="28"/>
          <w:szCs w:val="28"/>
          <w:shd w:val="clear" w:fill="FFFFFF"/>
          <w:vertAlign w:val="baseline"/>
        </w:rPr>
        <w:t>增加了</w:t>
      </w:r>
      <w:r>
        <w:rPr>
          <w:rFonts w:hint="eastAsia" w:asciiTheme="minorEastAsia" w:hAnsiTheme="minorEastAsia" w:cstheme="minorEastAsia"/>
          <w:i w:val="0"/>
          <w:caps w:val="0"/>
          <w:color w:val="373737"/>
          <w:spacing w:val="0"/>
          <w:sz w:val="28"/>
          <w:szCs w:val="28"/>
          <w:shd w:val="clear" w:fill="FFFFFF"/>
          <w:vertAlign w:val="baseline"/>
          <w:lang w:eastAsia="zh-CN"/>
        </w:rPr>
        <w:t>扶贫一役行政管理事务</w:t>
      </w:r>
      <w:r>
        <w:rPr>
          <w:rFonts w:hint="eastAsia" w:asciiTheme="minorEastAsia" w:hAnsiTheme="minorEastAsia" w:eastAsiaTheme="minorEastAsia" w:cstheme="minorEastAsia"/>
          <w:i w:val="0"/>
          <w:caps w:val="0"/>
          <w:color w:val="373737"/>
          <w:spacing w:val="0"/>
          <w:sz w:val="28"/>
          <w:szCs w:val="28"/>
          <w:shd w:val="clear" w:fill="FFFFFF"/>
          <w:vertAlign w:val="baseline"/>
        </w:rPr>
        <w:t>项目资金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13.86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%。决算数大于预算数的主要原因是在职职工增长了工资，使住房公积金的缴交比例增加了。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333.74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267.41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2.63</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2.63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w:t>
      </w:r>
      <w:r>
        <w:rPr>
          <w:rFonts w:hint="eastAsia" w:asciiTheme="majorEastAsia" w:hAnsiTheme="majorEastAsia" w:eastAsiaTheme="majorEastAsia" w:cstheme="majorEastAsia"/>
          <w:i w:val="0"/>
          <w:caps w:val="0"/>
          <w:color w:val="373737"/>
          <w:spacing w:val="0"/>
          <w:sz w:val="28"/>
          <w:szCs w:val="28"/>
          <w:shd w:val="clear" w:fill="FFFFFF"/>
          <w:vertAlign w:val="baseline"/>
          <w:lang w:eastAsia="zh-CN"/>
        </w:rPr>
        <w:t>与上年持平，没有增减变化。</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0.14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95.06</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4.94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0.13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Fonts w:hint="eastAsia" w:asciiTheme="minorEastAsia" w:hAnsiTheme="minorEastAsia" w:cstheme="minorEastAsia"/>
          <w:i w:val="0"/>
          <w:caps w:val="0"/>
          <w:color w:val="373737"/>
          <w:spacing w:val="0"/>
          <w:sz w:val="28"/>
          <w:szCs w:val="28"/>
          <w:shd w:val="clear" w:fill="FFFFFF"/>
          <w:vertAlign w:val="baseline"/>
          <w:lang w:val="en-US" w:eastAsia="zh-CN"/>
        </w:rPr>
        <w:t>4</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28</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3"/>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3"/>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color w:val="333333"/>
          <w:sz w:val="28"/>
          <w:szCs w:val="28"/>
          <w:lang w:val="en-US" w:eastAsia="zh-CN"/>
        </w:rPr>
        <w:t>66.34</w:t>
      </w:r>
      <w:r>
        <w:rPr>
          <w:rFonts w:hint="eastAsia" w:asciiTheme="minorEastAsia" w:hAnsiTheme="minorEastAsia" w:eastAsiaTheme="minorEastAsia" w:cstheme="minorEastAsia"/>
          <w:color w:val="333333"/>
          <w:sz w:val="28"/>
          <w:szCs w:val="28"/>
        </w:rPr>
        <w:t xml:space="preserve"> 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w:t>
      </w:r>
      <w:r>
        <w:rPr>
          <w:rFonts w:hint="eastAsia" w:asciiTheme="minorEastAsia" w:hAnsiTheme="minorEastAsia" w:cstheme="minorEastAsia"/>
          <w:color w:val="333333"/>
          <w:sz w:val="28"/>
          <w:szCs w:val="28"/>
          <w:lang w:val="en-US" w:eastAsia="zh-CN"/>
        </w:rPr>
        <w:t>17.29</w:t>
      </w:r>
      <w:r>
        <w:rPr>
          <w:rFonts w:hint="eastAsia" w:asciiTheme="minorEastAsia" w:hAnsiTheme="minorEastAsia" w:eastAsiaTheme="minorEastAsia" w:cstheme="minorEastAsia"/>
          <w:color w:val="333333"/>
          <w:sz w:val="28"/>
          <w:szCs w:val="28"/>
        </w:rPr>
        <w:t>万元，增长</w:t>
      </w:r>
      <w:r>
        <w:rPr>
          <w:rFonts w:hint="eastAsia" w:asciiTheme="minorEastAsia" w:hAnsiTheme="minorEastAsia" w:cstheme="minorEastAsia"/>
          <w:color w:val="333333"/>
          <w:sz w:val="28"/>
          <w:szCs w:val="28"/>
          <w:lang w:val="en-US" w:eastAsia="zh-CN"/>
        </w:rPr>
        <w:t>35</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val="en-US" w:eastAsia="zh-CN"/>
        </w:rPr>
        <w:t>人员增加</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3"/>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万元、政府采购工程支出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辆，其中，一般公务用车</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 xml:space="preserve">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3"/>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ajorEastAsia" w:hAnsiTheme="majorEastAsia" w:eastAsiaTheme="majorEastAsia" w:cstheme="maj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3949.1</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val="en-US" w:eastAsia="zh-CN"/>
        </w:rPr>
        <w:t>城乡低保</w:t>
      </w:r>
      <w:r>
        <w:rPr>
          <w:rFonts w:hint="eastAsia" w:asciiTheme="minorEastAsia" w:hAnsiTheme="minorEastAsia" w:eastAsiaTheme="minorEastAsia" w:cstheme="minorEastAsia"/>
          <w:color w:val="333333"/>
          <w:sz w:val="28"/>
          <w:szCs w:val="28"/>
        </w:rPr>
        <w:t xml:space="preserve">”等 </w:t>
      </w:r>
      <w:r>
        <w:rPr>
          <w:rFonts w:hint="eastAsia" w:asciiTheme="minorEastAsia" w:hAnsiTheme="minorEastAsia" w:cstheme="minorEastAsia"/>
          <w:color w:val="333333"/>
          <w:sz w:val="28"/>
          <w:szCs w:val="28"/>
          <w:lang w:val="en-US" w:eastAsia="zh-CN"/>
        </w:rPr>
        <w:t>11</w:t>
      </w:r>
      <w:r>
        <w:rPr>
          <w:rFonts w:hint="eastAsia" w:asciiTheme="minorEastAsia" w:hAnsiTheme="minorEastAsia" w:eastAsiaTheme="minorEastAsia" w:cstheme="minorEastAsia"/>
          <w:color w:val="333333"/>
          <w:sz w:val="28"/>
          <w:szCs w:val="28"/>
        </w:rPr>
        <w:t>个项目进行了绩效评价，共涉及资金</w:t>
      </w:r>
      <w:r>
        <w:rPr>
          <w:rFonts w:hint="eastAsia" w:asciiTheme="minorEastAsia" w:hAnsiTheme="minorEastAsia" w:cstheme="minorEastAsia"/>
          <w:color w:val="333333"/>
          <w:sz w:val="28"/>
          <w:szCs w:val="28"/>
          <w:lang w:val="en-US" w:eastAsia="zh-CN"/>
        </w:rPr>
        <w:t>3949.1</w:t>
      </w:r>
      <w:r>
        <w:rPr>
          <w:rFonts w:hint="eastAsia" w:asciiTheme="minorEastAsia" w:hAnsiTheme="minorEastAsia" w:eastAsiaTheme="minorEastAsia" w:cstheme="minorEastAsia"/>
          <w:color w:val="333333"/>
          <w:sz w:val="28"/>
          <w:szCs w:val="28"/>
        </w:rPr>
        <w:t>万元。</w:t>
      </w:r>
      <w:r>
        <w:rPr>
          <w:rFonts w:hint="eastAsia" w:asciiTheme="majorEastAsia" w:hAnsiTheme="majorEastAsia" w:eastAsiaTheme="majorEastAsia" w:cstheme="majorEastAsia"/>
          <w:color w:val="333333"/>
          <w:sz w:val="28"/>
          <w:szCs w:val="28"/>
        </w:rPr>
        <w:t>从评价情况来看，</w:t>
      </w:r>
      <w:r>
        <w:rPr>
          <w:rFonts w:hint="eastAsia" w:asciiTheme="majorEastAsia" w:hAnsiTheme="majorEastAsia" w:eastAsiaTheme="majorEastAsia" w:cstheme="majorEastAsia"/>
          <w:color w:val="333333"/>
          <w:kern w:val="0"/>
          <w:sz w:val="32"/>
          <w:szCs w:val="32"/>
          <w:lang w:val="en-US" w:eastAsia="zh-CN" w:bidi="ar"/>
        </w:rPr>
        <w:t>对照绩效评价各项指标逐条逐款进行核查、记录、调查、打分，并对有关资料进行复印整理，对资金的到位和使用情况做好工作底稿，实事求是反映问题</w:t>
      </w:r>
      <w:r>
        <w:rPr>
          <w:rFonts w:hint="eastAsia" w:asciiTheme="majorEastAsia" w:hAnsiTheme="majorEastAsia" w:eastAsiaTheme="majorEastAsia" w:cstheme="majorEastAsia"/>
          <w:color w:val="333333"/>
          <w:sz w:val="32"/>
          <w:szCs w:val="32"/>
        </w:rPr>
        <w:t>。</w:t>
      </w:r>
    </w:p>
    <w:p>
      <w:pPr>
        <w:pStyle w:val="3"/>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3"/>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3"/>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3"/>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幼圆">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B754ABA"/>
    <w:rsid w:val="0E980DC7"/>
    <w:rsid w:val="179B676B"/>
    <w:rsid w:val="1A1F65C5"/>
    <w:rsid w:val="1CFB22BC"/>
    <w:rsid w:val="248D525D"/>
    <w:rsid w:val="2A054FEB"/>
    <w:rsid w:val="2DE7389C"/>
    <w:rsid w:val="3964752F"/>
    <w:rsid w:val="3DDC6AB6"/>
    <w:rsid w:val="3E7434E4"/>
    <w:rsid w:val="3F98625C"/>
    <w:rsid w:val="419008B3"/>
    <w:rsid w:val="62763A6A"/>
    <w:rsid w:val="6B6E45D7"/>
    <w:rsid w:val="6BC52739"/>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Body Text"/>
    <w:basedOn w:val="1"/>
    <w:uiPriority w:val="0"/>
    <w:pPr>
      <w:ind w:left="260"/>
    </w:pPr>
    <w:rPr>
      <w:rFonts w:ascii="宋体" w:hAnsi="宋体" w:eastAsia="宋体" w:cs="宋体"/>
      <w:sz w:val="32"/>
      <w:szCs w:val="32"/>
      <w:lang w:val="zh-CN" w:eastAsia="zh-CN" w:bidi="zh-CN"/>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10">
    <w:name w:val="laiy"/>
    <w:basedOn w:val="4"/>
    <w:qFormat/>
    <w:uiPriority w:val="0"/>
  </w:style>
  <w:style w:type="character" w:customStyle="1" w:styleId="11">
    <w:name w:val="zuoz"/>
    <w:basedOn w:val="4"/>
    <w:qFormat/>
    <w:uiPriority w:val="0"/>
  </w:style>
  <w:style w:type="character" w:customStyle="1" w:styleId="12">
    <w:name w:val="update"/>
    <w:basedOn w:val="4"/>
    <w:qFormat/>
    <w:uiPriority w:val="0"/>
  </w:style>
  <w:style w:type="character" w:customStyle="1" w:styleId="13">
    <w:name w:val="hot1"/>
    <w:basedOn w:val="4"/>
    <w:qFormat/>
    <w:uiPriority w:val="0"/>
  </w:style>
  <w:style w:type="character" w:customStyle="1" w:styleId="14">
    <w:name w:val="td12"/>
    <w:basedOn w:val="4"/>
    <w:qFormat/>
    <w:uiPriority w:val="0"/>
    <w:rPr>
      <w:rFonts w:ascii="Arial" w:hAnsi="Arial" w:cs="Arial"/>
      <w:color w:val="FFFFFF"/>
      <w:sz w:val="16"/>
      <w:szCs w:val="16"/>
    </w:rPr>
  </w:style>
  <w:style w:type="character" w:customStyle="1" w:styleId="15">
    <w:name w:val="td22"/>
    <w:basedOn w:val="4"/>
    <w:qFormat/>
    <w:uiPriority w:val="0"/>
  </w:style>
  <w:style w:type="character" w:customStyle="1" w:styleId="16">
    <w:name w:val="td32"/>
    <w:basedOn w:val="4"/>
    <w:uiPriority w:val="0"/>
  </w:style>
  <w:style w:type="character" w:customStyle="1" w:styleId="17">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mz001</cp:lastModifiedBy>
  <dcterms:modified xsi:type="dcterms:W3CDTF">2020-10-09T07:37:31Z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