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Theme="minorEastAsia" w:hAnsiTheme="minorEastAsia" w:eastAsiaTheme="minorEastAsia" w:cstheme="minorEastAsia"/>
          <w:b/>
          <w:color w:val="333333"/>
          <w:sz w:val="28"/>
          <w:szCs w:val="28"/>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 xml:space="preserve">        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年度</w:t>
      </w:r>
      <w:r>
        <w:rPr>
          <w:rFonts w:hint="eastAsia" w:asciiTheme="minorEastAsia" w:hAnsiTheme="minorEastAsia" w:cstheme="minorEastAsia"/>
          <w:b/>
          <w:color w:val="333333"/>
          <w:sz w:val="28"/>
          <w:szCs w:val="28"/>
          <w:lang w:val="en-US" w:eastAsia="zh-CN"/>
        </w:rPr>
        <w:t>县工商业联合会</w:t>
      </w:r>
      <w:r>
        <w:rPr>
          <w:rFonts w:hint="eastAsia" w:asciiTheme="minorEastAsia" w:hAnsiTheme="minorEastAsia" w:eastAsiaTheme="minorEastAsia" w:cstheme="minorEastAsia"/>
          <w:b/>
          <w:color w:val="333333"/>
          <w:sz w:val="28"/>
          <w:szCs w:val="28"/>
          <w:lang w:val="en-US" w:eastAsia="zh-CN"/>
        </w:rPr>
        <w:t>决算文字说明</w:t>
      </w:r>
    </w:p>
    <w:p>
      <w:pPr>
        <w:pStyle w:val="3"/>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3"/>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260" w:right="0"/>
        <w:jc w:val="left"/>
        <w:textAlignment w:val="auto"/>
        <w:outlineLvl w:val="9"/>
        <w:rPr>
          <w:rFonts w:hint="eastAsia" w:ascii="黑体" w:hAnsi="黑体" w:eastAsia="黑体" w:cs="黑体"/>
          <w:b/>
          <w:bCs/>
          <w:sz w:val="32"/>
          <w:szCs w:val="32"/>
        </w:rPr>
      </w:pPr>
      <w:r>
        <w:rPr>
          <w:rFonts w:hint="eastAsia" w:asciiTheme="minorEastAsia" w:hAnsiTheme="minorEastAsia" w:eastAsiaTheme="minorEastAsia" w:cstheme="minorEastAsia"/>
          <w:color w:val="333333"/>
          <w:sz w:val="28"/>
          <w:szCs w:val="28"/>
          <w:shd w:val="clear" w:fill="FFFFFF"/>
        </w:rPr>
        <w:t>    </w:t>
      </w:r>
      <w:r>
        <w:rPr>
          <w:rFonts w:hint="eastAsia" w:ascii="黑体" w:hAnsi="黑体" w:eastAsia="黑体" w:cs="黑体"/>
          <w:b/>
          <w:bCs/>
          <w:color w:val="333333"/>
          <w:sz w:val="32"/>
          <w:szCs w:val="32"/>
          <w:lang w:val="en-US" w:eastAsia="zh-CN"/>
        </w:rPr>
        <w:t xml:space="preserve"> </w:t>
      </w:r>
      <w:r>
        <w:rPr>
          <w:rFonts w:hint="eastAsia" w:ascii="黑体" w:hAnsi="黑体" w:eastAsia="黑体" w:cs="黑体"/>
          <w:b/>
          <w:bCs/>
          <w:color w:val="333333"/>
          <w:sz w:val="32"/>
          <w:szCs w:val="32"/>
        </w:rPr>
        <w:t>一、主要职能</w:t>
      </w:r>
    </w:p>
    <w:p>
      <w:pPr>
        <w:ind w:firstLine="320" w:firstLineChars="100"/>
        <w:rPr>
          <w:rFonts w:ascii="宋体" w:hAnsi="宋体" w:eastAsia="宋体"/>
          <w:sz w:val="32"/>
          <w:szCs w:val="32"/>
        </w:rPr>
      </w:pPr>
      <w:r>
        <w:rPr>
          <w:rFonts w:hint="eastAsia" w:ascii="宋体" w:hAnsi="宋体" w:eastAsia="宋体"/>
          <w:sz w:val="32"/>
          <w:szCs w:val="32"/>
        </w:rPr>
        <w:t>县</w:t>
      </w:r>
      <w:r>
        <w:rPr>
          <w:rFonts w:hint="eastAsia" w:ascii="宋体" w:hAnsi="宋体" w:eastAsia="宋体"/>
          <w:sz w:val="32"/>
          <w:szCs w:val="32"/>
          <w:lang w:eastAsia="zh-CN"/>
        </w:rPr>
        <w:t>工商业联合会</w:t>
      </w:r>
      <w:r>
        <w:rPr>
          <w:rFonts w:ascii="宋体" w:hAnsi="宋体" w:eastAsia="宋体"/>
          <w:sz w:val="32"/>
          <w:szCs w:val="32"/>
        </w:rPr>
        <w:t>是以统战性</w:t>
      </w:r>
      <w:r>
        <w:rPr>
          <w:rFonts w:hint="eastAsia" w:ascii="宋体" w:hAnsi="宋体" w:eastAsia="宋体"/>
          <w:sz w:val="32"/>
          <w:szCs w:val="32"/>
        </w:rPr>
        <w:t>为</w:t>
      </w:r>
      <w:r>
        <w:rPr>
          <w:rFonts w:ascii="宋体" w:hAnsi="宋体" w:eastAsia="宋体"/>
          <w:sz w:val="32"/>
          <w:szCs w:val="32"/>
        </w:rPr>
        <w:t>主，</w:t>
      </w:r>
      <w:r>
        <w:rPr>
          <w:rFonts w:hint="eastAsia" w:ascii="宋体" w:hAnsi="宋体" w:eastAsia="宋体"/>
          <w:sz w:val="32"/>
          <w:szCs w:val="32"/>
        </w:rPr>
        <w:t>具有</w:t>
      </w:r>
      <w:r>
        <w:rPr>
          <w:rFonts w:ascii="宋体" w:hAnsi="宋体" w:eastAsia="宋体"/>
          <w:sz w:val="32"/>
          <w:szCs w:val="32"/>
        </w:rPr>
        <w:t>经济</w:t>
      </w:r>
      <w:r>
        <w:rPr>
          <w:rFonts w:hint="eastAsia" w:ascii="宋体" w:hAnsi="宋体" w:eastAsia="宋体"/>
          <w:sz w:val="32"/>
          <w:szCs w:val="32"/>
        </w:rPr>
        <w:t>性</w:t>
      </w:r>
      <w:r>
        <w:rPr>
          <w:rFonts w:ascii="宋体" w:hAnsi="宋体" w:eastAsia="宋体"/>
          <w:sz w:val="32"/>
          <w:szCs w:val="32"/>
        </w:rPr>
        <w:t>、民间性的人民团体，是党联系非公有制经济代表</w:t>
      </w:r>
      <w:r>
        <w:rPr>
          <w:rFonts w:hint="eastAsia" w:ascii="宋体" w:hAnsi="宋体" w:eastAsia="宋体"/>
          <w:sz w:val="32"/>
          <w:szCs w:val="32"/>
        </w:rPr>
        <w:t>人士</w:t>
      </w:r>
      <w:r>
        <w:rPr>
          <w:rFonts w:ascii="宋体" w:hAnsi="宋体" w:eastAsia="宋体"/>
          <w:sz w:val="32"/>
          <w:szCs w:val="32"/>
        </w:rPr>
        <w:t>的桥梁和政府管理非公有制经济的助手，其</w:t>
      </w:r>
      <w:r>
        <w:rPr>
          <w:rFonts w:hint="eastAsia" w:ascii="宋体" w:hAnsi="宋体" w:eastAsia="宋体"/>
          <w:sz w:val="32"/>
          <w:szCs w:val="32"/>
        </w:rPr>
        <w:t>主要</w:t>
      </w:r>
      <w:r>
        <w:rPr>
          <w:rFonts w:ascii="宋体" w:hAnsi="宋体" w:eastAsia="宋体"/>
          <w:sz w:val="32"/>
          <w:szCs w:val="32"/>
        </w:rPr>
        <w:t>工作职能是：</w:t>
      </w:r>
    </w:p>
    <w:p>
      <w:pPr>
        <w:ind w:firstLine="480" w:firstLineChars="150"/>
        <w:rPr>
          <w:rFonts w:ascii="宋体" w:hAnsi="宋体" w:eastAsia="宋体"/>
          <w:sz w:val="32"/>
          <w:szCs w:val="32"/>
        </w:rPr>
      </w:pPr>
      <w:r>
        <w:rPr>
          <w:rFonts w:hint="eastAsia" w:ascii="宋体" w:hAnsi="宋体" w:eastAsia="宋体"/>
          <w:sz w:val="32"/>
          <w:szCs w:val="32"/>
        </w:rPr>
        <w:t>（一）参与</w:t>
      </w:r>
      <w:r>
        <w:rPr>
          <w:rFonts w:ascii="宋体" w:hAnsi="宋体" w:eastAsia="宋体"/>
          <w:sz w:val="32"/>
          <w:szCs w:val="32"/>
        </w:rPr>
        <w:t>政府事务和经济，社会重大决策的政治协商，发挥民主监督的作用，做好代表性人士政治安排的推荐工作，</w:t>
      </w:r>
      <w:r>
        <w:rPr>
          <w:rFonts w:hint="eastAsia" w:ascii="宋体" w:hAnsi="宋体" w:eastAsia="宋体"/>
          <w:sz w:val="32"/>
          <w:szCs w:val="32"/>
        </w:rPr>
        <w:t xml:space="preserve"> </w:t>
      </w:r>
      <w:r>
        <w:rPr>
          <w:rFonts w:ascii="宋体" w:hAnsi="宋体" w:eastAsia="宋体"/>
          <w:sz w:val="32"/>
          <w:szCs w:val="32"/>
        </w:rPr>
        <w:t>对政府有关政策的制定提出建议并协助贯彻执行。</w:t>
      </w:r>
    </w:p>
    <w:p>
      <w:pPr>
        <w:ind w:firstLine="480" w:firstLineChars="150"/>
        <w:rPr>
          <w:rFonts w:ascii="宋体" w:hAnsi="宋体" w:eastAsia="宋体"/>
          <w:sz w:val="32"/>
          <w:szCs w:val="32"/>
        </w:rPr>
      </w:pPr>
      <w:r>
        <w:rPr>
          <w:rFonts w:hint="eastAsia" w:ascii="宋体" w:hAnsi="宋体" w:eastAsia="宋体"/>
          <w:sz w:val="32"/>
          <w:szCs w:val="32"/>
        </w:rPr>
        <w:t>（二）发扬</w:t>
      </w:r>
      <w:r>
        <w:rPr>
          <w:rFonts w:ascii="宋体" w:hAnsi="宋体" w:eastAsia="宋体"/>
          <w:sz w:val="32"/>
          <w:szCs w:val="32"/>
        </w:rPr>
        <w:t>自我教育的优良传统，宣传国家的方针政策，加强和改进思想政治工作，强化“</w:t>
      </w:r>
      <w:r>
        <w:rPr>
          <w:rFonts w:hint="eastAsia" w:ascii="宋体" w:hAnsi="宋体" w:eastAsia="宋体"/>
          <w:sz w:val="32"/>
          <w:szCs w:val="32"/>
        </w:rPr>
        <w:t>团结</w:t>
      </w:r>
      <w:r>
        <w:rPr>
          <w:rFonts w:ascii="宋体" w:hAnsi="宋体" w:eastAsia="宋体"/>
          <w:sz w:val="32"/>
          <w:szCs w:val="32"/>
        </w:rPr>
        <w:t>、帮助、引导、教育”</w:t>
      </w:r>
      <w:r>
        <w:rPr>
          <w:rFonts w:hint="eastAsia" w:ascii="宋体" w:hAnsi="宋体" w:eastAsia="宋体"/>
          <w:sz w:val="32"/>
          <w:szCs w:val="32"/>
        </w:rPr>
        <w:t>方针</w:t>
      </w:r>
      <w:r>
        <w:rPr>
          <w:rFonts w:ascii="宋体" w:hAnsi="宋体" w:eastAsia="宋体"/>
          <w:sz w:val="32"/>
          <w:szCs w:val="32"/>
        </w:rPr>
        <w:t>的教育，提高会员爱国敬业守法意识，提高会员素质、培养建立、充实骨干分子队伍，</w:t>
      </w:r>
      <w:r>
        <w:rPr>
          <w:rFonts w:hint="eastAsia" w:ascii="宋体" w:hAnsi="宋体" w:eastAsia="宋体"/>
          <w:sz w:val="32"/>
          <w:szCs w:val="32"/>
        </w:rPr>
        <w:t>并</w:t>
      </w:r>
      <w:r>
        <w:rPr>
          <w:rFonts w:ascii="宋体" w:hAnsi="宋体" w:eastAsia="宋体"/>
          <w:sz w:val="32"/>
          <w:szCs w:val="32"/>
        </w:rPr>
        <w:t>积极</w:t>
      </w:r>
      <w:r>
        <w:rPr>
          <w:rFonts w:hint="eastAsia" w:ascii="宋体" w:hAnsi="宋体" w:eastAsia="宋体"/>
          <w:sz w:val="32"/>
          <w:szCs w:val="32"/>
        </w:rPr>
        <w:t>倡导</w:t>
      </w:r>
      <w:r>
        <w:rPr>
          <w:rFonts w:ascii="宋体" w:hAnsi="宋体" w:eastAsia="宋体"/>
          <w:sz w:val="32"/>
          <w:szCs w:val="32"/>
        </w:rPr>
        <w:t>参与一切社会公益活动。</w:t>
      </w:r>
    </w:p>
    <w:p>
      <w:pPr>
        <w:ind w:firstLine="480" w:firstLineChars="150"/>
        <w:rPr>
          <w:rFonts w:ascii="宋体" w:hAnsi="宋体" w:eastAsia="宋体"/>
          <w:sz w:val="32"/>
          <w:szCs w:val="32"/>
        </w:rPr>
      </w:pPr>
      <w:r>
        <w:rPr>
          <w:rFonts w:hint="eastAsia" w:ascii="宋体" w:hAnsi="宋体" w:eastAsia="宋体"/>
          <w:sz w:val="32"/>
          <w:szCs w:val="32"/>
        </w:rPr>
        <w:t>（三）维护</w:t>
      </w:r>
      <w:r>
        <w:rPr>
          <w:rFonts w:ascii="宋体" w:hAnsi="宋体" w:eastAsia="宋体"/>
          <w:sz w:val="32"/>
          <w:szCs w:val="32"/>
        </w:rPr>
        <w:t>会员的合法权益，反映会员的意见，要求和</w:t>
      </w:r>
      <w:r>
        <w:rPr>
          <w:rFonts w:hint="eastAsia" w:ascii="宋体" w:hAnsi="宋体" w:eastAsia="宋体"/>
          <w:sz w:val="32"/>
          <w:szCs w:val="32"/>
        </w:rPr>
        <w:t>建议；在</w:t>
      </w:r>
      <w:r>
        <w:rPr>
          <w:rFonts w:ascii="宋体" w:hAnsi="宋体" w:eastAsia="宋体"/>
          <w:sz w:val="32"/>
          <w:szCs w:val="32"/>
        </w:rPr>
        <w:t>会员与政府之间发挥桥梁作用，当好政府管理非公有制经济的助手。</w:t>
      </w:r>
    </w:p>
    <w:p>
      <w:pPr>
        <w:ind w:firstLine="480" w:firstLineChars="150"/>
        <w:rPr>
          <w:rFonts w:ascii="宋体" w:hAnsi="宋体" w:eastAsia="宋体"/>
          <w:sz w:val="32"/>
          <w:szCs w:val="32"/>
        </w:rPr>
      </w:pPr>
      <w:r>
        <w:rPr>
          <w:rFonts w:hint="eastAsia" w:ascii="宋体" w:hAnsi="宋体" w:eastAsia="宋体"/>
          <w:sz w:val="32"/>
          <w:szCs w:val="32"/>
        </w:rPr>
        <w:t>（四）为</w:t>
      </w:r>
      <w:r>
        <w:rPr>
          <w:rFonts w:ascii="宋体" w:hAnsi="宋体" w:eastAsia="宋体"/>
          <w:sz w:val="32"/>
          <w:szCs w:val="32"/>
        </w:rPr>
        <w:t>会员和社会提供市场、技术、商品等信息，按照国家有关规定，为会员提供管理、法律、会议、审计、融资、咨询等服务。</w:t>
      </w:r>
    </w:p>
    <w:p>
      <w:pPr>
        <w:ind w:firstLine="480" w:firstLineChars="150"/>
        <w:rPr>
          <w:rFonts w:ascii="宋体" w:hAnsi="宋体" w:eastAsia="宋体"/>
          <w:sz w:val="32"/>
          <w:szCs w:val="32"/>
        </w:rPr>
      </w:pPr>
      <w:r>
        <w:rPr>
          <w:rFonts w:hint="eastAsia" w:ascii="宋体" w:hAnsi="宋体" w:eastAsia="宋体"/>
          <w:sz w:val="32"/>
          <w:szCs w:val="32"/>
        </w:rPr>
        <w:t>（五）开展</w:t>
      </w:r>
      <w:r>
        <w:rPr>
          <w:rFonts w:ascii="宋体" w:hAnsi="宋体" w:eastAsia="宋体"/>
          <w:sz w:val="32"/>
          <w:szCs w:val="32"/>
        </w:rPr>
        <w:t>工商业者专业培训，帮助会员改善经营</w:t>
      </w:r>
      <w:r>
        <w:rPr>
          <w:rFonts w:hint="eastAsia" w:ascii="宋体" w:hAnsi="宋体" w:eastAsia="宋体"/>
          <w:sz w:val="32"/>
          <w:szCs w:val="32"/>
        </w:rPr>
        <w:t>管理</w:t>
      </w:r>
      <w:r>
        <w:rPr>
          <w:rFonts w:ascii="宋体" w:hAnsi="宋体" w:eastAsia="宋体"/>
          <w:sz w:val="32"/>
          <w:szCs w:val="32"/>
        </w:rPr>
        <w:t>，提高生产技术和商品质量、加强财务管理、增强纳税意识。</w:t>
      </w:r>
    </w:p>
    <w:p>
      <w:pPr>
        <w:ind w:firstLine="480" w:firstLineChars="150"/>
        <w:rPr>
          <w:rFonts w:ascii="宋体" w:hAnsi="宋体" w:eastAsia="宋体"/>
          <w:sz w:val="32"/>
          <w:szCs w:val="32"/>
        </w:rPr>
      </w:pPr>
      <w:r>
        <w:rPr>
          <w:rFonts w:hint="eastAsia" w:ascii="宋体" w:hAnsi="宋体" w:eastAsia="宋体"/>
          <w:sz w:val="32"/>
          <w:szCs w:val="32"/>
        </w:rPr>
        <w:t>（六）按照</w:t>
      </w:r>
      <w:r>
        <w:rPr>
          <w:rFonts w:ascii="宋体" w:hAnsi="宋体" w:eastAsia="宋体"/>
          <w:sz w:val="32"/>
          <w:szCs w:val="32"/>
        </w:rPr>
        <w:t>国家规定和有关政策，组织会员举办和参加各种对内</w:t>
      </w:r>
      <w:r>
        <w:rPr>
          <w:rFonts w:hint="eastAsia" w:ascii="宋体" w:hAnsi="宋体" w:eastAsia="宋体"/>
          <w:sz w:val="32"/>
          <w:szCs w:val="32"/>
        </w:rPr>
        <w:t>对</w:t>
      </w:r>
      <w:r>
        <w:rPr>
          <w:rFonts w:ascii="宋体" w:hAnsi="宋体" w:eastAsia="宋体"/>
          <w:sz w:val="32"/>
          <w:szCs w:val="32"/>
        </w:rPr>
        <w:t>外展销会、交易会，组织会员出国考察访问，帮助会员开拓国内、国际市场。</w:t>
      </w:r>
    </w:p>
    <w:p>
      <w:pPr>
        <w:ind w:firstLine="480" w:firstLineChars="150"/>
        <w:rPr>
          <w:rFonts w:ascii="宋体" w:hAnsi="宋体" w:eastAsia="宋体"/>
          <w:sz w:val="32"/>
          <w:szCs w:val="32"/>
        </w:rPr>
      </w:pPr>
      <w:r>
        <w:rPr>
          <w:rFonts w:hint="eastAsia" w:ascii="宋体" w:hAnsi="宋体" w:eastAsia="宋体"/>
          <w:sz w:val="32"/>
          <w:szCs w:val="32"/>
        </w:rPr>
        <w:t>（七）为</w:t>
      </w:r>
      <w:r>
        <w:rPr>
          <w:rFonts w:ascii="宋体" w:hAnsi="宋体" w:eastAsia="宋体"/>
          <w:sz w:val="32"/>
          <w:szCs w:val="32"/>
        </w:rPr>
        <w:t>会员提供必要的证明，协调关系，为会员和民间企业调解经济纠纷。</w:t>
      </w:r>
    </w:p>
    <w:p>
      <w:pPr>
        <w:ind w:firstLine="480" w:firstLineChars="150"/>
        <w:rPr>
          <w:rFonts w:ascii="宋体" w:hAnsi="宋体" w:eastAsia="宋体"/>
          <w:sz w:val="32"/>
          <w:szCs w:val="32"/>
        </w:rPr>
      </w:pPr>
      <w:r>
        <w:rPr>
          <w:rFonts w:hint="eastAsia" w:ascii="宋体" w:hAnsi="宋体" w:eastAsia="宋体"/>
          <w:sz w:val="32"/>
          <w:szCs w:val="32"/>
        </w:rPr>
        <w:t>（八）增进</w:t>
      </w:r>
      <w:r>
        <w:rPr>
          <w:rFonts w:ascii="宋体" w:hAnsi="宋体" w:eastAsia="宋体"/>
          <w:sz w:val="32"/>
          <w:szCs w:val="32"/>
        </w:rPr>
        <w:t>与境外工商经济界人士的联系和友谊，促进经济、技术和贸易合作的发展，协助引进资金、技术、人才。</w:t>
      </w:r>
    </w:p>
    <w:p>
      <w:pPr>
        <w:pStyle w:val="19"/>
        <w:numPr>
          <w:ilvl w:val="0"/>
          <w:numId w:val="1"/>
        </w:numPr>
        <w:ind w:firstLineChars="0"/>
        <w:rPr>
          <w:rFonts w:ascii="宋体" w:hAnsi="宋体" w:eastAsia="宋体"/>
          <w:sz w:val="32"/>
          <w:szCs w:val="32"/>
        </w:rPr>
      </w:pPr>
      <w:r>
        <w:rPr>
          <w:rFonts w:hint="eastAsia" w:ascii="宋体" w:hAnsi="宋体" w:eastAsia="宋体"/>
          <w:sz w:val="32"/>
          <w:szCs w:val="32"/>
        </w:rPr>
        <w:t>承办</w:t>
      </w:r>
      <w:r>
        <w:rPr>
          <w:rFonts w:ascii="宋体" w:hAnsi="宋体" w:eastAsia="宋体"/>
          <w:sz w:val="32"/>
          <w:szCs w:val="32"/>
        </w:rPr>
        <w:t>政府和有关部门委托事项。</w:t>
      </w:r>
    </w:p>
    <w:p>
      <w:pPr>
        <w:pStyle w:val="2"/>
        <w:spacing w:line="360" w:lineRule="auto"/>
        <w:ind w:left="0"/>
        <w:rPr>
          <w:rFonts w:hint="eastAsia"/>
          <w:sz w:val="32"/>
          <w:szCs w:val="32"/>
        </w:rPr>
      </w:pPr>
    </w:p>
    <w:p>
      <w:pPr>
        <w:pStyle w:val="3"/>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spacing w:line="360" w:lineRule="auto"/>
        <w:ind w:left="0" w:firstLine="560" w:firstLineChars="200"/>
        <w:rPr>
          <w:rFonts w:hint="eastAsia" w:ascii="宋体" w:hAnsi="宋体" w:eastAsia="宋体" w:cs="宋体"/>
          <w:sz w:val="28"/>
          <w:szCs w:val="28"/>
        </w:rPr>
      </w:pPr>
      <w:r>
        <w:rPr>
          <w:rFonts w:hint="eastAsia" w:ascii="宋体" w:hAnsi="宋体" w:eastAsia="宋体" w:cs="宋体"/>
          <w:color w:val="333333"/>
          <w:sz w:val="28"/>
          <w:szCs w:val="28"/>
        </w:rPr>
        <w:t>为全额行政单位，一级预算单位。</w:t>
      </w:r>
    </w:p>
    <w:p>
      <w:pPr>
        <w:rPr>
          <w:rFonts w:hint="eastAsia" w:ascii="仿宋_GB2312" w:eastAsia="仿宋_GB2312"/>
          <w:sz w:val="32"/>
          <w:szCs w:val="32"/>
        </w:rPr>
      </w:pPr>
    </w:p>
    <w:p>
      <w:pPr>
        <w:pStyle w:val="18"/>
        <w:keepNext w:val="0"/>
        <w:keepLines w:val="0"/>
        <w:pageBreakBefore w:val="0"/>
        <w:kinsoku/>
        <w:wordWrap/>
        <w:overflowPunct/>
        <w:topLinePunct w:val="0"/>
        <w:autoSpaceDE/>
        <w:autoSpaceDN/>
        <w:bidi w:val="0"/>
        <w:adjustRightInd/>
        <w:snapToGrid/>
        <w:spacing w:line="480" w:lineRule="exact"/>
        <w:ind w:firstLine="480"/>
        <w:jc w:val="both"/>
        <w:textAlignment w:val="auto"/>
        <w:outlineLvl w:val="9"/>
        <w:rPr>
          <w:rFonts w:hint="eastAsia" w:ascii="仿宋_GB2312" w:hAnsi="仿宋_GB2312" w:eastAsia="仿宋_GB2312" w:cs="仿宋_GB2312"/>
          <w:color w:val="3D3D3D"/>
          <w:sz w:val="32"/>
          <w:szCs w:val="32"/>
        </w:rPr>
      </w:pPr>
    </w:p>
    <w:p>
      <w:pPr>
        <w:pStyle w:val="3"/>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spacing w:line="360" w:lineRule="auto"/>
        <w:ind w:left="0" w:firstLine="640" w:firstLineChars="200"/>
        <w:rPr>
          <w:rFonts w:hint="eastAsia"/>
        </w:rPr>
      </w:pPr>
      <w:r>
        <w:rPr>
          <w:rFonts w:hint="eastAsia"/>
        </w:rPr>
        <w:t>绥滨</w:t>
      </w:r>
      <w:r>
        <w:rPr>
          <w:rFonts w:hint="eastAsia"/>
          <w:lang w:eastAsia="zh-CN"/>
        </w:rPr>
        <w:t>县工商业联合会</w:t>
      </w:r>
      <w:r>
        <w:rPr>
          <w:rFonts w:hint="eastAsia"/>
        </w:rPr>
        <w:t>总编制人数</w:t>
      </w:r>
      <w:r>
        <w:rPr>
          <w:rFonts w:hint="eastAsia"/>
          <w:lang w:val="en-US" w:eastAsia="zh-CN"/>
        </w:rPr>
        <w:t>2</w:t>
      </w:r>
      <w:r>
        <w:rPr>
          <w:rFonts w:hint="eastAsia"/>
        </w:rPr>
        <w:t>人，在职实有人数</w:t>
      </w:r>
      <w:r>
        <w:rPr>
          <w:rFonts w:hint="eastAsia"/>
          <w:lang w:val="en-US" w:eastAsia="zh-CN"/>
        </w:rPr>
        <w:t>2</w:t>
      </w:r>
      <w:r>
        <w:rPr>
          <w:rFonts w:hint="eastAsia"/>
        </w:rPr>
        <w:t>人，其中：行政编制</w:t>
      </w:r>
      <w:r>
        <w:rPr>
          <w:rFonts w:hint="eastAsia"/>
          <w:lang w:val="en-US" w:eastAsia="zh-CN"/>
        </w:rPr>
        <w:t>2</w:t>
      </w:r>
      <w:r>
        <w:rPr>
          <w:rFonts w:hint="eastAsia"/>
        </w:rPr>
        <w:t>人。</w:t>
      </w:r>
    </w:p>
    <w:p>
      <w:pPr>
        <w:pStyle w:val="3"/>
        <w:keepNext w:val="0"/>
        <w:keepLines w:val="0"/>
        <w:widowControl/>
        <w:suppressLineNumbers w:val="0"/>
        <w:spacing w:before="180" w:beforeAutospacing="0" w:after="360" w:afterAutospacing="0" w:line="450" w:lineRule="atLeast"/>
        <w:ind w:left="458" w:right="0"/>
        <w:jc w:val="left"/>
        <w:rPr>
          <w:rFonts w:hint="eastAsia" w:ascii="宋体" w:hAnsi="宋体" w:eastAsia="宋体" w:cs="宋体"/>
          <w:sz w:val="28"/>
          <w:szCs w:val="28"/>
        </w:rPr>
      </w:pPr>
    </w:p>
    <w:p>
      <w:pPr>
        <w:pStyle w:val="3"/>
        <w:keepNext w:val="0"/>
        <w:keepLines w:val="0"/>
        <w:widowControl/>
        <w:suppressLineNumbers w:val="0"/>
        <w:spacing w:before="180" w:beforeAutospacing="0" w:after="360" w:afterAutospacing="0" w:line="450" w:lineRule="atLeast"/>
        <w:ind w:left="260" w:right="0"/>
        <w:jc w:val="left"/>
        <w:rPr>
          <w:rFonts w:hint="eastAsia" w:ascii="宋体" w:hAnsi="宋体" w:eastAsia="宋体" w:cs="宋体"/>
          <w:sz w:val="28"/>
          <w:szCs w:val="28"/>
        </w:rPr>
      </w:pPr>
      <w:r>
        <w:rPr>
          <w:rFonts w:hint="eastAsia" w:ascii="宋体" w:hAnsi="宋体" w:eastAsia="宋体" w:cs="宋体"/>
          <w:color w:val="333333"/>
          <w:sz w:val="28"/>
          <w:szCs w:val="28"/>
        </w:rPr>
        <w:t> </w:t>
      </w:r>
    </w:p>
    <w:p>
      <w:pPr>
        <w:pStyle w:val="3"/>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w:t>
      </w:r>
      <w:r>
        <w:rPr>
          <w:rFonts w:hint="eastAsia" w:asciiTheme="minorEastAsia" w:hAnsiTheme="minorEastAsia" w:cstheme="minorEastAsia"/>
          <w:b/>
          <w:color w:val="333333"/>
          <w:sz w:val="28"/>
          <w:szCs w:val="28"/>
          <w:lang w:val="en-US" w:eastAsia="zh-CN"/>
        </w:rPr>
        <w:t>19</w:t>
      </w:r>
      <w:r>
        <w:rPr>
          <w:rFonts w:hint="eastAsia" w:asciiTheme="minorEastAsia" w:hAnsiTheme="minorEastAsia" w:eastAsiaTheme="minorEastAsia" w:cstheme="minorEastAsia"/>
          <w:b/>
          <w:color w:val="333333"/>
          <w:sz w:val="28"/>
          <w:szCs w:val="28"/>
        </w:rPr>
        <w:t>年度部门决算情况说明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29.21</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24.71</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11.15</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61.74</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7.1</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40.32</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29.21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29.21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24.71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24.71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29.21</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11.19</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val="en-US" w:eastAsia="zh-CN"/>
        </w:rPr>
        <w:t>62.10</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24.71</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年相比，支出总计</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7.15</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40.72</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270" w:firstLine="843" w:firstLineChars="3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24.71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100 </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年相比，支出总计</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7.15</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40.72</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24.71</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2.29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9.27</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lang w:eastAsia="zh-CN"/>
        </w:rPr>
        <w:t>一般公共服务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cstheme="minorEastAsia"/>
          <w:i w:val="0"/>
          <w:caps w:val="0"/>
          <w:color w:val="373737"/>
          <w:spacing w:val="0"/>
          <w:sz w:val="28"/>
          <w:szCs w:val="28"/>
          <w:shd w:val="clear" w:fill="FFFFFF"/>
          <w:vertAlign w:val="baseline"/>
          <w:lang w:val="en-US" w:eastAsia="zh-CN"/>
        </w:rPr>
        <w:t>20.52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83.04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0.48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1.94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5.75</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（根据单位实际科目）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23.67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24.71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104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等于</w:t>
      </w:r>
      <w:r>
        <w:rPr>
          <w:rFonts w:hint="eastAsia" w:asciiTheme="minorEastAsia" w:hAnsiTheme="minorEastAsia" w:eastAsiaTheme="minorEastAsia" w:cstheme="minorEastAsia"/>
          <w:i w:val="0"/>
          <w:caps w:val="0"/>
          <w:color w:val="373737"/>
          <w:spacing w:val="0"/>
          <w:sz w:val="28"/>
          <w:szCs w:val="28"/>
          <w:shd w:val="clear" w:fill="FFFFFF"/>
          <w:vertAlign w:val="baseline"/>
        </w:rPr>
        <w:t>预算数的主要原因：一是201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年在职和由于工资的增长相应的医疗保险、住房公积金、住房提租补贴相应的缴交比例也随之增加，所以决算数大于预算数；二是201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年增加了行政管理事务等项目资金。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2.65</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2.3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86.79</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val="en-US"/>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lang w:eastAsia="zh-CN"/>
        </w:rPr>
        <w:t>一般公共服务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lang w:val="en-US" w:eastAsia="zh-CN"/>
        </w:rPr>
        <w:t xml:space="preserve"> </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19.6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24.71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126.07</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0.48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w:t>
      </w:r>
      <w:r>
        <w:rPr>
          <w:rFonts w:hint="eastAsia" w:asciiTheme="minorEastAsia" w:hAnsiTheme="minorEastAsia" w:cstheme="minorEastAsia"/>
          <w:i w:val="0"/>
          <w:caps w:val="0"/>
          <w:color w:val="373737"/>
          <w:spacing w:val="0"/>
          <w:sz w:val="28"/>
          <w:szCs w:val="28"/>
          <w:shd w:val="clear" w:fill="FFFFFF"/>
          <w:vertAlign w:val="baseline"/>
          <w:lang w:eastAsia="zh-CN"/>
        </w:rPr>
        <w:t>扶贫</w:t>
      </w:r>
      <w:r>
        <w:rPr>
          <w:rFonts w:hint="eastAsia" w:asciiTheme="minorEastAsia" w:hAnsiTheme="minorEastAsia" w:eastAsiaTheme="minorEastAsia" w:cstheme="minorEastAsia"/>
          <w:i w:val="0"/>
          <w:caps w:val="0"/>
          <w:color w:val="373737"/>
          <w:spacing w:val="0"/>
          <w:sz w:val="28"/>
          <w:szCs w:val="28"/>
          <w:shd w:val="clear" w:fill="FFFFFF"/>
          <w:vertAlign w:val="baseline"/>
        </w:rPr>
        <w:t>项目资金。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1.42</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1.42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703" w:firstLineChars="25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w:t>
      </w:r>
      <w:r>
        <w:rPr>
          <w:rFonts w:hint="eastAsia" w:asciiTheme="minorEastAsia" w:hAnsiTheme="minorEastAsia" w:cstheme="minorEastAsia"/>
          <w:i w:val="0"/>
          <w:caps w:val="0"/>
          <w:color w:val="373737"/>
          <w:spacing w:val="0"/>
          <w:sz w:val="28"/>
          <w:szCs w:val="28"/>
          <w:shd w:val="clear" w:fill="FFFFFF"/>
          <w:vertAlign w:val="baseline"/>
          <w:lang w:val="en-US" w:eastAsia="zh-CN"/>
        </w:rPr>
        <w:t>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24.71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23.57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w:t>
      </w:r>
      <w:r>
        <w:rPr>
          <w:rFonts w:hint="eastAsia" w:asciiTheme="minorEastAsia" w:hAnsiTheme="minorEastAsia" w:cstheme="minorEastAsia"/>
          <w:i w:val="0"/>
          <w:caps w:val="0"/>
          <w:color w:val="373737"/>
          <w:spacing w:val="0"/>
          <w:sz w:val="28"/>
          <w:szCs w:val="28"/>
          <w:shd w:val="clear" w:fill="FFFFFF"/>
          <w:vertAlign w:val="baseline"/>
          <w:lang w:eastAsia="zh-CN"/>
        </w:rPr>
        <w:t>生活补贴</w:t>
      </w:r>
      <w:r>
        <w:rPr>
          <w:rFonts w:hint="eastAsia" w:asciiTheme="minorEastAsia" w:hAnsiTheme="minorEastAsia" w:eastAsiaTheme="minorEastAsia" w:cstheme="minorEastAsia"/>
          <w:i w:val="0"/>
          <w:caps w:val="0"/>
          <w:color w:val="373737"/>
          <w:spacing w:val="0"/>
          <w:sz w:val="28"/>
          <w:szCs w:val="28"/>
          <w:shd w:val="clear" w:fill="FFFFFF"/>
          <w:vertAlign w:val="baseline"/>
        </w:rPr>
        <w:t>、奖励金、住房公积金；公用经费</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1.14</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万元，主要包括：办公费、印刷费、差旅费、福利费。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0.01</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0.01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0.01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年度“三公”经费支出决算数与预算数持平。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w:t>
      </w:r>
      <w:r>
        <w:rPr>
          <w:rFonts w:hint="eastAsia" w:asciiTheme="minorEastAsia" w:hAnsiTheme="minorEastAsia" w:cstheme="minorEastAsia"/>
          <w:i w:val="0"/>
          <w:caps w:val="0"/>
          <w:color w:val="373737"/>
          <w:spacing w:val="0"/>
          <w:sz w:val="28"/>
          <w:szCs w:val="28"/>
          <w:shd w:val="clear" w:fill="FFFFFF"/>
          <w:vertAlign w:val="baseline"/>
          <w:lang w:eastAsia="zh-CN"/>
        </w:rPr>
        <w:t>与上年持平。</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0.01</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bookmarkStart w:id="0" w:name="_GoBack"/>
      <w:r>
        <w:rPr>
          <w:rFonts w:hint="eastAsia" w:asciiTheme="minorEastAsia" w:hAnsiTheme="minorEastAsia" w:eastAsiaTheme="minorEastAsia" w:cstheme="minorEastAsia"/>
          <w:i w:val="0"/>
          <w:caps w:val="0"/>
          <w:color w:val="373737"/>
          <w:spacing w:val="0"/>
          <w:sz w:val="28"/>
          <w:szCs w:val="28"/>
          <w:shd w:val="clear" w:fill="FFFFFF"/>
          <w:vertAlign w:val="baseline"/>
        </w:rPr>
        <w:t>增长</w:t>
      </w:r>
      <w:bookmarkEnd w:id="0"/>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0.01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0.01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0.01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3"/>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3"/>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年度机关运行经费支出</w:t>
      </w:r>
      <w:r>
        <w:rPr>
          <w:rFonts w:hint="eastAsia" w:asciiTheme="minorEastAsia" w:hAnsiTheme="minorEastAsia" w:cstheme="minorEastAsia"/>
          <w:color w:val="333333"/>
          <w:sz w:val="28"/>
          <w:szCs w:val="28"/>
          <w:lang w:val="en-US" w:eastAsia="zh-CN"/>
        </w:rPr>
        <w:t>0.61</w:t>
      </w:r>
      <w:r>
        <w:rPr>
          <w:rFonts w:hint="eastAsia" w:asciiTheme="minorEastAsia" w:hAnsiTheme="minorEastAsia" w:eastAsiaTheme="minorEastAsia" w:cstheme="minorEastAsia"/>
          <w:color w:val="333333"/>
          <w:sz w:val="28"/>
          <w:szCs w:val="28"/>
        </w:rPr>
        <w:t>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年减少</w:t>
      </w:r>
      <w:r>
        <w:rPr>
          <w:rFonts w:hint="eastAsia" w:asciiTheme="minorEastAsia" w:hAnsiTheme="minorEastAsia" w:cstheme="minorEastAsia"/>
          <w:color w:val="333333"/>
          <w:sz w:val="28"/>
          <w:szCs w:val="28"/>
          <w:lang w:val="en-US" w:eastAsia="zh-CN"/>
        </w:rPr>
        <w:t>0.96</w:t>
      </w:r>
      <w:r>
        <w:rPr>
          <w:rFonts w:hint="eastAsia" w:asciiTheme="minorEastAsia" w:hAnsiTheme="minorEastAsia" w:eastAsiaTheme="minorEastAsia" w:cstheme="minorEastAsia"/>
          <w:color w:val="333333"/>
          <w:sz w:val="28"/>
          <w:szCs w:val="28"/>
        </w:rPr>
        <w:t>万元，增长（降低）</w:t>
      </w:r>
      <w:r>
        <w:rPr>
          <w:rFonts w:hint="eastAsia" w:asciiTheme="minorEastAsia" w:hAnsiTheme="minorEastAsia" w:cstheme="minorEastAsia"/>
          <w:color w:val="333333"/>
          <w:sz w:val="28"/>
          <w:szCs w:val="28"/>
          <w:lang w:val="en-US" w:eastAsia="zh-CN"/>
        </w:rPr>
        <w:t>61.15</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3"/>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年度政府采购支出总额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万元、政府采购工程支出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w:t>
      </w:r>
    </w:p>
    <w:p>
      <w:pPr>
        <w:pStyle w:val="3"/>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辆，其他用车主要是办案用车；单位价值 </w:t>
      </w:r>
      <w:r>
        <w:rPr>
          <w:rFonts w:hint="eastAsia" w:asciiTheme="minorEastAsia" w:hAnsiTheme="minorEastAsia" w:cstheme="minorEastAsia"/>
          <w:color w:val="333333"/>
          <w:sz w:val="28"/>
          <w:szCs w:val="28"/>
          <w:lang w:val="en-US" w:eastAsia="zh-CN"/>
        </w:rPr>
        <w:t>50</w:t>
      </w:r>
      <w:r>
        <w:rPr>
          <w:rFonts w:hint="eastAsia" w:asciiTheme="minorEastAsia" w:hAnsiTheme="minorEastAsia" w:eastAsiaTheme="minorEastAsia" w:cstheme="minorEastAsia"/>
          <w:color w:val="333333"/>
          <w:sz w:val="28"/>
          <w:szCs w:val="28"/>
        </w:rPr>
        <w:t>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w:t>
      </w:r>
    </w:p>
    <w:p>
      <w:pPr>
        <w:pStyle w:val="3"/>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cstheme="minorEastAsia"/>
          <w:color w:val="333333"/>
          <w:sz w:val="28"/>
          <w:szCs w:val="28"/>
          <w:lang w:val="en-US" w:eastAsia="zh-CN"/>
        </w:rPr>
        <w:t>0.48</w:t>
      </w:r>
      <w:r>
        <w:rPr>
          <w:rFonts w:hint="eastAsia" w:asciiTheme="minorEastAsia" w:hAnsiTheme="minorEastAsia" w:eastAsiaTheme="minorEastAsia" w:cstheme="minorEastAsia"/>
          <w:color w:val="333333"/>
          <w:sz w:val="28"/>
          <w:szCs w:val="28"/>
        </w:rPr>
        <w:t xml:space="preserve">万元，自评覆盖率达到100%。共组织对“农林水（类）农业（款）行政运行（项）”等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 xml:space="preserve"> 个项目进行了绩效评价，共涉及资金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0.48</w:t>
      </w:r>
      <w:r>
        <w:rPr>
          <w:rFonts w:hint="eastAsia" w:asciiTheme="minorEastAsia" w:hAnsiTheme="minorEastAsia" w:eastAsiaTheme="minorEastAsia" w:cstheme="minorEastAsia"/>
          <w:color w:val="333333"/>
          <w:sz w:val="28"/>
          <w:szCs w:val="28"/>
        </w:rPr>
        <w:t>万元。从评价情况来看，本部门共开展了</w:t>
      </w:r>
      <w:r>
        <w:rPr>
          <w:rFonts w:hint="eastAsia" w:asciiTheme="minorEastAsia" w:hAnsiTheme="minorEastAsia" w:cstheme="minorEastAsia"/>
          <w:color w:val="333333"/>
          <w:sz w:val="28"/>
          <w:szCs w:val="28"/>
          <w:lang w:val="en-US" w:eastAsia="zh-CN"/>
        </w:rPr>
        <w:t>日常支出</w:t>
      </w:r>
      <w:r>
        <w:rPr>
          <w:rFonts w:hint="eastAsia" w:asciiTheme="minorEastAsia" w:hAnsiTheme="minorEastAsia" w:eastAsiaTheme="minorEastAsia" w:cstheme="minorEastAsia"/>
          <w:color w:val="333333"/>
          <w:sz w:val="28"/>
          <w:szCs w:val="28"/>
        </w:rPr>
        <w:t>进行了绩效考核。</w:t>
      </w:r>
    </w:p>
    <w:p>
      <w:pPr>
        <w:pStyle w:val="3"/>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3"/>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3"/>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3"/>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Palatino Linotype">
    <w:panose1 w:val="02040502050505030304"/>
    <w:charset w:val="00"/>
    <w:family w:val="auto"/>
    <w:pitch w:val="default"/>
    <w:sig w:usb0="E0000287" w:usb1="40000013"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Tahoma">
    <w:panose1 w:val="020B0604030504040204"/>
    <w:charset w:val="00"/>
    <w:family w:val="roman"/>
    <w:pitch w:val="default"/>
    <w:sig w:usb0="E1002EFF" w:usb1="C000605B" w:usb2="00000029" w:usb3="00000000" w:csb0="200101FF" w:csb1="20280000"/>
  </w:font>
  <w:font w:name="ST Song">
    <w:altName w:val="Times New Roman"/>
    <w:panose1 w:val="00000000000000000000"/>
    <w:charset w:val="00"/>
    <w:family w:val="auto"/>
    <w:pitch w:val="default"/>
    <w:sig w:usb0="00000000" w:usb1="00000000" w:usb2="00000000" w:usb3="00000000" w:csb0="00000000" w:csb1="00000000"/>
  </w:font>
  <w:font w:name="华文宋体">
    <w:altName w:val="宋体"/>
    <w:panose1 w:val="02010600040101010101"/>
    <w:charset w:val="86"/>
    <w:family w:val="auto"/>
    <w:pitch w:val="default"/>
    <w:sig w:usb0="00000000" w:usb1="00000000" w:usb2="00000010" w:usb3="00000000" w:csb0="0004009F" w:csb1="00000000"/>
  </w:font>
  <w:font w:name="楷体_GB2312">
    <w:altName w:val="楷体"/>
    <w:panose1 w:val="02010609030101010101"/>
    <w:charset w:val="86"/>
    <w:family w:val="decorative"/>
    <w:pitch w:val="default"/>
    <w:sig w:usb0="00000000" w:usb1="00000000" w:usb2="00000000" w:usb3="00000000" w:csb0="00040000" w:csb1="00000000"/>
  </w:font>
  <w:font w:name="新宋体">
    <w:panose1 w:val="02010609030101010101"/>
    <w:charset w:val="86"/>
    <w:family w:val="decorative"/>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Helvetica Neue">
    <w:altName w:val="Courier New"/>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hakuyoxingshu7000">
    <w:panose1 w:val="02000600000000000000"/>
    <w:charset w:val="86"/>
    <w:family w:val="auto"/>
    <w:pitch w:val="default"/>
    <w:sig w:usb0="FFFFFFFF" w:usb1="E9FFFFFF" w:usb2="0000003F" w:usb3="00000000" w:csb0="603F00FF" w:csb1="FFFF0000"/>
  </w:font>
  <w:font w:name="Courier New">
    <w:panose1 w:val="02070309020205020404"/>
    <w:charset w:val="00"/>
    <w:family w:val="auto"/>
    <w:pitch w:val="default"/>
    <w:sig w:usb0="E0002AFF" w:usb1="C0007843" w:usb2="00000009" w:usb3="00000000" w:csb0="400001FF" w:csb1="FFFF0000"/>
  </w:font>
  <w:font w:name="Verdana">
    <w:panose1 w:val="020B0604030504040204"/>
    <w:charset w:val="00"/>
    <w:family w:val="auto"/>
    <w:pitch w:val="default"/>
    <w:sig w:usb0="A10006FF" w:usb1="4000205B" w:usb2="00000010"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Calibri Light">
    <w:panose1 w:val="020F0302020204030204"/>
    <w:charset w:val="00"/>
    <w:family w:val="auto"/>
    <w:pitch w:val="default"/>
    <w:sig w:usb0="A00002EF" w:usb1="4000207B" w:usb2="00000000" w:usb3="00000000" w:csb0="2000019F" w:csb1="00000000"/>
  </w:font>
  <w:font w:name="叶根友毛笔行书2.0版">
    <w:panose1 w:val="02010601030101010101"/>
    <w:charset w:val="86"/>
    <w:family w:val="auto"/>
    <w:pitch w:val="default"/>
    <w:sig w:usb0="00000001" w:usb1="080E0000" w:usb2="00000000" w:usb3="00000000" w:csb0="00040000" w:csb1="00000000"/>
  </w:font>
  <w:font w:name="PMingLiU">
    <w:panose1 w:val="02020500000000000000"/>
    <w:charset w:val="88"/>
    <w:family w:val="auto"/>
    <w:pitch w:val="default"/>
    <w:sig w:usb0="A00002FF" w:usb1="28CFFCFA" w:usb2="00000016" w:usb3="00000000" w:csb0="00100001" w:csb1="00000000"/>
  </w:font>
  <w:font w:name="宋体-PUA">
    <w:altName w:val="宋体"/>
    <w:panose1 w:val="02010600030101010101"/>
    <w:charset w:val="86"/>
    <w:family w:val="auto"/>
    <w:pitch w:val="default"/>
    <w:sig w:usb0="00000000" w:usb1="00000000" w:usb2="00000000" w:usb3="00000000" w:csb0="00040000" w:csb1="00000000"/>
  </w:font>
  <w:font w:name="Franklin Gothic Medium">
    <w:panose1 w:val="020B0603020102020204"/>
    <w:charset w:val="00"/>
    <w:family w:val="auto"/>
    <w:pitch w:val="default"/>
    <w:sig w:usb0="00000287" w:usb1="00000000" w:usb2="00000000" w:usb3="00000000" w:csb0="2000009F" w:csb1="DFD70000"/>
  </w:font>
  <w:font w:name="Microsoft JhengHei">
    <w:panose1 w:val="020B0604030504040204"/>
    <w:charset w:val="88"/>
    <w:family w:val="swiss"/>
    <w:pitch w:val="default"/>
    <w:sig w:usb0="00000087" w:usb1="28AF4000" w:usb2="00000016" w:usb3="00000000" w:csb0="00100009" w:csb1="00000000"/>
  </w:font>
  <w:font w:name="NumberOnly">
    <w:altName w:val="Vrinda"/>
    <w:panose1 w:val="020B0500000000000000"/>
    <w:charset w:val="00"/>
    <w:family w:val="auto"/>
    <w:pitch w:val="default"/>
    <w:sig w:usb0="00000000" w:usb1="00000000" w:usb2="00000000" w:usb3="00000000" w:csb0="00000111" w:csb1="40000000"/>
  </w:font>
  <w:font w:name="Vrinda">
    <w:panose1 w:val="020B0502040204020203"/>
    <w:charset w:val="00"/>
    <w:family w:val="auto"/>
    <w:pitch w:val="default"/>
    <w:sig w:usb0="0001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914B0"/>
    <w:multiLevelType w:val="multilevel"/>
    <w:tmpl w:val="03F914B0"/>
    <w:lvl w:ilvl="0" w:tentative="0">
      <w:start w:val="9"/>
      <w:numFmt w:val="japaneseCounting"/>
      <w:lvlText w:val="（%1）"/>
      <w:lvlJc w:val="left"/>
      <w:pPr>
        <w:ind w:left="1560" w:hanging="10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0F23411"/>
    <w:rsid w:val="0123668F"/>
    <w:rsid w:val="01340F75"/>
    <w:rsid w:val="018F1B8B"/>
    <w:rsid w:val="03FE7F0E"/>
    <w:rsid w:val="05861984"/>
    <w:rsid w:val="098217C0"/>
    <w:rsid w:val="0DFF0278"/>
    <w:rsid w:val="0E980DC7"/>
    <w:rsid w:val="11ED1FAA"/>
    <w:rsid w:val="179B676B"/>
    <w:rsid w:val="1CFB22BC"/>
    <w:rsid w:val="1DF21C30"/>
    <w:rsid w:val="1DF45FF5"/>
    <w:rsid w:val="1FA36F7D"/>
    <w:rsid w:val="23C673AA"/>
    <w:rsid w:val="292F38A1"/>
    <w:rsid w:val="2A054FEB"/>
    <w:rsid w:val="2DE7389C"/>
    <w:rsid w:val="2F06222C"/>
    <w:rsid w:val="31305FF2"/>
    <w:rsid w:val="3A556220"/>
    <w:rsid w:val="3DDC6AB6"/>
    <w:rsid w:val="3E4D6987"/>
    <w:rsid w:val="40613EBF"/>
    <w:rsid w:val="419008B3"/>
    <w:rsid w:val="42871885"/>
    <w:rsid w:val="44BC7D6B"/>
    <w:rsid w:val="45F07353"/>
    <w:rsid w:val="46C815B5"/>
    <w:rsid w:val="4A672EA3"/>
    <w:rsid w:val="4C9733FD"/>
    <w:rsid w:val="509A555D"/>
    <w:rsid w:val="57ED288C"/>
    <w:rsid w:val="5C423D2E"/>
    <w:rsid w:val="5CA463B3"/>
    <w:rsid w:val="62763A6A"/>
    <w:rsid w:val="62A72F46"/>
    <w:rsid w:val="64F615B8"/>
    <w:rsid w:val="6B597735"/>
    <w:rsid w:val="6B6E45D7"/>
    <w:rsid w:val="6BC52739"/>
    <w:rsid w:val="6CFF77E7"/>
    <w:rsid w:val="6FF50AA2"/>
    <w:rsid w:val="715B2F08"/>
    <w:rsid w:val="73BB3B9F"/>
    <w:rsid w:val="763C3B43"/>
    <w:rsid w:val="768870B2"/>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pPr>
      <w:ind w:left="260"/>
    </w:pPr>
    <w:rPr>
      <w:rFonts w:ascii="宋体" w:hAnsi="宋体" w:eastAsia="宋体" w:cs="宋体"/>
      <w:sz w:val="32"/>
      <w:szCs w:val="32"/>
      <w:lang w:val="zh-CN" w:eastAsia="zh-CN" w:bidi="zh-CN"/>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10">
    <w:name w:val="laiy"/>
    <w:basedOn w:val="4"/>
    <w:qFormat/>
    <w:uiPriority w:val="0"/>
  </w:style>
  <w:style w:type="character" w:customStyle="1" w:styleId="11">
    <w:name w:val="zuoz"/>
    <w:basedOn w:val="4"/>
    <w:qFormat/>
    <w:uiPriority w:val="0"/>
  </w:style>
  <w:style w:type="character" w:customStyle="1" w:styleId="12">
    <w:name w:val="update"/>
    <w:basedOn w:val="4"/>
    <w:qFormat/>
    <w:uiPriority w:val="0"/>
  </w:style>
  <w:style w:type="character" w:customStyle="1" w:styleId="13">
    <w:name w:val="hot1"/>
    <w:basedOn w:val="4"/>
    <w:qFormat/>
    <w:uiPriority w:val="0"/>
  </w:style>
  <w:style w:type="character" w:customStyle="1" w:styleId="14">
    <w:name w:val="td12"/>
    <w:basedOn w:val="4"/>
    <w:qFormat/>
    <w:uiPriority w:val="0"/>
    <w:rPr>
      <w:rFonts w:ascii="Arial" w:hAnsi="Arial" w:cs="Arial"/>
      <w:color w:val="FFFFFF"/>
      <w:sz w:val="16"/>
      <w:szCs w:val="16"/>
    </w:rPr>
  </w:style>
  <w:style w:type="character" w:customStyle="1" w:styleId="15">
    <w:name w:val="td22"/>
    <w:basedOn w:val="4"/>
    <w:qFormat/>
    <w:uiPriority w:val="0"/>
  </w:style>
  <w:style w:type="character" w:customStyle="1" w:styleId="16">
    <w:name w:val="td32"/>
    <w:basedOn w:val="4"/>
    <w:qFormat/>
    <w:uiPriority w:val="0"/>
  </w:style>
  <w:style w:type="character" w:customStyle="1" w:styleId="17">
    <w:name w:val="home"/>
    <w:basedOn w:val="4"/>
    <w:qFormat/>
    <w:uiPriority w:val="0"/>
  </w:style>
  <w:style w:type="paragraph" w:customStyle="1" w:styleId="18">
    <w:name w:val="无间隔1"/>
    <w:qFormat/>
    <w:uiPriority w:val="0"/>
    <w:pPr>
      <w:ind w:firstLine="200" w:firstLineChars="200"/>
      <w:jc w:val="center"/>
    </w:pPr>
    <w:rPr>
      <w:rFonts w:ascii="Times New Roman" w:hAnsi="Times New Roman" w:eastAsia="仿宋_GB2312" w:cs="Times New Roman"/>
      <w:sz w:val="30"/>
      <w:szCs w:val="22"/>
      <w:lang w:val="en-US" w:eastAsia="zh-CN" w:bidi="ar-SA"/>
    </w:rPr>
  </w:style>
  <w:style w:type="paragraph" w:customStyle="1" w:styleId="19">
    <w:name w:val="List Paragraph"/>
    <w:basedOn w:val="1"/>
    <w:qFormat/>
    <w:uiPriority w:val="1"/>
    <w:pPr>
      <w:ind w:left="260" w:hanging="322"/>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cp:lastPrinted>2020-10-16T00:55:00Z</cp:lastPrinted>
  <dcterms:modified xsi:type="dcterms:W3CDTF">2020-10-16T03:03:33Z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