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信访局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color w:val="333333"/>
          <w:kern w:val="2"/>
          <w:sz w:val="28"/>
          <w:szCs w:val="28"/>
          <w:shd w:val="clear" w:fill="FFFFFF"/>
          <w:lang w:val="en-US" w:eastAsia="zh-CN" w:bidi="ar-SA"/>
        </w:rPr>
      </w:pPr>
      <w:r>
        <w:rPr>
          <w:rFonts w:hint="eastAsia" w:asciiTheme="minorEastAsia" w:hAnsiTheme="minorEastAsia" w:eastAsiaTheme="minorEastAsia" w:cstheme="minorEastAsia"/>
          <w:color w:val="333333"/>
          <w:kern w:val="2"/>
          <w:sz w:val="28"/>
          <w:szCs w:val="28"/>
          <w:shd w:val="clear" w:fill="FFFFFF"/>
          <w:lang w:val="en-US" w:eastAsia="zh-CN" w:bidi="ar-SA"/>
        </w:rPr>
        <w:t>    一、主要职能</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333333"/>
          <w:kern w:val="2"/>
          <w:sz w:val="28"/>
          <w:szCs w:val="28"/>
          <w:shd w:val="clear" w:fill="FFFFFF"/>
          <w:lang w:val="en-US" w:eastAsia="zh-CN" w:bidi="ar-SA"/>
        </w:rPr>
        <w:t>  </w:t>
      </w:r>
      <w:r>
        <w:rPr>
          <w:rFonts w:hint="eastAsia" w:ascii="宋体" w:hAnsi="宋体" w:eastAsia="宋体" w:cs="宋体"/>
          <w:color w:val="000000" w:themeColor="text1"/>
          <w:sz w:val="28"/>
          <w:szCs w:val="28"/>
          <w:lang w:eastAsia="zh-CN"/>
          <w14:textFill>
            <w14:solidFill>
              <w14:schemeClr w14:val="tx1"/>
            </w14:solidFill>
          </w14:textFill>
        </w:rPr>
        <w:t>（一）负责贯彻落实省市县领导同志对信访工作的安排部署和指示要求；负责《信访条例》的组织实施、督促落实和日常检查。</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（二）负责办理公民、法人及其他组织有关来信来电、网上投诉，接待来访；向县委、县政府领导同志反映群众信访提出的重要建议、意见和问题，提出完善政策、改进工作、追究责任有关建议。</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（三）承办上级机关和领导同志交办、批办、转办的信访事项，对领导批办件落实情况进行督促检查；向各乡镇、县直各部门交办、转办有关信访事项，督查督办重要信访事项处理和落实。</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（四）负责制定化解社会矛盾纠纷和信访问题排查制度、方案并组织实施。</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（五）协调处理跨地区、跨部门重要信访问题；应急协调处理群众进京到省到市上访和异常、突发信访事件。</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（六）检查、指导、协调各乡镇、各部门的信访工作；起草本县有关信访工作的制度和规定；定期通报全县信访工作情况；负责全县信访考核工作。</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（七）负责征集人民群众的建议，供县委、县政府参考；对带有全局性或涉及面较大的重要信访问题开展调查研究，提出解决问题的政策建议。</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（八）负责全县信访法治建设工作，为信访人员提供有关法律、法规、政策咨询，配合政法机关依法处置信访违法行为。</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（九）负责信访工作宣传和信息发布。</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（十）负责县信访工作联席会议的日常工作。</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仿宋" w:hAnsi="仿宋" w:eastAsia="仿宋" w:cs="仿宋"/>
          <w:color w:val="000000" w:themeColor="text1"/>
          <w:sz w:val="30"/>
          <w:szCs w:val="30"/>
          <w:lang w:eastAsia="zh-CN"/>
          <w14:textFill>
            <w14:solidFill>
              <w14:schemeClr w14:val="tx1"/>
            </w14:solidFill>
          </w14:textFill>
        </w:rPr>
      </w:pPr>
      <w:r>
        <w:rPr>
          <w:rFonts w:hint="eastAsia" w:ascii="宋体" w:hAnsi="宋体" w:eastAsia="宋体" w:cs="宋体"/>
          <w:color w:val="000000" w:themeColor="text1"/>
          <w:sz w:val="28"/>
          <w:szCs w:val="28"/>
          <w:lang w:eastAsia="zh-CN"/>
          <w14:textFill>
            <w14:solidFill>
              <w14:schemeClr w14:val="tx1"/>
            </w14:solidFill>
          </w14:textFill>
        </w:rPr>
        <w:t>（十一）完成县委、县政府交办的其他任务。</w:t>
      </w:r>
    </w:p>
    <w:p>
      <w:pPr>
        <w:spacing w:line="360" w:lineRule="auto"/>
        <w:ind w:firstLine="570" w:firstLineChars="200"/>
        <w:rPr>
          <w:rFonts w:hint="eastAsia" w:ascii="仿宋" w:hAnsi="仿宋" w:eastAsia="仿宋" w:cs="黑体"/>
          <w:b/>
          <w:bCs/>
          <w:spacing w:val="-8"/>
          <w:kern w:val="2"/>
          <w:sz w:val="30"/>
          <w:szCs w:val="32"/>
          <w:lang w:val="en-US" w:eastAsia="zh-CN" w:bidi="ar-SA"/>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w:t>
      </w:r>
      <w:r>
        <w:rPr>
          <w:rFonts w:hint="eastAsia" w:ascii="宋体" w:hAnsi="宋体" w:eastAsia="宋体" w:cs="宋体"/>
          <w:sz w:val="32"/>
          <w:szCs w:val="32"/>
          <w:lang w:eastAsia="zh-CN"/>
        </w:rPr>
        <w:t>综合办公室（网上投诉受理办公室）</w:t>
      </w:r>
      <w:r>
        <w:rPr>
          <w:rFonts w:hint="eastAsia" w:asciiTheme="minorEastAsia" w:hAnsiTheme="minorEastAsia" w:eastAsiaTheme="minorEastAsia" w:cstheme="minorEastAsia"/>
          <w:color w:val="333333"/>
          <w:sz w:val="28"/>
          <w:szCs w:val="28"/>
        </w:rPr>
        <w:t>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12</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563.29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565.64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421.73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297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426.43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563.29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563.29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565.64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212.71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37.61</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352.92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62.39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563.29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421.73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297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565.64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426.43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306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565.64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426.43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565.64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Fonts w:hint="eastAsia" w:asciiTheme="minorEastAsia" w:hAnsiTheme="minorEastAsia" w:cstheme="minorEastAsia"/>
          <w:i w:val="0"/>
          <w:caps w:val="0"/>
          <w:color w:val="373737"/>
          <w:spacing w:val="0"/>
          <w:sz w:val="28"/>
          <w:szCs w:val="28"/>
          <w:shd w:val="clear" w:fill="FFFFFF"/>
          <w:vertAlign w:val="baseline"/>
          <w:lang w:eastAsia="zh-CN"/>
        </w:rPr>
        <w:t>教育支出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346.17万元，占61.20%;</w:t>
      </w:r>
      <w:r>
        <w:rPr>
          <w:rFonts w:hint="eastAsia" w:asciiTheme="minorEastAsia" w:hAnsiTheme="minorEastAsia" w:cstheme="minorEastAsia"/>
          <w:i w:val="0"/>
          <w:caps w:val="0"/>
          <w:color w:val="373737"/>
          <w:spacing w:val="0"/>
          <w:sz w:val="28"/>
          <w:szCs w:val="28"/>
          <w:shd w:val="clear" w:fill="FFFFFF"/>
          <w:vertAlign w:val="baseline"/>
          <w:lang w:eastAsia="zh-CN"/>
        </w:rPr>
        <w:t>一般公共服务</w:t>
      </w:r>
      <w:r>
        <w:rPr>
          <w:rFonts w:hint="eastAsia" w:asciiTheme="minorEastAsia" w:hAnsiTheme="minorEastAsia" w:cstheme="minorEastAsia"/>
          <w:i w:val="0"/>
          <w:caps w:val="0"/>
          <w:color w:val="373737"/>
          <w:spacing w:val="0"/>
          <w:sz w:val="28"/>
          <w:szCs w:val="28"/>
          <w:shd w:val="clear" w:fill="FFFFFF"/>
          <w:vertAlign w:val="baseline"/>
          <w:lang w:val="en-US" w:eastAsia="zh-CN"/>
        </w:rPr>
        <w:t>190.23万元，占33.63%;</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3.318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8.710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1.540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1.760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0.3112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131.82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565.64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429.10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一是201</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9</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9</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000000" w:themeColor="text1"/>
          <w:spacing w:val="0"/>
          <w:sz w:val="28"/>
          <w:szCs w:val="28"/>
          <w14:textFill>
            <w14:solidFill>
              <w14:schemeClr w14:val="tx1"/>
            </w14:solidFill>
          </w14:textFill>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19.11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18.77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98.22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201</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9</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年离退休职工工资增长了。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000000" w:themeColor="text1"/>
          <w:spacing w:val="0"/>
          <w:sz w:val="28"/>
          <w:szCs w:val="28"/>
          <w14:textFill>
            <w14:solidFill>
              <w14:schemeClr w14:val="tx1"/>
            </w14:solidFill>
          </w14:textFill>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1.760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2</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01</w:t>
      </w:r>
      <w:r>
        <w:rPr>
          <w:rFonts w:hint="eastAsia" w:asciiTheme="minorEastAsia" w:hAnsiTheme="minorEastAsia" w:cstheme="minorEastAsia"/>
          <w:i w:val="0"/>
          <w:caps w:val="0"/>
          <w:color w:val="000000" w:themeColor="text1"/>
          <w:spacing w:val="0"/>
          <w:sz w:val="28"/>
          <w:szCs w:val="28"/>
          <w:shd w:val="clear" w:fill="FFFFFF"/>
          <w:vertAlign w:val="baseline"/>
          <w:lang w:val="en-US" w:eastAsia="zh-CN"/>
          <w14:textFill>
            <w14:solidFill>
              <w14:schemeClr w14:val="tx1"/>
            </w14:solidFill>
          </w14:textFill>
        </w:rPr>
        <w:t>9</w:t>
      </w:r>
      <w:r>
        <w:rPr>
          <w:rFonts w:hint="eastAsia" w:asciiTheme="minorEastAsia" w:hAnsiTheme="minorEastAsia" w:eastAsiaTheme="minorEastAsia" w:cstheme="minorEastAsia"/>
          <w:i w:val="0"/>
          <w:caps w:val="0"/>
          <w:color w:val="000000" w:themeColor="text1"/>
          <w:spacing w:val="0"/>
          <w:sz w:val="28"/>
          <w:szCs w:val="28"/>
          <w:shd w:val="clear" w:fill="FFFFFF"/>
          <w:vertAlign w:val="baseline"/>
          <w14:textFill>
            <w14:solidFill>
              <w14:schemeClr w14:val="tx1"/>
            </w14:solidFill>
          </w14:textFill>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7.598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8.710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114.64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212.71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154.17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58.54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58.54</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11.48</w:t>
      </w:r>
      <w:r>
        <w:rPr>
          <w:rFonts w:hint="eastAsia" w:asciiTheme="minorEastAsia" w:hAnsiTheme="minorEastAsia" w:eastAsia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24.39</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信访人多次出现越级访等事件，导致差旅费等相关费用增加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0.00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根据财政预算管理要求和年初设定的绩效目标，我单位组织对 201</w:t>
      </w:r>
      <w:r>
        <w:rPr>
          <w:rFonts w:hint="eastAsia" w:asciiTheme="minorEastAsia" w:hAnsiTheme="minorEastAsia" w:cstheme="minorEastAsia"/>
          <w:color w:val="000000" w:themeColor="text1"/>
          <w:sz w:val="28"/>
          <w:szCs w:val="28"/>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8"/>
          <w:szCs w:val="28"/>
          <w14:textFill>
            <w14:solidFill>
              <w14:schemeClr w14:val="tx1"/>
            </w14:solidFill>
          </w14:textFill>
        </w:rPr>
        <w:t>年度项目支出全面开展绩效自评。共涉及资金</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8"/>
          <w:szCs w:val="28"/>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6324411"/>
    <w:rsid w:val="179B676B"/>
    <w:rsid w:val="1A1F65C5"/>
    <w:rsid w:val="1CFB22BC"/>
    <w:rsid w:val="29750185"/>
    <w:rsid w:val="2A054FEB"/>
    <w:rsid w:val="2DE7389C"/>
    <w:rsid w:val="3964752F"/>
    <w:rsid w:val="3DDC6AB6"/>
    <w:rsid w:val="3E7434E4"/>
    <w:rsid w:val="3F98625C"/>
    <w:rsid w:val="419008B3"/>
    <w:rsid w:val="4B0F01A5"/>
    <w:rsid w:val="4FC10157"/>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SunXiaoYu</cp:lastModifiedBy>
  <dcterms:modified xsi:type="dcterms:W3CDTF">2020-10-14T08:13:25Z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