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cstheme="minorEastAsia"/>
          <w:b/>
          <w:color w:val="333333"/>
          <w:sz w:val="44"/>
          <w:szCs w:val="44"/>
          <w:lang w:val="en-US" w:eastAsia="zh-CN"/>
        </w:rPr>
      </w:pPr>
      <w:r>
        <w:rPr>
          <w:rFonts w:hint="eastAsia" w:asciiTheme="minorEastAsia" w:hAnsiTheme="minorEastAsia" w:eastAsiaTheme="minorEastAsia" w:cstheme="minorEastAsia"/>
          <w:b/>
          <w:color w:val="333333"/>
          <w:sz w:val="44"/>
          <w:szCs w:val="44"/>
          <w:lang w:val="en-US" w:eastAsia="zh-CN"/>
        </w:rPr>
        <w:t>201</w:t>
      </w:r>
      <w:r>
        <w:rPr>
          <w:rFonts w:hint="eastAsia" w:asciiTheme="minorEastAsia" w:hAnsiTheme="minorEastAsia" w:cstheme="minorEastAsia"/>
          <w:b/>
          <w:color w:val="333333"/>
          <w:sz w:val="44"/>
          <w:szCs w:val="44"/>
          <w:lang w:val="en-US" w:eastAsia="zh-CN"/>
        </w:rPr>
        <w:t>9</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绥滨县</w:t>
      </w:r>
    </w:p>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44"/>
          <w:szCs w:val="44"/>
          <w:lang w:val="en-US" w:eastAsia="zh-CN"/>
        </w:rPr>
      </w:pPr>
      <w:r>
        <w:rPr>
          <w:rFonts w:hint="eastAsia" w:asciiTheme="minorEastAsia" w:hAnsiTheme="minorEastAsia" w:cstheme="minorEastAsia"/>
          <w:b/>
          <w:color w:val="333333"/>
          <w:sz w:val="44"/>
          <w:szCs w:val="44"/>
          <w:lang w:val="en-US" w:eastAsia="zh-CN"/>
        </w:rPr>
        <w:t>畜牧服务中心</w:t>
      </w:r>
      <w:r>
        <w:rPr>
          <w:rFonts w:hint="eastAsia" w:asciiTheme="minorEastAsia" w:hAnsiTheme="minorEastAsia" w:eastAsiaTheme="minorEastAsia" w:cstheme="minorEastAsia"/>
          <w:b/>
          <w:color w:val="333333"/>
          <w:sz w:val="44"/>
          <w:szCs w:val="44"/>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cstheme="minorEastAsia"/>
          <w:color w:val="333333"/>
          <w:sz w:val="28"/>
          <w:szCs w:val="28"/>
          <w:lang w:val="en-US" w:eastAsia="zh-CN"/>
        </w:rPr>
      </w:pPr>
      <w:r>
        <w:rPr>
          <w:rFonts w:hint="eastAsia" w:asciiTheme="minorEastAsia" w:hAnsiTheme="minorEastAsia" w:eastAsiaTheme="minorEastAsia" w:cstheme="minorEastAsia"/>
          <w:color w:val="333333"/>
          <w:sz w:val="28"/>
          <w:szCs w:val="28"/>
          <w:lang w:val="en-US" w:eastAsia="zh-CN"/>
        </w:rPr>
        <w:t>县畜牧兽医服务中心，正科级，财政全额拔款事业单位，公益一类，隶属县农业农村局。</w:t>
      </w:r>
      <w:r>
        <w:rPr>
          <w:rFonts w:hint="eastAsia" w:asciiTheme="minorEastAsia" w:hAnsiTheme="minorEastAsia" w:cstheme="minorEastAsia"/>
          <w:color w:val="333333"/>
          <w:sz w:val="28"/>
          <w:szCs w:val="28"/>
          <w:lang w:val="en-US" w:eastAsia="zh-CN"/>
        </w:rPr>
        <w:t>将县动物疫病预防控制中心、县家畜繁育指导站、县畜牧局畜牧站整建制并入县畜牧兽医服务中心、撤销县动物疫病预防控制中心、县家畜繁育指导站、县畜牧局畜牧站。</w:t>
      </w:r>
    </w:p>
    <w:p>
      <w:pPr>
        <w:pStyle w:val="2"/>
        <w:keepNext w:val="0"/>
        <w:keepLines w:val="0"/>
        <w:widowControl/>
        <w:numPr>
          <w:ilvl w:val="0"/>
          <w:numId w:val="2"/>
        </w:numPr>
        <w:suppressLineNumbers w:val="0"/>
        <w:spacing w:before="180" w:beforeAutospacing="0" w:after="360" w:afterAutospacing="0" w:line="450" w:lineRule="atLeast"/>
        <w:ind w:left="140" w:leftChars="0" w:right="0" w:firstLine="0" w:firstLineChars="0"/>
        <w:jc w:val="left"/>
        <w:rPr>
          <w:rFonts w:hint="eastAsia" w:asciiTheme="minorEastAsia" w:hAnsiTheme="minorEastAsia" w:eastAsiaTheme="minorEastAsia" w:cstheme="minorEastAsia"/>
          <w:b/>
          <w:bCs/>
          <w:color w:val="333333"/>
          <w:sz w:val="28"/>
          <w:szCs w:val="28"/>
        </w:rPr>
      </w:pPr>
      <w:r>
        <w:rPr>
          <w:rFonts w:hint="eastAsia" w:asciiTheme="minorEastAsia" w:hAnsiTheme="minorEastAsia" w:eastAsiaTheme="minorEastAsia" w:cstheme="minorEastAsia"/>
          <w:b/>
          <w:bCs/>
          <w:color w:val="333333"/>
          <w:sz w:val="28"/>
          <w:szCs w:val="28"/>
        </w:rPr>
        <w:t>主要职能</w:t>
      </w:r>
    </w:p>
    <w:p>
      <w:pPr>
        <w:pStyle w:val="2"/>
        <w:keepNext w:val="0"/>
        <w:keepLines w:val="0"/>
        <w:widowControl/>
        <w:numPr>
          <w:ilvl w:val="0"/>
          <w:numId w:val="0"/>
        </w:numPr>
        <w:suppressLineNumbers w:val="0"/>
        <w:spacing w:before="180" w:beforeAutospacing="0" w:after="360" w:afterAutospacing="0" w:line="450" w:lineRule="atLeast"/>
        <w:ind w:left="140" w:leftChars="0" w:right="0" w:rightChars="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cstheme="minorEastAsia"/>
          <w:color w:val="333333"/>
          <w:sz w:val="28"/>
          <w:szCs w:val="28"/>
          <w:shd w:val="clear" w:fill="FFFFFF"/>
          <w:lang w:eastAsia="zh-CN"/>
        </w:rPr>
        <w:t>参与拟定全县畜牧业生产发展规划、政策、措施，并组织实施</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cstheme="minorEastAsia"/>
          <w:color w:val="333333"/>
          <w:sz w:val="28"/>
          <w:szCs w:val="28"/>
          <w:shd w:val="clear" w:fill="FFFFFF"/>
          <w:lang w:eastAsia="zh-CN"/>
        </w:rPr>
        <w:t>负责全县畜牧业生产技术指导、技术推广、咨询服务及牧业从业人员的技术培训；</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cstheme="minorEastAsia"/>
          <w:color w:val="333333"/>
          <w:sz w:val="28"/>
          <w:szCs w:val="28"/>
          <w:shd w:val="clear" w:fill="FFFFFF"/>
          <w:lang w:eastAsia="zh-CN"/>
        </w:rPr>
        <w:t>负责全县畜牧生产标准化典型的培育、推广、示范及总结</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cstheme="minorEastAsia"/>
          <w:color w:val="333333"/>
          <w:sz w:val="28"/>
          <w:szCs w:val="28"/>
          <w:shd w:val="clear" w:fill="FFFFFF"/>
          <w:lang w:eastAsia="zh-CN"/>
        </w:rPr>
        <w:t>负责全县畜牧业生产情况的报表工作</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（四） </w:t>
      </w:r>
      <w:r>
        <w:rPr>
          <w:rFonts w:hint="eastAsia" w:asciiTheme="minorEastAsia" w:hAnsiTheme="minorEastAsia" w:cstheme="minorEastAsia"/>
          <w:color w:val="333333"/>
          <w:sz w:val="28"/>
          <w:szCs w:val="28"/>
          <w:shd w:val="clear" w:fill="FFFFFF"/>
          <w:lang w:eastAsia="zh-CN"/>
        </w:rPr>
        <w:t>负责实施动物疫病的预防、监测、预警、预报、实验室诊断、流行病学调查、疫情报告和动物疫病预防的技术指导、培训及科普宣传；</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cstheme="minorEastAsia"/>
          <w:color w:val="333333"/>
          <w:sz w:val="28"/>
          <w:szCs w:val="28"/>
          <w:shd w:val="clear" w:fill="FFFFFF"/>
          <w:lang w:val="en-US" w:eastAsia="zh-CN"/>
        </w:rPr>
      </w:pPr>
      <w:r>
        <w:rPr>
          <w:rFonts w:hint="eastAsia" w:asciiTheme="minorEastAsia" w:hAnsiTheme="minorEastAsia" w:cstheme="minorEastAsia"/>
          <w:color w:val="333333"/>
          <w:sz w:val="28"/>
          <w:szCs w:val="28"/>
          <w:shd w:val="clear" w:fill="FFFFFF"/>
          <w:lang w:eastAsia="zh-CN"/>
        </w:rPr>
        <w:t>（五）拟定重大动物疫病人畜共患病防控技术方案；</w:t>
      </w:r>
      <w:r>
        <w:rPr>
          <w:rFonts w:hint="eastAsia" w:asciiTheme="minorEastAsia" w:hAnsiTheme="minorEastAsia" w:cstheme="minorEastAsia"/>
          <w:color w:val="333333"/>
          <w:sz w:val="28"/>
          <w:szCs w:val="28"/>
          <w:shd w:val="clear" w:fill="FFFFFF"/>
          <w:lang w:val="en-US" w:eastAsia="zh-CN"/>
        </w:rPr>
        <w:t>承担动物产品安全相关的技术检测工作；贯彻执行《种畜禽管理条例》；制定全县畜禽繁育改良规划，并组织实施；</w:t>
      </w:r>
    </w:p>
    <w:p>
      <w:pPr>
        <w:pStyle w:val="2"/>
        <w:keepNext w:val="0"/>
        <w:keepLines w:val="0"/>
        <w:widowControl/>
        <w:suppressLineNumbers w:val="0"/>
        <w:shd w:val="clear" w:fill="FFFFFF"/>
        <w:spacing w:before="180" w:beforeAutospacing="0" w:after="360" w:afterAutospacing="0" w:line="360" w:lineRule="atLeast"/>
        <w:ind w:right="0"/>
        <w:jc w:val="left"/>
        <w:rPr>
          <w:rFonts w:hint="eastAsia" w:asciiTheme="minorEastAsia" w:hAnsiTheme="minorEastAsia" w:cstheme="minorEastAsia"/>
          <w:color w:val="333333"/>
          <w:sz w:val="28"/>
          <w:szCs w:val="28"/>
          <w:shd w:val="clear" w:fill="FFFFFF"/>
          <w:lang w:val="en-US" w:eastAsia="zh-CN"/>
        </w:rPr>
      </w:pPr>
      <w:r>
        <w:rPr>
          <w:rFonts w:hint="eastAsia" w:asciiTheme="minorEastAsia" w:hAnsiTheme="minorEastAsia" w:cstheme="minorEastAsia"/>
          <w:color w:val="333333"/>
          <w:sz w:val="28"/>
          <w:szCs w:val="28"/>
          <w:shd w:val="clear" w:fill="FFFFFF"/>
          <w:lang w:val="en-US" w:eastAsia="zh-CN"/>
        </w:rPr>
        <w:t>（六）负责全县畜禽品种改良工作；</w:t>
      </w:r>
    </w:p>
    <w:p>
      <w:pPr>
        <w:pStyle w:val="2"/>
        <w:keepNext w:val="0"/>
        <w:keepLines w:val="0"/>
        <w:widowControl/>
        <w:suppressLineNumbers w:val="0"/>
        <w:shd w:val="clear" w:fill="FFFFFF"/>
        <w:spacing w:before="180" w:beforeAutospacing="0" w:after="360" w:afterAutospacing="0" w:line="36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shd w:val="clear" w:fill="FFFFFF"/>
          <w:lang w:val="en-US" w:eastAsia="zh-CN"/>
        </w:rPr>
        <w:t>（七）负责畜禽良种繁育技术推广及专业技术人员培训与指导。</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color w:val="333333"/>
          <w:sz w:val="28"/>
          <w:szCs w:val="28"/>
        </w:rPr>
        <w:t>二</w:t>
      </w:r>
      <w:r>
        <w:rPr>
          <w:rFonts w:hint="eastAsia" w:asciiTheme="minorEastAsia" w:hAnsiTheme="minorEastAsia" w:eastAsiaTheme="minorEastAsia" w:cstheme="minorEastAsia"/>
          <w:b/>
          <w:bCs/>
          <w:color w:val="333333"/>
          <w:sz w:val="28"/>
          <w:szCs w:val="28"/>
        </w:rPr>
        <w:t>、机构设置及部门决算单位构成</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color w:val="333333"/>
          <w:sz w:val="28"/>
          <w:szCs w:val="28"/>
        </w:rPr>
        <w:t>三、</w:t>
      </w:r>
      <w:r>
        <w:rPr>
          <w:rFonts w:hint="eastAsia" w:asciiTheme="minorEastAsia" w:hAnsiTheme="minorEastAsia" w:eastAsiaTheme="minorEastAsia" w:cstheme="minorEastAsia"/>
          <w:b/>
          <w:bCs/>
          <w:color w:val="333333"/>
          <w:sz w:val="28"/>
          <w:szCs w:val="28"/>
        </w:rPr>
        <w:t>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89</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72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45</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1398.4711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1475.5567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1224.1572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87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1059.9859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1398.4711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w:t>
      </w:r>
      <w:r>
        <w:rPr>
          <w:rFonts w:hint="eastAsia" w:asciiTheme="minorEastAsia" w:hAnsiTheme="minorEastAsia" w:cstheme="minorEastAsia"/>
          <w:i w:val="0"/>
          <w:caps w:val="0"/>
          <w:color w:val="373737"/>
          <w:spacing w:val="0"/>
          <w:sz w:val="28"/>
          <w:szCs w:val="28"/>
          <w:shd w:val="clear" w:fill="FFFFFF"/>
          <w:vertAlign w:val="baseline"/>
          <w:lang w:eastAsia="zh-CN"/>
        </w:rPr>
        <w:t>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1398.4711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1475.5567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924.5422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551.0145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1398.4711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1224.1572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87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1475.5567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1059.9859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1475.5567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1059.9859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1475.5567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147.3182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1275.2354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867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8825.271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924.5422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职工工资增加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209.0425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147.3182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：工资增加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无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609.2913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727.2209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：人员工资增长。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49.4636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924.5422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878.94506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45.5971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10.414</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9.3786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9.3786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0.3214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9.3786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9.3786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9.3786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45.5971</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2.2034</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59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缩减项经费支出</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w:t>
      </w:r>
      <w:r>
        <w:rPr>
          <w:rFonts w:hint="eastAsia" w:asciiTheme="minorEastAsia" w:hAnsiTheme="minorEastAsia" w:cstheme="minorEastAsia"/>
          <w:color w:val="333333"/>
          <w:sz w:val="28"/>
          <w:szCs w:val="28"/>
          <w:lang w:eastAsia="zh-CN"/>
        </w:rPr>
        <w:t>、</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332.548</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粮改饲、扶贫鹅雏养殖项目、优质白鹅基地建设项目</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332.548</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3个项目</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335BEE"/>
    <w:multiLevelType w:val="singleLevel"/>
    <w:tmpl w:val="8A335BEE"/>
    <w:lvl w:ilvl="0" w:tentative="0">
      <w:start w:val="1"/>
      <w:numFmt w:val="chineseCounting"/>
      <w:suff w:val="space"/>
      <w:lvlText w:val="第%1部分"/>
      <w:lvlJc w:val="left"/>
      <w:rPr>
        <w:rFonts w:hint="eastAsia"/>
      </w:rPr>
    </w:lvl>
  </w:abstractNum>
  <w:abstractNum w:abstractNumId="1">
    <w:nsid w:val="8FB91ECC"/>
    <w:multiLevelType w:val="singleLevel"/>
    <w:tmpl w:val="8FB91ECC"/>
    <w:lvl w:ilvl="0" w:tentative="0">
      <w:start w:val="1"/>
      <w:numFmt w:val="chineseCounting"/>
      <w:suff w:val="nothing"/>
      <w:lvlText w:val="%1、"/>
      <w:lvlJc w:val="left"/>
      <w:pPr>
        <w:ind w:left="14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6E01BC6"/>
    <w:rsid w:val="098217C0"/>
    <w:rsid w:val="0B754ABA"/>
    <w:rsid w:val="0E980DC7"/>
    <w:rsid w:val="1500675C"/>
    <w:rsid w:val="16112C39"/>
    <w:rsid w:val="179B676B"/>
    <w:rsid w:val="1A1F65C5"/>
    <w:rsid w:val="1B945690"/>
    <w:rsid w:val="1CFB22BC"/>
    <w:rsid w:val="26733136"/>
    <w:rsid w:val="2A054FEB"/>
    <w:rsid w:val="2DE7389C"/>
    <w:rsid w:val="3964752F"/>
    <w:rsid w:val="39BD398A"/>
    <w:rsid w:val="3DDC6AB6"/>
    <w:rsid w:val="3E7434E4"/>
    <w:rsid w:val="3F98625C"/>
    <w:rsid w:val="407B3C15"/>
    <w:rsid w:val="419008B3"/>
    <w:rsid w:val="4AAA5C8E"/>
    <w:rsid w:val="52E32B0A"/>
    <w:rsid w:val="53167404"/>
    <w:rsid w:val="62763A6A"/>
    <w:rsid w:val="6B5F0A9A"/>
    <w:rsid w:val="6B6E45D7"/>
    <w:rsid w:val="6BC52739"/>
    <w:rsid w:val="6BEA1DD3"/>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