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180" w:beforeAutospacing="0" w:after="360" w:afterAutospacing="0" w:line="450" w:lineRule="atLeast"/>
        <w:ind w:left="260" w:right="0"/>
        <w:jc w:val="center"/>
        <w:rPr>
          <w:rFonts w:hint="eastAsia" w:ascii="方正小标宋简体" w:hAnsi="方正小标宋简体" w:eastAsia="方正小标宋简体" w:cs="方正小标宋简体"/>
          <w:b w:val="0"/>
          <w:bCs/>
          <w:color w:val="333333"/>
          <w:sz w:val="44"/>
          <w:szCs w:val="44"/>
          <w:lang w:val="en-US" w:eastAsia="zh-CN"/>
        </w:rPr>
      </w:pPr>
      <w:r>
        <w:rPr>
          <w:rFonts w:hint="eastAsia" w:ascii="方正小标宋简体" w:hAnsi="方正小标宋简体" w:eastAsia="方正小标宋简体" w:cs="方正小标宋简体"/>
          <w:b w:val="0"/>
          <w:bCs/>
          <w:color w:val="333333"/>
          <w:sz w:val="44"/>
          <w:szCs w:val="44"/>
          <w:lang w:val="en-US" w:eastAsia="zh-CN"/>
        </w:rPr>
        <w:t>2018年度 县委宣传部决算文字说明</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黑体" w:hAnsi="黑体" w:eastAsia="黑体" w:cs="黑体"/>
          <w:b w:val="0"/>
          <w:bCs/>
          <w:color w:val="333333"/>
          <w:sz w:val="32"/>
          <w:szCs w:val="32"/>
        </w:rPr>
      </w:pPr>
      <w:r>
        <w:rPr>
          <w:rFonts w:hint="eastAsia" w:ascii="黑体" w:hAnsi="黑体" w:eastAsia="黑体" w:cs="黑体"/>
          <w:b w:val="0"/>
          <w:bCs/>
          <w:color w:val="333333"/>
          <w:sz w:val="32"/>
          <w:szCs w:val="32"/>
          <w:lang w:eastAsia="zh-CN"/>
        </w:rPr>
        <w:t>第一部分</w:t>
      </w:r>
      <w:r>
        <w:rPr>
          <w:rFonts w:hint="eastAsia" w:ascii="黑体" w:hAnsi="黑体" w:eastAsia="黑体" w:cs="黑体"/>
          <w:b w:val="0"/>
          <w:bCs/>
          <w:color w:val="333333"/>
          <w:sz w:val="32"/>
          <w:szCs w:val="32"/>
          <w:lang w:val="en-US" w:eastAsia="zh-CN"/>
        </w:rPr>
        <w:t xml:space="preserve"> </w:t>
      </w:r>
      <w:r>
        <w:rPr>
          <w:rFonts w:hint="eastAsia" w:ascii="黑体" w:hAnsi="黑体" w:eastAsia="黑体" w:cs="黑体"/>
          <w:b w:val="0"/>
          <w:bCs/>
          <w:color w:val="333333"/>
          <w:sz w:val="32"/>
          <w:szCs w:val="32"/>
        </w:rPr>
        <w:t>部门概况</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rPr>
        <w:t> </w:t>
      </w:r>
      <w:r>
        <w:rPr>
          <w:rFonts w:hint="eastAsia" w:ascii="仿宋_GB2312" w:hAnsi="仿宋_GB2312" w:eastAsia="仿宋_GB2312" w:cs="仿宋_GB2312"/>
          <w:sz w:val="32"/>
          <w:szCs w:val="32"/>
        </w:rPr>
        <w:t>宣传部是县委主管全县意识形态方面工作的综合职能部门</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rightChars="0" w:firstLine="640" w:firstLineChars="200"/>
        <w:jc w:val="both"/>
        <w:textAlignment w:val="auto"/>
        <w:rPr>
          <w:rFonts w:hint="eastAsia" w:ascii="楷体_GB2312" w:hAnsi="楷体_GB2312" w:eastAsia="楷体_GB2312" w:cs="楷体_GB2312"/>
          <w:color w:val="333333"/>
          <w:sz w:val="32"/>
          <w:szCs w:val="32"/>
        </w:rPr>
      </w:pPr>
      <w:r>
        <w:rPr>
          <w:rFonts w:hint="eastAsia" w:ascii="楷体_GB2312" w:hAnsi="楷体_GB2312" w:eastAsia="楷体_GB2312" w:cs="楷体_GB2312"/>
          <w:color w:val="333333"/>
          <w:sz w:val="32"/>
          <w:szCs w:val="32"/>
          <w:lang w:eastAsia="zh-CN"/>
        </w:rPr>
        <w:t>一、</w:t>
      </w:r>
      <w:r>
        <w:rPr>
          <w:rFonts w:hint="eastAsia" w:ascii="楷体_GB2312" w:hAnsi="楷体_GB2312" w:eastAsia="楷体_GB2312" w:cs="楷体_GB2312"/>
          <w:color w:val="333333"/>
          <w:sz w:val="32"/>
          <w:szCs w:val="32"/>
        </w:rPr>
        <w:t>主要职能</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贯彻执行中央和省市、县委有关意识形态方面的方针政策，制订全县宣传文化、精神文明建设工作的总体规划并组织实施</w:t>
      </w:r>
      <w:r>
        <w:rPr>
          <w:rFonts w:hint="eastAsia" w:ascii="仿宋_GB2312" w:hAnsi="仿宋_GB2312" w:eastAsia="仿宋_GB2312" w:cs="仿宋_GB2312"/>
          <w:color w:val="333333"/>
          <w:sz w:val="32"/>
          <w:szCs w:val="32"/>
          <w:shd w:val="clear" w:fill="FFFFFF"/>
        </w:rPr>
        <w:t>；</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rPr>
          <w:rFonts w:hint="eastAsia" w:ascii="仿宋_GB2312" w:hAnsi="仿宋_GB2312" w:eastAsia="仿宋_GB2312" w:cs="仿宋_GB2312"/>
          <w:color w:val="333333"/>
          <w:sz w:val="32"/>
          <w:szCs w:val="32"/>
          <w:shd w:val="clear" w:fill="FFFFFF"/>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负责组织党的中心任务和路线、方针、政策的宣传，国际国内形势的宣传负责指导，组织和协调对全县经济社会发展战略、重大经济政策、重大经济活动的宣传代管县文学艺术界联合会，并在政治方向和方针政策方面实施领导；会同有关部门负责对群众进行思想教育工作</w:t>
      </w:r>
      <w:r>
        <w:rPr>
          <w:rFonts w:hint="eastAsia" w:ascii="仿宋_GB2312" w:hAnsi="仿宋_GB2312" w:eastAsia="仿宋_GB2312" w:cs="仿宋_GB2312"/>
          <w:color w:val="333333"/>
          <w:sz w:val="32"/>
          <w:szCs w:val="32"/>
          <w:shd w:val="clear" w:fill="FFFFFF"/>
        </w:rPr>
        <w:t>；</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rPr>
          <w:rFonts w:hint="eastAsia" w:ascii="仿宋_GB2312" w:hAnsi="仿宋_GB2312" w:eastAsia="仿宋_GB2312" w:cs="仿宋_GB2312"/>
          <w:color w:val="333333"/>
          <w:sz w:val="32"/>
          <w:szCs w:val="32"/>
          <w:shd w:val="clear" w:fill="FFFFFF"/>
        </w:rPr>
      </w:pPr>
      <w:r>
        <w:rPr>
          <w:rFonts w:hint="eastAsia" w:ascii="仿宋_GB2312" w:hAnsi="仿宋_GB2312" w:eastAsia="仿宋_GB2312" w:cs="仿宋_GB2312"/>
          <w:color w:val="333333"/>
          <w:sz w:val="32"/>
          <w:szCs w:val="32"/>
          <w:shd w:val="clear" w:fill="FFFFFF"/>
          <w:lang w:eastAsia="zh-CN"/>
        </w:rPr>
        <w:t>（三）</w:t>
      </w:r>
      <w:r>
        <w:rPr>
          <w:rFonts w:hint="eastAsia" w:ascii="仿宋_GB2312" w:hAnsi="仿宋_GB2312" w:eastAsia="仿宋_GB2312" w:cs="仿宋_GB2312"/>
          <w:sz w:val="32"/>
          <w:szCs w:val="32"/>
        </w:rPr>
        <w:t>负责组织、指导全县各级</w:t>
      </w:r>
      <w:r>
        <w:rPr>
          <w:rFonts w:hint="eastAsia" w:ascii="仿宋_GB2312" w:hAnsi="仿宋_GB2312" w:eastAsia="仿宋_GB2312" w:cs="仿宋_GB2312"/>
          <w:sz w:val="32"/>
          <w:szCs w:val="32"/>
          <w:lang w:eastAsia="zh-CN"/>
        </w:rPr>
        <w:t>党</w:t>
      </w:r>
      <w:r>
        <w:rPr>
          <w:rFonts w:hint="eastAsia" w:ascii="仿宋_GB2312" w:hAnsi="仿宋_GB2312" w:eastAsia="仿宋_GB2312" w:cs="仿宋_GB2312"/>
          <w:sz w:val="32"/>
          <w:szCs w:val="32"/>
        </w:rPr>
        <w:t>组织理论教育、学习、宣传、研究工作；会同有关部门做好党员、干部的教育工作</w:t>
      </w:r>
      <w:r>
        <w:rPr>
          <w:rFonts w:hint="eastAsia" w:ascii="仿宋_GB2312" w:hAnsi="仿宋_GB2312" w:eastAsia="仿宋_GB2312" w:cs="仿宋_GB2312"/>
          <w:color w:val="333333"/>
          <w:sz w:val="32"/>
          <w:szCs w:val="32"/>
          <w:shd w:val="clear" w:fill="FFFFFF"/>
        </w:rPr>
        <w:t>；</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负责舆论导向，规划和宏观指导精神产品的生产和文化艺术工作，保证党的文艺方针政策的贯彻执行；代管县文学艺术界联合会把握正确舆论导向，做好县内新闻媒体、县外媒体的联系、协调，掌握研判舆情信息，为县域经济发展提供积极舆</w:t>
      </w:r>
      <w:bookmarkStart w:id="0" w:name="_GoBack"/>
      <w:bookmarkEnd w:id="0"/>
      <w:r>
        <w:rPr>
          <w:rFonts w:hint="eastAsia" w:ascii="仿宋_GB2312" w:hAnsi="仿宋_GB2312" w:eastAsia="仿宋_GB2312" w:cs="仿宋_GB2312"/>
          <w:sz w:val="32"/>
          <w:szCs w:val="32"/>
        </w:rPr>
        <w:t>论支持</w:t>
      </w:r>
      <w:r>
        <w:rPr>
          <w:rFonts w:hint="eastAsia" w:ascii="仿宋_GB2312" w:hAnsi="仿宋_GB2312" w:eastAsia="仿宋_GB2312" w:cs="仿宋_GB2312"/>
          <w:sz w:val="32"/>
          <w:szCs w:val="32"/>
          <w:lang w:eastAsia="zh-CN"/>
        </w:rPr>
        <w:t>；</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宏观指导、部署企业的思想政治工作，负责企业单位思想政治工作人员专业职务评定、考核和培训工作，指导全县职工思想政治工作的开展</w:t>
      </w:r>
      <w:r>
        <w:rPr>
          <w:rFonts w:hint="eastAsia" w:ascii="仿宋_GB2312" w:hAnsi="仿宋_GB2312" w:eastAsia="仿宋_GB2312" w:cs="仿宋_GB2312"/>
          <w:sz w:val="32"/>
          <w:szCs w:val="32"/>
          <w:lang w:eastAsia="zh-CN"/>
        </w:rPr>
        <w:t>；</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负责全县精神文明建设工作的规划和组织实施；负责组织、协调、指导和监督全县各类群众性精神文明创建活动承担全县精神文明建设指导委员会办公室的日常工作</w:t>
      </w:r>
      <w:r>
        <w:rPr>
          <w:rFonts w:hint="eastAsia" w:ascii="仿宋_GB2312" w:hAnsi="仿宋_GB2312" w:eastAsia="仿宋_GB2312" w:cs="仿宋_GB2312"/>
          <w:sz w:val="32"/>
          <w:szCs w:val="32"/>
          <w:lang w:eastAsia="zh-CN"/>
        </w:rPr>
        <w:t>；</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指导和协调、组织对外宣传工作；并协调有关部门做好外来记者到我县采访报道的管理工作；做好全县宣传制品的审批工作；检查督促全县对外宣传纪律的执行；策划组织大型外宣活动</w:t>
      </w:r>
      <w:r>
        <w:rPr>
          <w:rFonts w:hint="eastAsia" w:ascii="仿宋_GB2312" w:hAnsi="仿宋_GB2312" w:eastAsia="仿宋_GB2312" w:cs="仿宋_GB2312"/>
          <w:sz w:val="32"/>
          <w:szCs w:val="32"/>
          <w:lang w:eastAsia="zh-CN"/>
        </w:rPr>
        <w:t>；</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总结经验、反映情况，为县委决策提供依据。完成县委和上级宣传部门交办的其它工作任务。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left"/>
        <w:textAlignment w:val="auto"/>
        <w:rPr>
          <w:rFonts w:hint="eastAsia" w:ascii="黑体" w:hAnsi="黑体" w:eastAsia="黑体" w:cs="黑体"/>
          <w:sz w:val="32"/>
          <w:szCs w:val="32"/>
        </w:rPr>
      </w:pPr>
      <w:r>
        <w:rPr>
          <w:rFonts w:hint="eastAsia" w:ascii="黑体" w:hAnsi="黑体" w:eastAsia="黑体" w:cs="黑体"/>
          <w:color w:val="333333"/>
          <w:sz w:val="32"/>
          <w:szCs w:val="32"/>
        </w:rPr>
        <w:t>二、机构设置及部门决算单位构成</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绥滨县委宣传部是包括绥滨县委宣传部本部以及县文学艺术界联合会</w:t>
      </w:r>
      <w:r>
        <w:rPr>
          <w:rFonts w:hint="eastAsia" w:ascii="仿宋_GB2312" w:hAnsi="仿宋_GB2312" w:eastAsia="仿宋_GB2312" w:cs="仿宋_GB2312"/>
          <w:color w:val="333333"/>
          <w:sz w:val="32"/>
          <w:szCs w:val="32"/>
        </w:rPr>
        <w:t>为全额行政单位，内设</w:t>
      </w:r>
      <w:r>
        <w:rPr>
          <w:rFonts w:hint="eastAsia" w:ascii="仿宋_GB2312" w:hAnsi="仿宋_GB2312" w:eastAsia="仿宋_GB2312" w:cs="仿宋_GB2312"/>
          <w:color w:val="333333"/>
          <w:sz w:val="32"/>
          <w:szCs w:val="32"/>
          <w:lang w:val="en-US" w:eastAsia="zh-CN"/>
        </w:rPr>
        <w:t xml:space="preserve"> 1 </w:t>
      </w:r>
      <w:r>
        <w:rPr>
          <w:rFonts w:hint="eastAsia" w:ascii="仿宋_GB2312" w:hAnsi="仿宋_GB2312" w:eastAsia="仿宋_GB2312" w:cs="仿宋_GB2312"/>
          <w:color w:val="333333"/>
          <w:sz w:val="32"/>
          <w:szCs w:val="32"/>
        </w:rPr>
        <w:t>个内设机构，为一级预算单位。</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left"/>
        <w:textAlignment w:val="auto"/>
        <w:rPr>
          <w:rFonts w:hint="eastAsia" w:ascii="黑体" w:hAnsi="黑体" w:eastAsia="黑体" w:cs="黑体"/>
          <w:sz w:val="32"/>
          <w:szCs w:val="32"/>
        </w:rPr>
      </w:pPr>
      <w:r>
        <w:rPr>
          <w:rFonts w:hint="eastAsia" w:ascii="黑体" w:hAnsi="黑体" w:eastAsia="黑体" w:cs="黑体"/>
          <w:color w:val="333333"/>
          <w:sz w:val="32"/>
          <w:szCs w:val="32"/>
        </w:rPr>
        <w:t>三、人员构成</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32"/>
          <w:szCs w:val="32"/>
        </w:rPr>
        <w:t>行政单位编制数</w:t>
      </w:r>
      <w:r>
        <w:rPr>
          <w:rFonts w:hint="eastAsia" w:asciiTheme="minorEastAsia" w:hAnsiTheme="minorEastAsia" w:cstheme="minorEastAsia"/>
          <w:color w:val="333333"/>
          <w:sz w:val="32"/>
          <w:szCs w:val="32"/>
          <w:lang w:val="en-US" w:eastAsia="zh-CN"/>
        </w:rPr>
        <w:t>19</w:t>
      </w:r>
      <w:r>
        <w:rPr>
          <w:rFonts w:hint="eastAsia" w:asciiTheme="minorEastAsia" w:hAnsiTheme="minorEastAsia" w:eastAsiaTheme="minorEastAsia" w:cstheme="minorEastAsia"/>
          <w:color w:val="333333"/>
          <w:sz w:val="32"/>
          <w:szCs w:val="32"/>
        </w:rPr>
        <w:t>个，其中行政编制</w:t>
      </w:r>
      <w:r>
        <w:rPr>
          <w:rFonts w:hint="eastAsia" w:asciiTheme="minorEastAsia" w:hAnsiTheme="minorEastAsia" w:cstheme="minorEastAsia"/>
          <w:color w:val="333333"/>
          <w:sz w:val="32"/>
          <w:szCs w:val="32"/>
          <w:lang w:val="en-US" w:eastAsia="zh-CN"/>
        </w:rPr>
        <w:t>11个</w:t>
      </w:r>
      <w:r>
        <w:rPr>
          <w:rFonts w:hint="eastAsia" w:asciiTheme="minorEastAsia" w:hAnsiTheme="minorEastAsia" w:eastAsiaTheme="minorEastAsia" w:cstheme="minorEastAsia"/>
          <w:color w:val="333333"/>
          <w:sz w:val="32"/>
          <w:szCs w:val="32"/>
        </w:rPr>
        <w:t>，在职</w:t>
      </w:r>
      <w:r>
        <w:rPr>
          <w:rFonts w:hint="eastAsia" w:asciiTheme="minorEastAsia" w:hAnsiTheme="minorEastAsia" w:cstheme="minorEastAsia"/>
          <w:color w:val="333333"/>
          <w:sz w:val="32"/>
          <w:szCs w:val="32"/>
          <w:lang w:val="en-US" w:eastAsia="zh-CN"/>
        </w:rPr>
        <w:t>10</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eastAsiaTheme="minorEastAsia" w:cstheme="minorEastAsia"/>
          <w:color w:val="333333"/>
          <w:sz w:val="32"/>
          <w:szCs w:val="32"/>
        </w:rPr>
        <w:t>人，退休</w:t>
      </w:r>
      <w:r>
        <w:rPr>
          <w:rFonts w:hint="eastAsia" w:asciiTheme="minorEastAsia" w:hAnsiTheme="minorEastAsia" w:cstheme="minorEastAsia"/>
          <w:color w:val="333333"/>
          <w:sz w:val="32"/>
          <w:szCs w:val="32"/>
          <w:lang w:val="en-US" w:eastAsia="zh-CN"/>
        </w:rPr>
        <w:t>3</w:t>
      </w:r>
      <w:r>
        <w:rPr>
          <w:rFonts w:hint="eastAsia" w:asciiTheme="minorEastAsia" w:hAnsiTheme="minorEastAsia" w:eastAsiaTheme="minorEastAsia" w:cstheme="minorEastAsia"/>
          <w:color w:val="333333"/>
          <w:sz w:val="32"/>
          <w:szCs w:val="32"/>
        </w:rPr>
        <w:t>人，离休人；事业编制</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cstheme="minorEastAsia"/>
          <w:color w:val="333333"/>
          <w:sz w:val="32"/>
          <w:szCs w:val="32"/>
          <w:lang w:val="en-US" w:eastAsia="zh-CN"/>
        </w:rPr>
        <w:t>8</w:t>
      </w:r>
      <w:r>
        <w:rPr>
          <w:rFonts w:hint="eastAsia" w:asciiTheme="minorEastAsia" w:hAnsiTheme="minorEastAsia" w:eastAsiaTheme="minorEastAsia" w:cstheme="minorEastAsia"/>
          <w:color w:val="333333"/>
          <w:sz w:val="32"/>
          <w:szCs w:val="32"/>
        </w:rPr>
        <w:t>个，在职</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cstheme="minorEastAsia"/>
          <w:color w:val="333333"/>
          <w:sz w:val="32"/>
          <w:szCs w:val="32"/>
          <w:lang w:val="en-US" w:eastAsia="zh-CN"/>
        </w:rPr>
        <w:t>5</w:t>
      </w:r>
      <w:r>
        <w:rPr>
          <w:rFonts w:hint="eastAsia" w:asciiTheme="minorEastAsia" w:hAnsiTheme="minorEastAsia" w:eastAsiaTheme="minorEastAsia" w:cstheme="minorEastAsia"/>
          <w:color w:val="333333"/>
          <w:sz w:val="32"/>
          <w:szCs w:val="32"/>
        </w:rPr>
        <w:t>人，退休</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cstheme="minorEastAsia"/>
          <w:color w:val="333333"/>
          <w:sz w:val="32"/>
          <w:szCs w:val="32"/>
          <w:lang w:val="en-US" w:eastAsia="zh-CN"/>
        </w:rPr>
        <w:t>0</w:t>
      </w:r>
      <w:r>
        <w:rPr>
          <w:rFonts w:hint="eastAsia" w:asciiTheme="minorEastAsia" w:hAnsiTheme="minorEastAsia" w:eastAsiaTheme="minorEastAsia" w:cstheme="minorEastAsia"/>
          <w:color w:val="333333"/>
          <w:sz w:val="32"/>
          <w:szCs w:val="32"/>
        </w:rPr>
        <w:t>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left"/>
        <w:textAlignment w:val="auto"/>
        <w:rPr>
          <w:rFonts w:hint="eastAsia" w:ascii="黑体" w:hAnsi="黑体" w:eastAsia="黑体" w:cs="黑体"/>
          <w:b w:val="0"/>
          <w:bCs/>
          <w:sz w:val="32"/>
          <w:szCs w:val="32"/>
        </w:rPr>
      </w:pPr>
      <w:r>
        <w:rPr>
          <w:rFonts w:hint="eastAsia" w:ascii="黑体" w:hAnsi="黑体" w:eastAsia="黑体" w:cs="黑体"/>
          <w:b w:val="0"/>
          <w:bCs/>
          <w:color w:val="333333"/>
          <w:sz w:val="32"/>
          <w:szCs w:val="32"/>
        </w:rPr>
        <w:t>第</w:t>
      </w:r>
      <w:r>
        <w:rPr>
          <w:rFonts w:hint="eastAsia" w:ascii="黑体" w:hAnsi="黑体" w:eastAsia="黑体" w:cs="黑体"/>
          <w:b w:val="0"/>
          <w:bCs/>
          <w:color w:val="333333"/>
          <w:sz w:val="32"/>
          <w:szCs w:val="32"/>
          <w:lang w:eastAsia="zh-CN"/>
        </w:rPr>
        <w:t>二</w:t>
      </w:r>
      <w:r>
        <w:rPr>
          <w:rFonts w:hint="eastAsia" w:ascii="黑体" w:hAnsi="黑体" w:eastAsia="黑体" w:cs="黑体"/>
          <w:b w:val="0"/>
          <w:bCs/>
          <w:color w:val="333333"/>
          <w:sz w:val="32"/>
          <w:szCs w:val="32"/>
        </w:rPr>
        <w:t>部分201</w:t>
      </w:r>
      <w:r>
        <w:rPr>
          <w:rFonts w:hint="eastAsia" w:ascii="黑体" w:hAnsi="黑体" w:eastAsia="黑体" w:cs="黑体"/>
          <w:b w:val="0"/>
          <w:bCs/>
          <w:color w:val="333333"/>
          <w:sz w:val="32"/>
          <w:szCs w:val="32"/>
          <w:lang w:val="en-US" w:eastAsia="zh-CN"/>
        </w:rPr>
        <w:t>8</w:t>
      </w:r>
      <w:r>
        <w:rPr>
          <w:rFonts w:hint="eastAsia" w:ascii="黑体" w:hAnsi="黑体" w:eastAsia="黑体" w:cs="黑体"/>
          <w:b w:val="0"/>
          <w:bCs/>
          <w:color w:val="333333"/>
          <w:sz w:val="32"/>
          <w:szCs w:val="32"/>
        </w:rPr>
        <w:t>年度部门决算情况说明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left"/>
        <w:textAlignment w:val="baseline"/>
        <w:rPr>
          <w:rFonts w:hint="eastAsia" w:ascii="楷体_GB2312" w:hAnsi="楷体_GB2312" w:eastAsia="楷体_GB2312" w:cs="楷体_GB2312"/>
          <w:b w:val="0"/>
          <w:bCs/>
          <w:i w:val="0"/>
          <w:caps w:val="0"/>
          <w:color w:val="333333"/>
          <w:spacing w:val="0"/>
          <w:sz w:val="32"/>
          <w:szCs w:val="32"/>
        </w:rPr>
      </w:pPr>
      <w:r>
        <w:rPr>
          <w:rStyle w:val="6"/>
          <w:rFonts w:hint="eastAsia" w:ascii="楷体_GB2312" w:hAnsi="楷体_GB2312" w:eastAsia="楷体_GB2312" w:cs="楷体_GB2312"/>
          <w:b w:val="0"/>
          <w:bCs/>
          <w:i w:val="0"/>
          <w:caps w:val="0"/>
          <w:color w:val="373737"/>
          <w:spacing w:val="0"/>
          <w:sz w:val="32"/>
          <w:szCs w:val="32"/>
          <w:shd w:val="clear" w:fill="FFFFFF"/>
          <w:vertAlign w:val="baseline"/>
        </w:rPr>
        <w:t>一、201</w:t>
      </w:r>
      <w:r>
        <w:rPr>
          <w:rStyle w:val="6"/>
          <w:rFonts w:hint="eastAsia" w:ascii="楷体_GB2312" w:hAnsi="楷体_GB2312" w:eastAsia="楷体_GB2312" w:cs="楷体_GB2312"/>
          <w:b w:val="0"/>
          <w:bCs/>
          <w:i w:val="0"/>
          <w:caps w:val="0"/>
          <w:color w:val="373737"/>
          <w:spacing w:val="0"/>
          <w:sz w:val="32"/>
          <w:szCs w:val="32"/>
          <w:shd w:val="clear" w:fill="FFFFFF"/>
          <w:vertAlign w:val="baseline"/>
          <w:lang w:val="en-US" w:eastAsia="zh-CN"/>
        </w:rPr>
        <w:t>8</w:t>
      </w:r>
      <w:r>
        <w:rPr>
          <w:rStyle w:val="6"/>
          <w:rFonts w:hint="eastAsia" w:ascii="楷体_GB2312" w:hAnsi="楷体_GB2312" w:eastAsia="楷体_GB2312" w:cs="楷体_GB2312"/>
          <w:b w:val="0"/>
          <w:bCs/>
          <w:i w:val="0"/>
          <w:caps w:val="0"/>
          <w:color w:val="373737"/>
          <w:spacing w:val="0"/>
          <w:sz w:val="32"/>
          <w:szCs w:val="32"/>
          <w:shd w:val="clear" w:fill="FFFFFF"/>
          <w:vertAlign w:val="baseline"/>
        </w:rPr>
        <w:t>年度收入支出决算总体情况说明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520.730316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517.763646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新增独立核算单位</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520.730316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520.730316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517.763646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112.826646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21.79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404.937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78.21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520.730316</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新增独立核算单位</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517.763646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新增独立核算单位</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517.763646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新增独立核算单位</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517.763646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6"/>
          <w:rFonts w:hint="eastAsia" w:asciiTheme="minorEastAsia" w:hAnsiTheme="minorEastAsia" w:cstheme="minorEastAsia"/>
          <w:b/>
          <w:i w:val="0"/>
          <w:caps w:val="0"/>
          <w:color w:val="373737"/>
          <w:spacing w:val="0"/>
          <w:sz w:val="28"/>
          <w:szCs w:val="28"/>
          <w:shd w:val="clear" w:fill="FFFFFF"/>
          <w:vertAlign w:val="baseline"/>
          <w:lang w:eastAsia="zh-CN"/>
        </w:rPr>
        <w:t>一般公共服务</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158.558454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30.62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b/>
          <w:bCs/>
          <w:i w:val="0"/>
          <w:caps w:val="0"/>
          <w:color w:val="373737"/>
          <w:spacing w:val="0"/>
          <w:sz w:val="28"/>
          <w:szCs w:val="28"/>
          <w:shd w:val="clear" w:fill="FFFFFF"/>
          <w:vertAlign w:val="baseline"/>
          <w:lang w:eastAsia="zh-CN"/>
        </w:rPr>
        <w:t>文化体育与传媒</w:t>
      </w:r>
      <w:r>
        <w:rPr>
          <w:rFonts w:hint="eastAsia" w:asciiTheme="minorEastAsia" w:hAnsiTheme="minorEastAsia" w:cstheme="minorEastAsia"/>
          <w:i w:val="0"/>
          <w:caps w:val="0"/>
          <w:color w:val="373737"/>
          <w:spacing w:val="0"/>
          <w:sz w:val="28"/>
          <w:szCs w:val="28"/>
          <w:shd w:val="clear" w:fill="FFFFFF"/>
          <w:vertAlign w:val="baseline"/>
          <w:lang w:eastAsia="zh-CN"/>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336万元，占64.89%；</w:t>
      </w:r>
      <w:r>
        <w:rPr>
          <w:rFonts w:hint="eastAsia" w:asciiTheme="minorEastAsia" w:hAnsiTheme="minorEastAsia" w:cstheme="minorEastAsia"/>
          <w:b/>
          <w:bCs/>
          <w:i w:val="0"/>
          <w:caps w:val="0"/>
          <w:color w:val="373737"/>
          <w:spacing w:val="0"/>
          <w:sz w:val="28"/>
          <w:szCs w:val="28"/>
          <w:shd w:val="clear" w:fill="FFFFFF"/>
          <w:vertAlign w:val="baseline"/>
          <w:lang w:val="en-US" w:eastAsia="zh-CN"/>
        </w:rPr>
        <w:t>社会保障和就业</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支出14.099382万元，占2.72%</w:t>
      </w:r>
      <w:r>
        <w:rPr>
          <w:rFonts w:hint="eastAsia" w:asciiTheme="minorEastAsia" w:hAnsiTheme="minorEastAsia" w:cstheme="minorEastAsia"/>
          <w:b/>
          <w:bCs/>
          <w:i w:val="0"/>
          <w:caps w:val="0"/>
          <w:color w:val="373737"/>
          <w:spacing w:val="0"/>
          <w:sz w:val="28"/>
          <w:szCs w:val="28"/>
          <w:shd w:val="clear" w:fill="FFFFFF"/>
          <w:vertAlign w:val="baseline"/>
          <w:lang w:val="en-US" w:eastAsia="zh-CN"/>
        </w:rPr>
        <w:t>；</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3.42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0.66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5.68581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1.098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6"/>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w:t>
      </w:r>
      <w:r>
        <w:rPr>
          <w:rFonts w:hint="eastAsia" w:asciiTheme="minorEastAsia" w:hAnsiTheme="minorEastAsia" w:cstheme="minorEastAsia"/>
          <w:i w:val="0"/>
          <w:caps w:val="0"/>
          <w:color w:val="373737"/>
          <w:spacing w:val="0"/>
          <w:sz w:val="28"/>
          <w:szCs w:val="28"/>
          <w:shd w:val="clear" w:fill="FFFFFF"/>
          <w:vertAlign w:val="baseline"/>
          <w:lang w:eastAsia="zh-CN"/>
        </w:rPr>
        <w:t>为新增独立核算单位，无预算数据</w:t>
      </w:r>
      <w:r>
        <w:rPr>
          <w:rFonts w:hint="eastAsia" w:asciiTheme="minorEastAsia" w:hAnsiTheme="minorEastAsia" w:eastAsiaTheme="minorEastAsia" w:cstheme="minorEastAsia"/>
          <w:i w:val="0"/>
          <w:caps w:val="0"/>
          <w:color w:val="373737"/>
          <w:spacing w:val="0"/>
          <w:sz w:val="28"/>
          <w:szCs w:val="28"/>
          <w:shd w:val="clear" w:fill="FFFFFF"/>
          <w:vertAlign w:val="baseline"/>
        </w:rPr>
        <w:t>，支出决算为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517.763646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万元。决算数大的主要原因：一是</w:t>
      </w:r>
      <w:r>
        <w:rPr>
          <w:rFonts w:hint="eastAsia" w:asciiTheme="minorEastAsia" w:hAnsiTheme="minorEastAsia" w:cstheme="minorEastAsia"/>
          <w:i w:val="0"/>
          <w:caps w:val="0"/>
          <w:color w:val="373737"/>
          <w:spacing w:val="0"/>
          <w:sz w:val="28"/>
          <w:szCs w:val="28"/>
          <w:shd w:val="clear" w:fill="FFFFFF"/>
          <w:vertAlign w:val="baseline"/>
          <w:lang w:eastAsia="zh-CN"/>
        </w:rPr>
        <w:t>新增</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年在职、离退休职工工资和由于工资的增长相应的医疗保险、住房公积金、住房提租补贴相应的缴交比例也随之增加，所以决算数大；二是201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w:t>
      </w:r>
      <w:r>
        <w:rPr>
          <w:rFonts w:hint="eastAsia" w:asciiTheme="minorEastAsia" w:hAnsiTheme="minorEastAsia" w:cstheme="minorEastAsia"/>
          <w:i w:val="0"/>
          <w:caps w:val="0"/>
          <w:color w:val="373737"/>
          <w:spacing w:val="0"/>
          <w:sz w:val="28"/>
          <w:szCs w:val="28"/>
          <w:shd w:val="clear" w:fill="FFFFFF"/>
          <w:vertAlign w:val="baseline"/>
          <w:lang w:eastAsia="zh-CN"/>
        </w:rPr>
        <w:t>村级综合文化服务中心建设项目</w:t>
      </w:r>
      <w:r>
        <w:rPr>
          <w:rFonts w:hint="eastAsia" w:asciiTheme="minorEastAsia" w:hAnsiTheme="minorEastAsia" w:eastAsiaTheme="minorEastAsia" w:cstheme="minorEastAsia"/>
          <w:i w:val="0"/>
          <w:caps w:val="0"/>
          <w:color w:val="373737"/>
          <w:spacing w:val="0"/>
          <w:sz w:val="28"/>
          <w:szCs w:val="28"/>
          <w:shd w:val="clear" w:fill="FFFFFF"/>
          <w:vertAlign w:val="baseline"/>
        </w:rPr>
        <w:t>资金。其中：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w:t>
      </w:r>
      <w:r>
        <w:rPr>
          <w:rFonts w:hint="eastAsia" w:asciiTheme="minorEastAsia" w:hAnsiTheme="minorEastAsia" w:cstheme="minorEastAsia"/>
          <w:i w:val="0"/>
          <w:caps w:val="0"/>
          <w:color w:val="373737"/>
          <w:spacing w:val="0"/>
          <w:sz w:val="28"/>
          <w:szCs w:val="28"/>
          <w:shd w:val="clear" w:fill="FFFFFF"/>
          <w:vertAlign w:val="baseline"/>
          <w:lang w:eastAsia="zh-CN"/>
        </w:rPr>
        <w:t>为新增独立核算单位，无预算数据</w:t>
      </w:r>
      <w:r>
        <w:rPr>
          <w:rFonts w:hint="eastAsia" w:asciiTheme="minorEastAsia" w:hAnsiTheme="minorEastAsia" w:eastAsiaTheme="minorEastAsia" w:cstheme="minorEastAsia"/>
          <w:i w:val="0"/>
          <w:caps w:val="0"/>
          <w:color w:val="373737"/>
          <w:spacing w:val="0"/>
          <w:sz w:val="28"/>
          <w:szCs w:val="28"/>
          <w:shd w:val="clear" w:fill="FFFFFF"/>
          <w:vertAlign w:val="baseline"/>
        </w:rPr>
        <w:t>，支出决算为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14.099382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w:t>
      </w:r>
      <w:r>
        <w:rPr>
          <w:rFonts w:hint="eastAsia" w:asciiTheme="minorEastAsia" w:hAnsiTheme="minorEastAsia" w:cstheme="minorEastAsia"/>
          <w:i w:val="0"/>
          <w:caps w:val="0"/>
          <w:color w:val="373737"/>
          <w:spacing w:val="0"/>
          <w:sz w:val="28"/>
          <w:szCs w:val="28"/>
          <w:shd w:val="clear" w:fill="FFFFFF"/>
          <w:vertAlign w:val="baseline"/>
          <w:lang w:eastAsia="zh-CN"/>
        </w:rPr>
        <w:t>为新增独立核算单位，无预算数据</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w:t>
      </w:r>
      <w:r>
        <w:rPr>
          <w:rFonts w:hint="eastAsia" w:asciiTheme="minorEastAsia" w:hAnsiTheme="minorEastAsia" w:cstheme="minorEastAsia"/>
          <w:i w:val="0"/>
          <w:caps w:val="0"/>
          <w:color w:val="373737"/>
          <w:spacing w:val="0"/>
          <w:sz w:val="28"/>
          <w:szCs w:val="28"/>
          <w:shd w:val="clear" w:fill="FFFFFF"/>
          <w:vertAlign w:val="baseline"/>
          <w:lang w:eastAsia="zh-CN"/>
        </w:rPr>
        <w:t>为新增独立核算单位，无预算数据</w:t>
      </w:r>
      <w:r>
        <w:rPr>
          <w:rFonts w:hint="eastAsia" w:asciiTheme="minorEastAsia" w:hAnsiTheme="minorEastAsia" w:eastAsiaTheme="minorEastAsia" w:cstheme="minorEastAsia"/>
          <w:i w:val="0"/>
          <w:caps w:val="0"/>
          <w:color w:val="373737"/>
          <w:spacing w:val="0"/>
          <w:sz w:val="28"/>
          <w:szCs w:val="28"/>
          <w:shd w:val="clear" w:fill="FFFFFF"/>
          <w:vertAlign w:val="baseline"/>
        </w:rPr>
        <w:t>，支出决算为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3.42</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w:t>
      </w:r>
      <w:r>
        <w:rPr>
          <w:rFonts w:hint="eastAsia" w:asciiTheme="minorEastAsia" w:hAnsiTheme="minorEastAsia" w:cstheme="minorEastAsia"/>
          <w:i w:val="0"/>
          <w:caps w:val="0"/>
          <w:color w:val="373737"/>
          <w:spacing w:val="0"/>
          <w:sz w:val="28"/>
          <w:szCs w:val="28"/>
          <w:shd w:val="clear" w:fill="FFFFFF"/>
          <w:vertAlign w:val="baseline"/>
          <w:lang w:eastAsia="zh-CN"/>
        </w:rPr>
        <w:t>为新增独立核算单位，无预算数据</w:t>
      </w:r>
      <w:r>
        <w:rPr>
          <w:rFonts w:hint="eastAsia" w:asciiTheme="minorEastAsia" w:hAnsiTheme="minorEastAsia" w:eastAsiaTheme="minorEastAsia" w:cstheme="minorEastAsia"/>
          <w:i w:val="0"/>
          <w:caps w:val="0"/>
          <w:color w:val="373737"/>
          <w:spacing w:val="0"/>
          <w:sz w:val="28"/>
          <w:szCs w:val="28"/>
          <w:shd w:val="clear" w:fill="FFFFFF"/>
          <w:vertAlign w:val="baseline"/>
        </w:rPr>
        <w:t>，支出决算为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5.68581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cstheme="minorEastAsia"/>
          <w:b/>
          <w:bCs/>
          <w:i w:val="0"/>
          <w:caps w:val="0"/>
          <w:color w:val="373737"/>
          <w:spacing w:val="0"/>
          <w:sz w:val="28"/>
          <w:szCs w:val="28"/>
          <w:shd w:val="clear" w:fill="FFFFFF"/>
          <w:vertAlign w:val="baseline"/>
          <w:lang w:val="en-US" w:eastAsia="zh-CN"/>
        </w:rPr>
      </w:pPr>
      <w:r>
        <w:rPr>
          <w:rFonts w:hint="eastAsia" w:asciiTheme="minorEastAsia" w:hAnsiTheme="minorEastAsia" w:cstheme="minorEastAsia"/>
          <w:b/>
          <w:bCs/>
          <w:i w:val="0"/>
          <w:caps w:val="0"/>
          <w:color w:val="373737"/>
          <w:spacing w:val="0"/>
          <w:sz w:val="28"/>
          <w:szCs w:val="28"/>
          <w:shd w:val="clear" w:fill="FFFFFF"/>
          <w:vertAlign w:val="baseline"/>
          <w:lang w:val="en-US" w:eastAsia="zh-CN"/>
        </w:rPr>
        <w:t>项目建设资金。</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文化体育与传媒（村级综合文化服务中心建设）支出336万元，是决算支出较大的主要原因。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112.826646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102.563876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i w:val="0"/>
          <w:caps w:val="0"/>
          <w:color w:val="373737"/>
          <w:spacing w:val="0"/>
          <w:sz w:val="28"/>
          <w:szCs w:val="28"/>
          <w:shd w:val="clear" w:fill="FFFFFF"/>
          <w:vertAlign w:val="baseline"/>
          <w:lang w:val="en-US" w:eastAsia="zh-CN"/>
        </w:rPr>
        <w:t>10.26277</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元，主要包括：办公费、印刷费、水费、电费、邮电费、取暖费、物业费、差旅费、维修（护）费、专用材料费、劳务费、工会经费、福利费、其他交通费用、办公设备购置。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cstheme="minorEastAsia"/>
          <w:i w:val="0"/>
          <w:caps w:val="0"/>
          <w:color w:val="373737"/>
          <w:spacing w:val="0"/>
          <w:sz w:val="28"/>
          <w:szCs w:val="28"/>
          <w:shd w:val="clear" w:fill="FFFFFF"/>
          <w:vertAlign w:val="baseline"/>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cstheme="minorEastAsia"/>
          <w:i w:val="0"/>
          <w:caps w:val="0"/>
          <w:color w:val="373737"/>
          <w:spacing w:val="0"/>
          <w:sz w:val="28"/>
          <w:szCs w:val="28"/>
          <w:shd w:val="clear" w:fill="FFFFFF"/>
          <w:vertAlign w:val="baseline"/>
          <w:lang w:eastAsia="zh-CN"/>
        </w:rPr>
        <w:t>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baseline"/>
        <w:rPr>
          <w:rFonts w:hint="eastAsia" w:asciiTheme="minorEastAsia" w:hAnsi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cstheme="minorEastAsia"/>
          <w:i w:val="0"/>
          <w:caps w:val="0"/>
          <w:color w:val="373737"/>
          <w:spacing w:val="0"/>
          <w:sz w:val="28"/>
          <w:szCs w:val="28"/>
          <w:shd w:val="clear" w:fill="FFFFFF"/>
          <w:vertAlign w:val="baseline"/>
          <w:lang w:eastAsia="zh-CN"/>
        </w:rPr>
        <w:t>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无</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年度机关运行经费支出</w:t>
      </w:r>
      <w:r>
        <w:rPr>
          <w:rFonts w:hint="eastAsia" w:asciiTheme="minorEastAsia" w:hAnsiTheme="minorEastAsia" w:cstheme="minorEastAsia"/>
          <w:color w:val="333333"/>
          <w:sz w:val="28"/>
          <w:szCs w:val="28"/>
          <w:lang w:val="en-US" w:eastAsia="zh-CN"/>
        </w:rPr>
        <w:t>98.937</w:t>
      </w:r>
      <w:r>
        <w:rPr>
          <w:rFonts w:hint="eastAsia" w:asciiTheme="minorEastAsia" w:hAnsiTheme="minorEastAsia" w:eastAsiaTheme="minorEastAsia" w:cstheme="minorEastAsia"/>
          <w:color w:val="333333"/>
          <w:sz w:val="28"/>
          <w:szCs w:val="28"/>
        </w:rPr>
        <w:t>万元（与部门决算中行政单位和参照公务员法管理事业单位一般公共预算财政拨款基本支出中公用经费之和保持一致）。主要原因是：</w:t>
      </w:r>
      <w:r>
        <w:rPr>
          <w:rFonts w:hint="eastAsia" w:asciiTheme="minorEastAsia" w:hAnsiTheme="minorEastAsia" w:cstheme="minorEastAsia"/>
          <w:color w:val="333333"/>
          <w:sz w:val="28"/>
          <w:szCs w:val="28"/>
          <w:lang w:eastAsia="zh-CN"/>
        </w:rPr>
        <w:t>办公费</w:t>
      </w:r>
      <w:r>
        <w:rPr>
          <w:rFonts w:hint="eastAsia" w:asciiTheme="minorEastAsia" w:hAnsiTheme="minorEastAsia" w:cstheme="minorEastAsia"/>
          <w:color w:val="333333"/>
          <w:sz w:val="28"/>
          <w:szCs w:val="28"/>
          <w:lang w:val="en-US" w:eastAsia="zh-CN"/>
        </w:rPr>
        <w:t>7.5万元；印刷费48.017万元；差旅费3.42万元；维修（护）费23.5万元；劳务费16.5万元</w:t>
      </w:r>
      <w:r>
        <w:rPr>
          <w:rFonts w:hint="eastAsia" w:asciiTheme="minorEastAsia" w:hAnsiTheme="minorEastAsia" w:eastAsiaTheme="minorEastAsia" w:cstheme="minorEastAsia"/>
          <w:color w:val="333333"/>
          <w:sz w:val="28"/>
          <w:szCs w:val="28"/>
        </w:rPr>
        <w:t>。</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jc w:val="left"/>
        <w:rPr>
          <w:rFonts w:hint="eastAsia" w:asciiTheme="minorEastAsia" w:hAnsiTheme="minorEastAsia" w:cstheme="minorEastAsia"/>
          <w:color w:val="333333"/>
          <w:sz w:val="28"/>
          <w:szCs w:val="28"/>
          <w:lang w:eastAsia="zh-CN"/>
        </w:rPr>
      </w:pPr>
      <w:r>
        <w:rPr>
          <w:rFonts w:hint="eastAsia" w:asciiTheme="minorEastAsia" w:hAnsiTheme="minorEastAsia" w:cstheme="minorEastAsia"/>
          <w:color w:val="333333"/>
          <w:sz w:val="28"/>
          <w:szCs w:val="28"/>
          <w:lang w:eastAsia="zh-CN"/>
        </w:rPr>
        <w:t>无</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cstheme="minorEastAsia"/>
          <w:color w:val="333333"/>
          <w:sz w:val="28"/>
          <w:szCs w:val="28"/>
          <w:lang w:val="en-US" w:eastAsia="zh-CN"/>
        </w:rPr>
        <w:t>336</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cstheme="minorEastAsia"/>
          <w:color w:val="333333"/>
          <w:sz w:val="28"/>
          <w:szCs w:val="28"/>
          <w:lang w:eastAsia="zh-CN"/>
        </w:rPr>
        <w:t>村级综合文化服务中心</w:t>
      </w:r>
      <w:r>
        <w:rPr>
          <w:rFonts w:hint="eastAsia" w:asciiTheme="minorEastAsia" w:hAnsiTheme="minorEastAsia" w:eastAsiaTheme="minorEastAsia" w:cstheme="minorEastAsia"/>
          <w:color w:val="333333"/>
          <w:sz w:val="28"/>
          <w:szCs w:val="28"/>
        </w:rPr>
        <w:t xml:space="preserve">”等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 xml:space="preserve">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336</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240" w:lineRule="auto"/>
        <w:ind w:left="0" w:right="0"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6C290F"/>
    <w:multiLevelType w:val="singleLevel"/>
    <w:tmpl w:val="176C290F"/>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yNjdiZjAwOGNjYmMxN2VhZDRiNzQwOTJiYWU1MzQifQ=="/>
  </w:docVars>
  <w:rsids>
    <w:rsidRoot w:val="2DE7389C"/>
    <w:rsid w:val="01340F75"/>
    <w:rsid w:val="03FE7F0E"/>
    <w:rsid w:val="098217C0"/>
    <w:rsid w:val="0E980DC7"/>
    <w:rsid w:val="179B676B"/>
    <w:rsid w:val="1CFB22BC"/>
    <w:rsid w:val="2A054FEB"/>
    <w:rsid w:val="2DE7389C"/>
    <w:rsid w:val="3D667E42"/>
    <w:rsid w:val="3DDC6AB6"/>
    <w:rsid w:val="419008B3"/>
    <w:rsid w:val="62763A6A"/>
    <w:rsid w:val="6B6E45D7"/>
    <w:rsid w:val="6BC52739"/>
    <w:rsid w:val="6BF0591A"/>
    <w:rsid w:val="763C3B43"/>
    <w:rsid w:val="768870B2"/>
    <w:rsid w:val="7BC22F3A"/>
    <w:rsid w:val="7C0818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260"/>
    </w:pPr>
    <w:rPr>
      <w:rFonts w:ascii="宋体" w:hAnsi="宋体" w:eastAsia="宋体" w:cs="宋体"/>
      <w:sz w:val="32"/>
      <w:szCs w:val="32"/>
      <w:lang w:val="zh-CN" w:eastAsia="zh-CN" w:bidi="zh-CN"/>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333333"/>
      <w:sz w:val="18"/>
      <w:szCs w:val="18"/>
      <w:u w:val="none"/>
    </w:rPr>
  </w:style>
  <w:style w:type="character" w:styleId="8">
    <w:name w:val="Emphasis"/>
    <w:basedOn w:val="5"/>
    <w:qFormat/>
    <w:uiPriority w:val="0"/>
    <w:rPr>
      <w:i/>
    </w:rPr>
  </w:style>
  <w:style w:type="character" w:styleId="9">
    <w:name w:val="Hyperlink"/>
    <w:basedOn w:val="5"/>
    <w:qFormat/>
    <w:uiPriority w:val="0"/>
    <w:rPr>
      <w:color w:val="333333"/>
      <w:sz w:val="18"/>
      <w:szCs w:val="18"/>
      <w:u w:val="none"/>
    </w:rPr>
  </w:style>
  <w:style w:type="character" w:customStyle="1" w:styleId="10">
    <w:name w:val="laiy"/>
    <w:basedOn w:val="5"/>
    <w:qFormat/>
    <w:uiPriority w:val="0"/>
  </w:style>
  <w:style w:type="character" w:customStyle="1" w:styleId="11">
    <w:name w:val="zuoz"/>
    <w:basedOn w:val="5"/>
    <w:qFormat/>
    <w:uiPriority w:val="0"/>
  </w:style>
  <w:style w:type="character" w:customStyle="1" w:styleId="12">
    <w:name w:val="update"/>
    <w:basedOn w:val="5"/>
    <w:qFormat/>
    <w:uiPriority w:val="0"/>
  </w:style>
  <w:style w:type="character" w:customStyle="1" w:styleId="13">
    <w:name w:val="hot1"/>
    <w:basedOn w:val="5"/>
    <w:qFormat/>
    <w:uiPriority w:val="0"/>
  </w:style>
  <w:style w:type="character" w:customStyle="1" w:styleId="14">
    <w:name w:val="td12"/>
    <w:basedOn w:val="5"/>
    <w:qFormat/>
    <w:uiPriority w:val="0"/>
    <w:rPr>
      <w:rFonts w:ascii="Arial" w:hAnsi="Arial" w:cs="Arial"/>
      <w:color w:val="FFFFFF"/>
      <w:sz w:val="16"/>
      <w:szCs w:val="16"/>
    </w:rPr>
  </w:style>
  <w:style w:type="character" w:customStyle="1" w:styleId="15">
    <w:name w:val="td22"/>
    <w:basedOn w:val="5"/>
    <w:qFormat/>
    <w:uiPriority w:val="0"/>
  </w:style>
  <w:style w:type="character" w:customStyle="1" w:styleId="16">
    <w:name w:val="td32"/>
    <w:basedOn w:val="5"/>
    <w:uiPriority w:val="0"/>
  </w:style>
  <w:style w:type="character" w:customStyle="1" w:styleId="17">
    <w:name w:val="home"/>
    <w:basedOn w:val="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3234</Words>
  <Characters>3565</Characters>
  <Lines>0</Lines>
  <Paragraphs>0</Paragraphs>
  <TotalTime>3</TotalTime>
  <ScaleCrop>false</ScaleCrop>
  <LinksUpToDate>false</LinksUpToDate>
  <CharactersWithSpaces>3608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Man Girl</cp:lastModifiedBy>
  <dcterms:modified xsi:type="dcterms:W3CDTF">2024-06-21T06:13:50Z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F36104027C8146E0902C96CA8FB07F68_12</vt:lpwstr>
  </property>
</Properties>
</file>