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宋体" w:hAnsi="宋体" w:eastAsia="宋体" w:cs="宋体"/>
          <w:b/>
          <w:color w:val="333333"/>
          <w:sz w:val="21"/>
          <w:szCs w:val="21"/>
        </w:rPr>
        <w:t xml:space="preserve">                </w:t>
      </w:r>
      <w:r>
        <w:rPr>
          <w:rFonts w:hint="eastAsia" w:asciiTheme="minorEastAsia" w:hAnsiTheme="minorEastAsia" w:cstheme="minorEastAsia"/>
          <w:b/>
          <w:color w:val="333333"/>
          <w:sz w:val="28"/>
          <w:szCs w:val="28"/>
        </w:rPr>
        <w:t xml:space="preserve">        2018年度 绥公证处决算文字说明</w:t>
      </w:r>
    </w:p>
    <w:p>
      <w:pPr>
        <w:pStyle w:val="2"/>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2"/>
        <w:widowControl/>
        <w:spacing w:before="180" w:beforeAutospacing="0" w:after="360" w:afterAutospacing="0" w:line="450" w:lineRule="atLeast"/>
        <w:ind w:left="260" w:firstLine="562" w:firstLineChars="20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r>
        <w:rPr>
          <w:rFonts w:hint="eastAsia" w:asciiTheme="minorEastAsia" w:hAnsiTheme="minorEastAsia" w:cstheme="minorEastAsia"/>
          <w:color w:val="333333"/>
          <w:sz w:val="28"/>
          <w:szCs w:val="28"/>
        </w:rPr>
        <w:t> </w:t>
      </w:r>
    </w:p>
    <w:p>
      <w:pPr>
        <w:pStyle w:val="2"/>
        <w:widowControl/>
        <w:spacing w:before="180" w:beforeAutospacing="0" w:after="360" w:afterAutospacing="0" w:line="45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rPr>
        <w:t>    一、主要职能</w:t>
      </w:r>
    </w:p>
    <w:p>
      <w:pPr>
        <w:pStyle w:val="2"/>
        <w:widowControl/>
        <w:shd w:val="clear" w:color="auto" w:fill="FFFFFF"/>
        <w:spacing w:before="180" w:after="360" w:line="360" w:lineRule="atLeast"/>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    1、根据当事人的申请，依法、依规办理各类公证事项，出具公证文书，代表国家行使公证权。</w:t>
      </w:r>
    </w:p>
    <w:p>
      <w:pPr>
        <w:pStyle w:val="2"/>
        <w:widowControl/>
        <w:shd w:val="clear" w:color="auto" w:fill="FFFFFF"/>
        <w:spacing w:before="180" w:after="360" w:line="360" w:lineRule="atLeast"/>
        <w:ind w:firstLine="560" w:firstLineChars="200"/>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2、向社会提供法律服务。调解公证事项的纠纷，提出公证建议，代办与公证相关的法律手续等。</w:t>
      </w:r>
    </w:p>
    <w:p>
      <w:pPr>
        <w:pStyle w:val="2"/>
        <w:widowControl/>
        <w:shd w:val="clear" w:color="auto" w:fill="FFFFFF"/>
        <w:spacing w:before="180" w:after="360" w:line="360" w:lineRule="atLeast"/>
        <w:ind w:firstLine="560" w:firstLineChars="200"/>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3、通过公证活动，宣传公证法律知识，教育公民、法人和其他组织遵守法律，维护社会主义法制秩序。</w:t>
      </w:r>
    </w:p>
    <w:p>
      <w:pPr>
        <w:pStyle w:val="2"/>
        <w:widowControl/>
        <w:shd w:val="clear" w:color="auto" w:fill="FFFFFF"/>
        <w:spacing w:before="180" w:beforeAutospacing="0" w:after="360" w:afterAutospacing="0" w:line="360" w:lineRule="atLeast"/>
        <w:ind w:firstLine="700" w:firstLineChars="250"/>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4、对符合法律援助条件的对象提供公证法律援助。</w:t>
      </w:r>
    </w:p>
    <w:p>
      <w:pPr>
        <w:pStyle w:val="2"/>
        <w:widowControl/>
        <w:shd w:val="clear" w:color="auto" w:fill="FFFFFF"/>
        <w:spacing w:before="180" w:beforeAutospacing="0" w:after="360" w:afterAutospacing="0" w:line="360" w:lineRule="atLeast"/>
        <w:ind w:firstLine="560" w:firstLineChars="200"/>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2"/>
        <w:widowControl/>
        <w:spacing w:before="180" w:beforeAutospacing="0" w:after="360" w:afterAutospacing="0" w:line="450" w:lineRule="atLeast"/>
        <w:ind w:firstLine="560" w:firstLineChars="200"/>
        <w:rPr>
          <w:rFonts w:asciiTheme="minorEastAsia" w:hAnsiTheme="minorEastAsia" w:cstheme="minorEastAsia"/>
          <w:sz w:val="28"/>
          <w:szCs w:val="28"/>
        </w:rPr>
      </w:pPr>
      <w:r>
        <w:rPr>
          <w:rFonts w:hint="eastAsia" w:asciiTheme="minorEastAsia" w:hAnsiTheme="minorEastAsia" w:cstheme="minorEastAsia"/>
          <w:color w:val="333333"/>
          <w:sz w:val="28"/>
          <w:szCs w:val="28"/>
        </w:rPr>
        <w:t>绥滨县公证处为财政补助事业单位，内设  三个内设机构，为一级预算单位。</w:t>
      </w:r>
    </w:p>
    <w:p>
      <w:pPr>
        <w:pStyle w:val="2"/>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2"/>
        <w:widowControl/>
        <w:spacing w:before="180" w:beforeAutospacing="0" w:after="360" w:afterAutospacing="0" w:line="450" w:lineRule="atLeast"/>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事业编制 3个，在职 3人，退休0 人。</w:t>
      </w:r>
    </w:p>
    <w:p>
      <w:pPr>
        <w:pStyle w:val="2"/>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2"/>
        <w:widowControl/>
        <w:spacing w:before="492" w:beforeAutospacing="0" w:after="672" w:afterAutospacing="0" w:line="450" w:lineRule="atLeast"/>
        <w:ind w:left="262" w:firstLine="562" w:firstLineChars="200"/>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2"/>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rPr>
        <w:t>一、2018年度收入支出决算总体情况说明</w:t>
      </w:r>
    </w:p>
    <w:p>
      <w:pPr>
        <w:pStyle w:val="2"/>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w:t>
      </w:r>
      <w:r>
        <w:rPr>
          <w:rFonts w:hint="eastAsia" w:asciiTheme="minorEastAsia" w:hAnsiTheme="minorEastAsia" w:cstheme="minorEastAsia"/>
          <w:color w:val="373737"/>
          <w:sz w:val="28"/>
          <w:szCs w:val="28"/>
          <w:shd w:val="clear" w:color="auto" w:fill="FFFFFF"/>
          <w:lang w:val="en-US" w:eastAsia="zh-CN"/>
        </w:rPr>
        <w:t>25.8</w:t>
      </w:r>
      <w:r>
        <w:rPr>
          <w:rFonts w:hint="eastAsia" w:asciiTheme="minorEastAsia" w:hAnsiTheme="minorEastAsia" w:cstheme="minorEastAsia"/>
          <w:color w:val="373737"/>
          <w:sz w:val="28"/>
          <w:szCs w:val="28"/>
          <w:shd w:val="clear" w:color="auto" w:fill="FFFFFF"/>
        </w:rPr>
        <w:t>万元，支出总计25.8万元，与上年相比，收入总计增加1万元，增长1 %；支出总计增加1万元，增长1 %。</w:t>
      </w:r>
    </w:p>
    <w:p>
      <w:pPr>
        <w:pStyle w:val="2"/>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rPr>
        <w:t>二、 2018年度收入决算情况说明</w:t>
      </w:r>
    </w:p>
    <w:p>
      <w:pPr>
        <w:pStyle w:val="2"/>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本年收入合计2</w:t>
      </w:r>
      <w:r>
        <w:rPr>
          <w:rFonts w:hint="eastAsia" w:asciiTheme="minorEastAsia" w:hAnsiTheme="minorEastAsia" w:cstheme="minorEastAsia"/>
          <w:color w:val="373737"/>
          <w:sz w:val="28"/>
          <w:szCs w:val="28"/>
          <w:shd w:val="clear" w:color="auto" w:fill="FFFFFF"/>
          <w:lang w:val="en-US" w:eastAsia="zh-CN"/>
        </w:rPr>
        <w:t>5</w:t>
      </w:r>
      <w:r>
        <w:rPr>
          <w:rFonts w:hint="eastAsia" w:asciiTheme="minorEastAsia" w:hAnsiTheme="minorEastAsia" w:cstheme="minorEastAsia"/>
          <w:color w:val="373737"/>
          <w:sz w:val="28"/>
          <w:szCs w:val="28"/>
          <w:shd w:val="clear" w:color="auto" w:fill="FFFFFF"/>
        </w:rPr>
        <w:t>.8万元，其中：财政拨款收入25.8万元，占</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w:t>
      </w:r>
    </w:p>
    <w:p>
      <w:pPr>
        <w:pStyle w:val="2"/>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rPr>
        <w:t>三、2018年度支出决算情况说明</w:t>
      </w:r>
    </w:p>
    <w:p>
      <w:pPr>
        <w:pStyle w:val="2"/>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本年支出合计25.8万元，其中：基本支出25.8 万元，占100 %；</w:t>
      </w:r>
    </w:p>
    <w:p>
      <w:pPr>
        <w:pStyle w:val="2"/>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rPr>
        <w:t>四、2018年度财政拨款收入支出决算总体情况说明</w:t>
      </w:r>
    </w:p>
    <w:p>
      <w:pPr>
        <w:pStyle w:val="2"/>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2018年度财政拨款收入25.8万元，与上年相比，增加1万元，增长1%；2018年度财政拨款支出25.8万元，与上年相比，增加1万元，增长1%。</w:t>
      </w:r>
    </w:p>
    <w:p>
      <w:pPr>
        <w:pStyle w:val="2"/>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rPr>
        <w:t>五、2018年度一般公共预算财政拨款支出决算情况说明</w:t>
      </w:r>
    </w:p>
    <w:p>
      <w:pPr>
        <w:pStyle w:val="2"/>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rPr>
        <w:t>（一）财政拨款支出决算总体情况。</w:t>
      </w:r>
    </w:p>
    <w:p>
      <w:pPr>
        <w:pStyle w:val="2"/>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 xml:space="preserve">2018年度财政拨款支出25.8万元，占本年支出合计的100 %。与上年相比，财政拨款支出增加 </w:t>
      </w:r>
      <w:r>
        <w:rPr>
          <w:rFonts w:hint="eastAsia" w:asciiTheme="minorEastAsia" w:hAnsiTheme="minorEastAsia" w:cstheme="minorEastAsia"/>
          <w:color w:val="373737"/>
          <w:sz w:val="28"/>
          <w:szCs w:val="28"/>
          <w:shd w:val="clear" w:color="auto" w:fill="FFFFFF"/>
          <w:lang w:val="en-US" w:eastAsia="zh-CN"/>
        </w:rPr>
        <w:t>1</w:t>
      </w:r>
      <w:r>
        <w:rPr>
          <w:rFonts w:hint="eastAsia" w:asciiTheme="minorEastAsia" w:hAnsiTheme="minorEastAsia" w:cstheme="minorEastAsia"/>
          <w:color w:val="373737"/>
          <w:sz w:val="28"/>
          <w:szCs w:val="28"/>
          <w:shd w:val="clear" w:color="auto" w:fill="FFFFFF"/>
        </w:rPr>
        <w:t xml:space="preserve">  万元，增长 </w:t>
      </w:r>
      <w:r>
        <w:rPr>
          <w:rFonts w:hint="eastAsia" w:asciiTheme="minorEastAsia" w:hAnsiTheme="minorEastAsia" w:cstheme="minorEastAsia"/>
          <w:color w:val="373737"/>
          <w:sz w:val="28"/>
          <w:szCs w:val="28"/>
          <w:shd w:val="clear" w:color="auto" w:fill="FFFFFF"/>
          <w:lang w:val="en-US" w:eastAsia="zh-CN"/>
        </w:rPr>
        <w:t>1</w:t>
      </w:r>
      <w:r>
        <w:rPr>
          <w:rFonts w:hint="eastAsia" w:asciiTheme="minorEastAsia" w:hAnsiTheme="minorEastAsia" w:cstheme="minorEastAsia"/>
          <w:color w:val="373737"/>
          <w:sz w:val="28"/>
          <w:szCs w:val="28"/>
          <w:shd w:val="clear" w:color="auto" w:fill="FFFFFF"/>
        </w:rPr>
        <w:t xml:space="preserve"> %。</w:t>
      </w:r>
    </w:p>
    <w:p>
      <w:pPr>
        <w:pStyle w:val="2"/>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rPr>
        <w:t>（二）财政拨款支出决算结构情况。</w:t>
      </w:r>
    </w:p>
    <w:p>
      <w:pPr>
        <w:pStyle w:val="2"/>
        <w:widowControl/>
        <w:shd w:val="clear" w:color="auto" w:fill="FFFFFF"/>
        <w:spacing w:beforeAutospacing="0" w:after="225" w:afterAutospacing="0"/>
        <w:ind w:firstLine="1020"/>
        <w:textAlignment w:val="baseline"/>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cstheme="minorEastAsia"/>
          <w:color w:val="373737"/>
          <w:sz w:val="28"/>
          <w:szCs w:val="28"/>
          <w:shd w:val="clear" w:color="auto" w:fill="FFFFFF"/>
        </w:rPr>
        <w:t>2018年度财政拨款支出25.8万元，主要用于以下方面：</w:t>
      </w:r>
      <w:r>
        <w:rPr>
          <w:rStyle w:val="5"/>
          <w:rFonts w:hint="eastAsia" w:asciiTheme="minorEastAsia" w:hAnsiTheme="minorEastAsia" w:cstheme="minorEastAsia"/>
          <w:color w:val="373737"/>
          <w:sz w:val="28"/>
          <w:szCs w:val="28"/>
          <w:shd w:val="clear" w:color="auto" w:fill="FFFFFF"/>
        </w:rPr>
        <w:t>基本及工资</w:t>
      </w:r>
      <w:r>
        <w:rPr>
          <w:rFonts w:hint="eastAsia" w:asciiTheme="minorEastAsia" w:hAnsiTheme="minorEastAsia" w:cstheme="minorEastAsia"/>
          <w:color w:val="373737"/>
          <w:sz w:val="28"/>
          <w:szCs w:val="28"/>
          <w:shd w:val="clear" w:color="auto" w:fill="FFFFFF"/>
        </w:rPr>
        <w:t>支出</w:t>
      </w:r>
      <w:r>
        <w:rPr>
          <w:rStyle w:val="5"/>
          <w:rFonts w:hint="eastAsia" w:asciiTheme="minorEastAsia" w:hAnsiTheme="minorEastAsia" w:cstheme="minorEastAsia"/>
          <w:color w:val="373737"/>
          <w:sz w:val="28"/>
          <w:szCs w:val="28"/>
          <w:shd w:val="clear" w:color="auto" w:fill="FFFFFF"/>
        </w:rPr>
        <w:t>（类）</w:t>
      </w:r>
      <w:r>
        <w:rPr>
          <w:rFonts w:hint="eastAsia" w:asciiTheme="minorEastAsia" w:hAnsiTheme="minorEastAsia" w:cstheme="minorEastAsia"/>
          <w:color w:val="373737"/>
          <w:sz w:val="28"/>
          <w:szCs w:val="28"/>
          <w:shd w:val="clear" w:color="auto" w:fill="FFFFFF"/>
        </w:rPr>
        <w:t>支出21.9万元，占84%；</w:t>
      </w:r>
      <w:r>
        <w:rPr>
          <w:rStyle w:val="5"/>
          <w:rFonts w:hint="eastAsia" w:asciiTheme="minorEastAsia" w:hAnsiTheme="minorEastAsia" w:cstheme="minorEastAsia"/>
          <w:color w:val="373737"/>
          <w:sz w:val="28"/>
          <w:szCs w:val="28"/>
          <w:shd w:val="clear" w:color="auto" w:fill="FFFFFF"/>
        </w:rPr>
        <w:t>住房公积金（类）</w:t>
      </w:r>
      <w:r>
        <w:rPr>
          <w:rFonts w:hint="eastAsia" w:asciiTheme="minorEastAsia" w:hAnsiTheme="minorEastAsia" w:cstheme="minorEastAsia"/>
          <w:color w:val="373737"/>
          <w:sz w:val="28"/>
          <w:szCs w:val="28"/>
          <w:shd w:val="clear" w:color="auto" w:fill="FFFFFF"/>
        </w:rPr>
        <w:t>支出1万元，占3.8；</w:t>
      </w:r>
      <w:r>
        <w:rPr>
          <w:rStyle w:val="5"/>
          <w:rFonts w:hint="eastAsia" w:asciiTheme="minorEastAsia" w:hAnsiTheme="minorEastAsia" w:cstheme="minorEastAsia"/>
          <w:color w:val="373737"/>
          <w:sz w:val="28"/>
          <w:szCs w:val="28"/>
          <w:shd w:val="clear" w:color="auto" w:fill="FFFFFF"/>
        </w:rPr>
        <w:t>社保医疗（类）</w:t>
      </w:r>
      <w:r>
        <w:rPr>
          <w:rFonts w:hint="eastAsia" w:asciiTheme="minorEastAsia" w:hAnsiTheme="minorEastAsia" w:cstheme="minorEastAsia"/>
          <w:color w:val="373737"/>
          <w:sz w:val="28"/>
          <w:szCs w:val="28"/>
          <w:shd w:val="clear" w:color="auto" w:fill="FFFFFF"/>
        </w:rPr>
        <w:t>支出  2.3万元，占 8.9 %；差旅费</w:t>
      </w:r>
      <w:r>
        <w:rPr>
          <w:rStyle w:val="5"/>
          <w:rFonts w:hint="eastAsia" w:asciiTheme="minorEastAsia" w:hAnsiTheme="minorEastAsia" w:cstheme="minorEastAsia"/>
          <w:color w:val="373737"/>
          <w:sz w:val="28"/>
          <w:szCs w:val="28"/>
          <w:shd w:val="clear" w:color="auto" w:fill="FFFFFF"/>
        </w:rPr>
        <w:t>（类）</w:t>
      </w:r>
      <w:r>
        <w:rPr>
          <w:rFonts w:hint="eastAsia" w:asciiTheme="minorEastAsia" w:hAnsiTheme="minorEastAsia" w:cstheme="minorEastAsia"/>
          <w:color w:val="373737"/>
          <w:sz w:val="28"/>
          <w:szCs w:val="28"/>
          <w:shd w:val="clear" w:color="auto" w:fill="FFFFFF"/>
        </w:rPr>
        <w:t>支出0.6  万元，占3.3  %</w:t>
      </w:r>
      <w:r>
        <w:rPr>
          <w:rFonts w:hint="eastAsia" w:asciiTheme="minorEastAsia" w:hAnsiTheme="minorEastAsia" w:cstheme="minorEastAsia"/>
          <w:color w:val="373737"/>
          <w:sz w:val="28"/>
          <w:szCs w:val="28"/>
          <w:shd w:val="clear" w:color="auto" w:fill="FFFFFF"/>
          <w:lang w:val="en-US" w:eastAsia="zh-CN"/>
        </w:rPr>
        <w:t>.</w:t>
      </w:r>
    </w:p>
    <w:p>
      <w:pPr>
        <w:pStyle w:val="2"/>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rPr>
        <w:t>（三）财政拨款支出决算具体情况。</w:t>
      </w:r>
    </w:p>
    <w:p>
      <w:pPr>
        <w:pStyle w:val="2"/>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2018年度财政拨款支出年初预算为25.8万元，支出决算为  25.8万元，完成年初预算的100%。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pPr>
        <w:pStyle w:val="2"/>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rPr>
        <w:t>1. 社会保障和就业（类）行政事业单位离退休（款）未归口管理的行政单位离退休（项）。</w:t>
      </w:r>
    </w:p>
    <w:p>
      <w:pPr>
        <w:pStyle w:val="2"/>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Style w:val="5"/>
          <w:rFonts w:hint="eastAsia" w:asciiTheme="minorEastAsia" w:hAnsiTheme="minorEastAsia" w:cstheme="minorEastAsia"/>
          <w:color w:val="373737"/>
          <w:sz w:val="28"/>
          <w:szCs w:val="28"/>
          <w:shd w:val="clear" w:color="auto" w:fill="FFFFFF"/>
        </w:rPr>
        <w:t xml:space="preserve">  </w:t>
      </w:r>
      <w:r>
        <w:rPr>
          <w:rStyle w:val="5"/>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万元，支出决算为</w:t>
      </w:r>
      <w:r>
        <w:rPr>
          <w:rStyle w:val="5"/>
          <w:rFonts w:hint="eastAsia" w:asciiTheme="minorEastAsia" w:hAnsiTheme="minorEastAsia" w:cstheme="minorEastAsia"/>
          <w:color w:val="373737"/>
          <w:sz w:val="28"/>
          <w:szCs w:val="28"/>
          <w:shd w:val="clear" w:color="auto" w:fill="FFFFFF"/>
        </w:rPr>
        <w:t xml:space="preserve"> </w:t>
      </w:r>
      <w:r>
        <w:rPr>
          <w:rStyle w:val="5"/>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万元，完成年初预算的   %。决算数大于预算数的主要原因是2018年离退休职工工资增长了。</w:t>
      </w:r>
    </w:p>
    <w:p>
      <w:pPr>
        <w:pStyle w:val="2"/>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lang w:val="en-US" w:eastAsia="zh-CN"/>
        </w:rPr>
        <w:t>2</w:t>
      </w:r>
      <w:r>
        <w:rPr>
          <w:rStyle w:val="5"/>
          <w:rFonts w:hint="eastAsia" w:asciiTheme="minorEastAsia" w:hAnsiTheme="minorEastAsia" w:cstheme="minorEastAsia"/>
          <w:color w:val="373737"/>
          <w:sz w:val="28"/>
          <w:szCs w:val="28"/>
          <w:shd w:val="clear" w:color="auto" w:fill="FFFFFF"/>
        </w:rPr>
        <w:t>. 农林水（类）农业（款）行政运行（项）。</w:t>
      </w:r>
    </w:p>
    <w:p>
      <w:pPr>
        <w:pStyle w:val="2"/>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0</w:t>
      </w:r>
      <w:r>
        <w:rPr>
          <w:rStyle w:val="5"/>
          <w:rFonts w:hint="eastAsia" w:asciiTheme="minorEastAsia" w:hAnsiTheme="minorEastAsia" w:cstheme="minorEastAsia"/>
          <w:color w:val="373737"/>
          <w:sz w:val="28"/>
          <w:szCs w:val="28"/>
          <w:shd w:val="clear" w:color="auto" w:fill="FFFFFF"/>
        </w:rPr>
        <w:t xml:space="preserve"> </w:t>
      </w:r>
      <w:r>
        <w:rPr>
          <w:rFonts w:hint="eastAsia" w:asciiTheme="minorEastAsia" w:hAnsiTheme="minorEastAsia" w:cstheme="minorEastAsia"/>
          <w:color w:val="373737"/>
          <w:sz w:val="28"/>
          <w:szCs w:val="28"/>
          <w:shd w:val="clear" w:color="auto" w:fill="FFFFFF"/>
        </w:rPr>
        <w:t>万元，支出决算为</w:t>
      </w:r>
      <w:r>
        <w:rPr>
          <w:rStyle w:val="5"/>
          <w:rFonts w:hint="eastAsia" w:asciiTheme="minorEastAsia" w:hAnsiTheme="minorEastAsia" w:cstheme="minorEastAsia"/>
          <w:color w:val="373737"/>
          <w:sz w:val="28"/>
          <w:szCs w:val="28"/>
          <w:shd w:val="clear" w:color="auto" w:fill="FFFFFF"/>
        </w:rPr>
        <w:t xml:space="preserve">  </w:t>
      </w:r>
      <w:r>
        <w:rPr>
          <w:rStyle w:val="5"/>
          <w:rFonts w:hint="eastAsia" w:asciiTheme="minorEastAsia" w:hAnsiTheme="minorEastAsia" w:cstheme="minorEastAsia"/>
          <w:color w:val="373737"/>
          <w:sz w:val="28"/>
          <w:szCs w:val="28"/>
          <w:shd w:val="clear" w:color="auto" w:fill="FFFFFF"/>
          <w:lang w:val="en-US" w:eastAsia="zh-CN"/>
        </w:rPr>
        <w:t>0.56</w:t>
      </w:r>
      <w:r>
        <w:rPr>
          <w:rStyle w:val="5"/>
          <w:rFonts w:hint="eastAsia" w:asciiTheme="minorEastAsia" w:hAnsiTheme="minorEastAsia" w:cstheme="minorEastAsia"/>
          <w:color w:val="373737"/>
          <w:sz w:val="28"/>
          <w:szCs w:val="28"/>
          <w:shd w:val="clear" w:color="auto" w:fill="FFFFFF"/>
        </w:rPr>
        <w:t xml:space="preserve"> </w:t>
      </w:r>
      <w:r>
        <w:rPr>
          <w:rFonts w:hint="eastAsia" w:asciiTheme="minorEastAsia" w:hAnsiTheme="minorEastAsia" w:cstheme="minorEastAsia"/>
          <w:color w:val="373737"/>
          <w:sz w:val="28"/>
          <w:szCs w:val="28"/>
          <w:shd w:val="clear" w:color="auto" w:fill="FFFFFF"/>
        </w:rPr>
        <w:t>万元，决算数大于预算数的主要原因是2018年增加了行政管理事务等项目资金。</w:t>
      </w:r>
    </w:p>
    <w:p>
      <w:pPr>
        <w:pStyle w:val="2"/>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lang w:val="en-US" w:eastAsia="zh-CN"/>
        </w:rPr>
        <w:t>3</w:t>
      </w:r>
      <w:r>
        <w:rPr>
          <w:rStyle w:val="5"/>
          <w:rFonts w:hint="eastAsia" w:asciiTheme="minorEastAsia" w:hAnsiTheme="minorEastAsia" w:cstheme="minorEastAsia"/>
          <w:color w:val="373737"/>
          <w:sz w:val="28"/>
          <w:szCs w:val="28"/>
          <w:shd w:val="clear" w:color="auto" w:fill="FFFFFF"/>
        </w:rPr>
        <w:t>. 住房保障（类）住房改革支出（款）住房公积金（项）。</w:t>
      </w:r>
    </w:p>
    <w:p>
      <w:pPr>
        <w:pStyle w:val="2"/>
        <w:widowControl/>
        <w:shd w:val="clear" w:color="auto" w:fill="FFFFFF"/>
        <w:spacing w:beforeAutospacing="0" w:after="225" w:afterAutospacing="0"/>
        <w:ind w:left="165" w:firstLine="480"/>
        <w:textAlignment w:val="baseline"/>
        <w:rPr>
          <w:rFonts w:asciiTheme="minorEastAsia" w:hAnsiTheme="minorEastAsia" w:cstheme="minorEastAsia"/>
          <w:color w:val="373737"/>
          <w:sz w:val="28"/>
          <w:szCs w:val="28"/>
          <w:shd w:val="clear" w:color="auto" w:fill="FFFFFF"/>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1.09</w:t>
      </w:r>
      <w:r>
        <w:rPr>
          <w:rFonts w:hint="eastAsia" w:asciiTheme="minorEastAsia" w:hAnsiTheme="minorEastAsia" w:cstheme="minorEastAsia"/>
          <w:color w:val="373737"/>
          <w:sz w:val="28"/>
          <w:szCs w:val="28"/>
          <w:shd w:val="clear" w:color="auto" w:fill="FFFFFF"/>
        </w:rPr>
        <w:t xml:space="preserve"> 万元，支出决算为 </w:t>
      </w:r>
      <w:r>
        <w:rPr>
          <w:rFonts w:hint="eastAsia" w:asciiTheme="minorEastAsia" w:hAnsiTheme="minorEastAsia" w:cstheme="minorEastAsia"/>
          <w:color w:val="373737"/>
          <w:sz w:val="28"/>
          <w:szCs w:val="28"/>
          <w:shd w:val="clear" w:color="auto" w:fill="FFFFFF"/>
          <w:lang w:val="en-US" w:eastAsia="zh-CN"/>
        </w:rPr>
        <w:t>1.09</w:t>
      </w:r>
      <w:r>
        <w:rPr>
          <w:rFonts w:hint="eastAsia" w:asciiTheme="minorEastAsia" w:hAnsiTheme="minorEastAsia" w:cstheme="minorEastAsia"/>
          <w:color w:val="373737"/>
          <w:sz w:val="28"/>
          <w:szCs w:val="28"/>
          <w:shd w:val="clear" w:color="auto" w:fill="FFFFFF"/>
        </w:rPr>
        <w:t xml:space="preserve">万元，完成年初预算的 </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w:t>
      </w:r>
    </w:p>
    <w:p>
      <w:pPr>
        <w:pStyle w:val="2"/>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2"/>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2"/>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年度财政拨款基本支出</w:t>
      </w:r>
      <w:r>
        <w:rPr>
          <w:rStyle w:val="5"/>
          <w:rFonts w:hint="eastAsia" w:asciiTheme="minorEastAsia" w:hAnsiTheme="minorEastAsia" w:cstheme="minorEastAsia"/>
          <w:color w:val="373737"/>
          <w:sz w:val="28"/>
          <w:szCs w:val="28"/>
          <w:shd w:val="clear" w:color="auto" w:fill="FFFFFF"/>
          <w:lang w:val="en-US" w:eastAsia="zh-CN"/>
        </w:rPr>
        <w:t>24.73</w:t>
      </w:r>
      <w:r>
        <w:rPr>
          <w:rFonts w:hint="eastAsia" w:asciiTheme="minorEastAsia" w:hAnsiTheme="minorEastAsia" w:cstheme="minorEastAsia"/>
          <w:color w:val="373737"/>
          <w:sz w:val="28"/>
          <w:szCs w:val="28"/>
          <w:shd w:val="clear" w:color="auto" w:fill="FFFFFF"/>
        </w:rPr>
        <w:t>万元，其中：人员经费</w:t>
      </w:r>
      <w:r>
        <w:rPr>
          <w:rFonts w:hint="eastAsia" w:asciiTheme="minorEastAsia" w:hAnsiTheme="minorEastAsia" w:cstheme="minorEastAsia"/>
          <w:color w:val="373737"/>
          <w:sz w:val="28"/>
          <w:szCs w:val="28"/>
          <w:shd w:val="clear" w:color="auto" w:fill="FFFFFF"/>
          <w:lang w:val="en-US" w:eastAsia="zh-CN"/>
        </w:rPr>
        <w:t>21.99</w:t>
      </w:r>
      <w:r>
        <w:rPr>
          <w:rFonts w:hint="eastAsia" w:asciiTheme="minorEastAsia" w:hAnsiTheme="minorEastAsia" w:cstheme="minor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color w:val="373737"/>
          <w:sz w:val="28"/>
          <w:szCs w:val="28"/>
          <w:shd w:val="clear" w:color="auto" w:fill="FFFFFF"/>
          <w:lang w:val="en-US" w:eastAsia="zh-CN"/>
        </w:rPr>
        <w:t>2.74</w:t>
      </w:r>
      <w:r>
        <w:rPr>
          <w:rFonts w:hint="eastAsia" w:asciiTheme="minorEastAsia" w:hAnsiTheme="minorEastAsia" w:cstheme="minor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pPr>
        <w:pStyle w:val="2"/>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5"/>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2"/>
        <w:widowControl/>
        <w:spacing w:before="180" w:beforeAutospacing="0" w:after="360" w:afterAutospacing="0" w:line="450" w:lineRule="atLeast"/>
        <w:ind w:left="900"/>
        <w:rPr>
          <w:rFonts w:hint="eastAsia" w:asciiTheme="minorEastAsia" w:hAnsiTheme="minorEastAsia" w:cstheme="minorEastAsia"/>
          <w:b/>
          <w:color w:val="333333"/>
          <w:sz w:val="28"/>
          <w:szCs w:val="28"/>
          <w:lang w:eastAsia="zh-CN"/>
        </w:rPr>
      </w:pPr>
      <w:r>
        <w:rPr>
          <w:rFonts w:hint="eastAsia" w:asciiTheme="minorEastAsia" w:hAnsiTheme="minorEastAsia" w:cstheme="minorEastAsia"/>
          <w:b/>
          <w:color w:val="333333"/>
          <w:sz w:val="28"/>
          <w:szCs w:val="28"/>
          <w:lang w:eastAsia="zh-CN"/>
        </w:rPr>
        <w:t>公证处无三公经费</w:t>
      </w:r>
    </w:p>
    <w:p>
      <w:pPr>
        <w:pStyle w:val="2"/>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2"/>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2"/>
        <w:widowControl/>
        <w:spacing w:before="180" w:beforeAutospacing="0" w:after="360" w:afterAutospacing="0" w:line="450" w:lineRule="atLeast"/>
        <w:ind w:firstLine="848"/>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color w:val="333333"/>
          <w:sz w:val="28"/>
          <w:szCs w:val="28"/>
        </w:rPr>
        <w:t>本部门 2018年度机关运行经费支出</w:t>
      </w:r>
      <w:r>
        <w:rPr>
          <w:rFonts w:hint="eastAsia" w:asciiTheme="minorEastAsia" w:hAnsiTheme="minorEastAsia" w:cstheme="minorEastAsia"/>
          <w:color w:val="333333"/>
          <w:sz w:val="28"/>
          <w:szCs w:val="28"/>
          <w:lang w:val="en-US" w:eastAsia="zh-CN"/>
        </w:rPr>
        <w:t>2.74</w:t>
      </w:r>
      <w:r>
        <w:rPr>
          <w:rFonts w:hint="eastAsia" w:asciiTheme="minorEastAsia" w:hAnsiTheme="minorEastAsia" w:cstheme="minorEastAsia"/>
          <w:color w:val="333333"/>
          <w:sz w:val="28"/>
          <w:szCs w:val="28"/>
        </w:rPr>
        <w:t xml:space="preserve"> 万元比上年增加</w:t>
      </w:r>
      <w:r>
        <w:rPr>
          <w:rFonts w:hint="eastAsia" w:asciiTheme="minorEastAsia" w:hAnsiTheme="minorEastAsia" w:cstheme="minorEastAsia"/>
          <w:color w:val="333333"/>
          <w:sz w:val="28"/>
          <w:szCs w:val="28"/>
          <w:lang w:val="en-US" w:eastAsia="zh-CN"/>
        </w:rPr>
        <w:t>1.64</w:t>
      </w:r>
      <w:r>
        <w:rPr>
          <w:rFonts w:hint="eastAsia" w:asciiTheme="minorEastAsia" w:hAnsiTheme="minorEastAsia" w:cstheme="minorEastAsia"/>
          <w:color w:val="333333"/>
          <w:sz w:val="28"/>
          <w:szCs w:val="28"/>
        </w:rPr>
        <w:t xml:space="preserve"> 万元。</w:t>
      </w:r>
    </w:p>
    <w:p>
      <w:pPr>
        <w:pStyle w:val="2"/>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2"/>
        <w:widowControl/>
        <w:spacing w:before="180" w:beforeAutospacing="0" w:after="360" w:afterAutospacing="0" w:line="450" w:lineRule="atLeast"/>
        <w:ind w:firstLine="8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color w:val="333333"/>
          <w:sz w:val="28"/>
          <w:szCs w:val="28"/>
          <w:lang w:eastAsia="zh-CN"/>
        </w:rPr>
        <w:t>无</w:t>
      </w:r>
    </w:p>
    <w:p>
      <w:pPr>
        <w:pStyle w:val="2"/>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2"/>
        <w:widowControl/>
        <w:spacing w:before="180" w:beforeAutospacing="0" w:after="360" w:afterAutospacing="0" w:line="450" w:lineRule="atLeast"/>
        <w:ind w:left="900"/>
        <w:rPr>
          <w:rFonts w:hint="eastAsia" w:asciiTheme="minorEastAsia" w:hAnsiTheme="minorEastAsia" w:cstheme="minorEastAsia"/>
          <w:color w:val="333333"/>
          <w:sz w:val="28"/>
          <w:szCs w:val="28"/>
          <w:lang w:eastAsia="zh-CN"/>
        </w:rPr>
      </w:pPr>
      <w:r>
        <w:rPr>
          <w:rFonts w:hint="eastAsia" w:asciiTheme="minorEastAsia" w:hAnsiTheme="minorEastAsia" w:cstheme="minorEastAsia"/>
          <w:color w:val="333333"/>
          <w:sz w:val="28"/>
          <w:szCs w:val="28"/>
          <w:lang w:eastAsia="zh-CN"/>
        </w:rPr>
        <w:t>无</w:t>
      </w:r>
    </w:p>
    <w:p>
      <w:pPr>
        <w:pStyle w:val="2"/>
        <w:widowControl/>
        <w:spacing w:before="180" w:beforeAutospacing="0" w:after="360" w:afterAutospacing="0" w:line="450" w:lineRule="atLeast"/>
        <w:ind w:firstLine="562" w:firstLineChars="2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2"/>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2018年度项目支出全面开展绩效自评。自评覆盖率达到100%。</w:t>
      </w:r>
      <w:bookmarkStart w:id="0" w:name="_GoBack"/>
      <w:bookmarkEnd w:id="0"/>
    </w:p>
    <w:p>
      <w:pPr>
        <w:pStyle w:val="2"/>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2"/>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2"/>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2"/>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2"/>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2"/>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2"/>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2"/>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2"/>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2"/>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2"/>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025AD2"/>
    <w:rsid w:val="000573FC"/>
    <w:rsid w:val="00087630"/>
    <w:rsid w:val="000D0CE6"/>
    <w:rsid w:val="00136B16"/>
    <w:rsid w:val="001703C1"/>
    <w:rsid w:val="001925A2"/>
    <w:rsid w:val="001D0E04"/>
    <w:rsid w:val="001E7D1A"/>
    <w:rsid w:val="0020481D"/>
    <w:rsid w:val="0024232A"/>
    <w:rsid w:val="003004CD"/>
    <w:rsid w:val="004B523D"/>
    <w:rsid w:val="004D2FEC"/>
    <w:rsid w:val="007F490A"/>
    <w:rsid w:val="00815145"/>
    <w:rsid w:val="008A2399"/>
    <w:rsid w:val="008C7AD2"/>
    <w:rsid w:val="008C7C74"/>
    <w:rsid w:val="008E1FC5"/>
    <w:rsid w:val="008E6982"/>
    <w:rsid w:val="00932DDB"/>
    <w:rsid w:val="00936740"/>
    <w:rsid w:val="009C6AAD"/>
    <w:rsid w:val="009D1261"/>
    <w:rsid w:val="009F53C2"/>
    <w:rsid w:val="00A00528"/>
    <w:rsid w:val="00A67C82"/>
    <w:rsid w:val="00AD5E2F"/>
    <w:rsid w:val="00AF7D1E"/>
    <w:rsid w:val="00BC1BCC"/>
    <w:rsid w:val="00BE315C"/>
    <w:rsid w:val="00BF2FD0"/>
    <w:rsid w:val="00C3715C"/>
    <w:rsid w:val="00C5741C"/>
    <w:rsid w:val="00C76D2E"/>
    <w:rsid w:val="00D01948"/>
    <w:rsid w:val="00D50763"/>
    <w:rsid w:val="00D64176"/>
    <w:rsid w:val="00E462FD"/>
    <w:rsid w:val="00EE1E86"/>
    <w:rsid w:val="00F41576"/>
    <w:rsid w:val="00F6140B"/>
    <w:rsid w:val="00F63275"/>
    <w:rsid w:val="00F81329"/>
    <w:rsid w:val="00F836B4"/>
    <w:rsid w:val="00F90B74"/>
    <w:rsid w:val="01340F75"/>
    <w:rsid w:val="02AE466E"/>
    <w:rsid w:val="03FE7F0E"/>
    <w:rsid w:val="098217C0"/>
    <w:rsid w:val="0C6F2B9E"/>
    <w:rsid w:val="0E980DC7"/>
    <w:rsid w:val="179B676B"/>
    <w:rsid w:val="1B7B6879"/>
    <w:rsid w:val="1CFB22BC"/>
    <w:rsid w:val="1FA85108"/>
    <w:rsid w:val="289F5CF5"/>
    <w:rsid w:val="2A054FEB"/>
    <w:rsid w:val="2B3551BB"/>
    <w:rsid w:val="2DE7389C"/>
    <w:rsid w:val="38070123"/>
    <w:rsid w:val="3DDC6AB6"/>
    <w:rsid w:val="419008B3"/>
    <w:rsid w:val="4CED3CD0"/>
    <w:rsid w:val="4D26189E"/>
    <w:rsid w:val="52426572"/>
    <w:rsid w:val="58F74228"/>
    <w:rsid w:val="5E03241F"/>
    <w:rsid w:val="62763A6A"/>
    <w:rsid w:val="63BB7DA1"/>
    <w:rsid w:val="678E51D2"/>
    <w:rsid w:val="69CB6A55"/>
    <w:rsid w:val="6B6E45D7"/>
    <w:rsid w:val="6BC52739"/>
    <w:rsid w:val="70BB06B2"/>
    <w:rsid w:val="70FC062E"/>
    <w:rsid w:val="723138DB"/>
    <w:rsid w:val="72C632EE"/>
    <w:rsid w:val="73150470"/>
    <w:rsid w:val="763C3B43"/>
    <w:rsid w:val="768870B2"/>
    <w:rsid w:val="76D84690"/>
    <w:rsid w:val="7AA4690D"/>
    <w:rsid w:val="7B7B0299"/>
    <w:rsid w:val="7BC22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570</Words>
  <Characters>3253</Characters>
  <Lines>27</Lines>
  <Paragraphs>7</Paragraphs>
  <TotalTime>40</TotalTime>
  <ScaleCrop>false</ScaleCrop>
  <LinksUpToDate>false</LinksUpToDate>
  <CharactersWithSpaces>3816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2019-08-29T05:14:00Z</dcterms:created>
  <dc:creator>tianlinyu</dc:creator>
  <cp:lastModifiedBy>Administrator</cp:lastModifiedBy>
  <dcterms:modified xsi:type="dcterms:W3CDTF">2019-09-19T10:37:14Z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