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绥滨县人民医院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leftChars="0" w:right="0" w:firstLine="420" w:firstLineChars="15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shd w:val="clear" w:fill="FFFFFF"/>
        </w:rPr>
        <w:t xml:space="preserve">   </w:t>
      </w:r>
      <w:r>
        <w:rPr>
          <w:rFonts w:hint="eastAsia" w:asciiTheme="minorEastAsia" w:hAnsiTheme="minorEastAsia" w:eastAsiaTheme="minorEastAsia" w:cstheme="minorEastAsia"/>
          <w:color w:val="333333"/>
          <w:sz w:val="28"/>
          <w:szCs w:val="28"/>
        </w:rPr>
        <w:t> </w:t>
      </w:r>
      <w:r>
        <w:rPr>
          <w:rFonts w:hint="eastAsia" w:asciiTheme="minorEastAsia" w:hAnsiTheme="minorEastAsia" w:eastAsiaTheme="minorEastAsia" w:cstheme="minorEastAsia"/>
          <w:color w:val="333333"/>
          <w:sz w:val="28"/>
          <w:szCs w:val="28"/>
          <w:shd w:val="clear" w:fill="FFFFFF"/>
        </w:rPr>
        <w:t> </w:t>
      </w:r>
      <w:r>
        <w:rPr>
          <w:rFonts w:hint="eastAsia" w:asciiTheme="minorEastAsia" w:hAnsiTheme="minorEastAsia" w:eastAsiaTheme="minorEastAsia" w:cstheme="minorEastAsia"/>
          <w:sz w:val="28"/>
          <w:szCs w:val="28"/>
        </w:rPr>
        <w:t>绥滨县人民医院位于绥滨镇红星大街与绥嘉公路交汇处，是绥滨县域内最大一所综合性</w:t>
      </w:r>
      <w:r>
        <w:rPr>
          <w:rFonts w:hint="eastAsia" w:asciiTheme="minorEastAsia" w:hAnsiTheme="minorEastAsia" w:cstheme="minorEastAsia"/>
          <w:sz w:val="28"/>
          <w:szCs w:val="28"/>
          <w:lang w:eastAsia="zh-CN"/>
        </w:rPr>
        <w:t>公立</w:t>
      </w:r>
      <w:r>
        <w:rPr>
          <w:rFonts w:hint="eastAsia" w:asciiTheme="minorEastAsia" w:hAnsiTheme="minorEastAsia" w:eastAsiaTheme="minorEastAsia" w:cstheme="minorEastAsia"/>
          <w:sz w:val="28"/>
          <w:szCs w:val="28"/>
        </w:rPr>
        <w:t>医院。是一所集医疗、预防、保健、康复于一体的综合性医院，承担全县18.6万人口的医疗、救治、预防、保健任务。</w:t>
      </w:r>
    </w:p>
    <w:p>
      <w:pPr>
        <w:pStyle w:val="2"/>
        <w:keepNext w:val="0"/>
        <w:keepLines w:val="0"/>
        <w:widowControl/>
        <w:suppressLineNumbers w:val="0"/>
        <w:spacing w:before="180" w:beforeAutospacing="0" w:after="360" w:afterAutospacing="0" w:line="450" w:lineRule="atLeast"/>
        <w:ind w:left="0" w:leftChars="0" w:right="0" w:firstLine="1058" w:firstLineChars="378"/>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458" w:right="0" w:firstLine="56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人民医院为事业单位，</w:t>
      </w:r>
      <w:r>
        <w:rPr>
          <w:rFonts w:hint="eastAsia" w:asciiTheme="minorEastAsia" w:hAnsiTheme="minorEastAsia" w:eastAsiaTheme="minorEastAsia" w:cstheme="minorEastAsia"/>
          <w:color w:val="333333"/>
          <w:sz w:val="28"/>
          <w:szCs w:val="28"/>
          <w:lang w:eastAsia="zh-CN"/>
        </w:rPr>
        <w:t>内设</w:t>
      </w:r>
      <w:r>
        <w:rPr>
          <w:rFonts w:hint="eastAsia" w:asciiTheme="minorEastAsia" w:hAnsiTheme="minorEastAsia" w:eastAsiaTheme="minorEastAsia" w:cstheme="minorEastAsia"/>
          <w:color w:val="333333"/>
          <w:sz w:val="28"/>
          <w:szCs w:val="28"/>
        </w:rPr>
        <w:t>内科、外科、儿科、妇产科、急诊科、120急诊急救中心、传染科、中医科、皮肤科、肛肠科、性病科、风湿科、理疗科、麻醉科、口腔科、耳鼻喉科、眼科、药剂科、医学检验科、医学影像科、放射线科、B超室、碎石科、预防保健科、病理科、血库、洁净手术室等</w:t>
      </w:r>
      <w:r>
        <w:rPr>
          <w:rFonts w:hint="eastAsia" w:asciiTheme="minorEastAsia" w:hAnsiTheme="minorEastAsia" w:eastAsia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单位预算为一级</w:t>
      </w:r>
      <w:r>
        <w:rPr>
          <w:rFonts w:hint="eastAsia" w:asciiTheme="minorEastAsia" w:hAnsiTheme="minorEastAsia" w:eastAsiaTheme="minorEastAsia" w:cstheme="minorEastAsia"/>
          <w:color w:val="333333"/>
          <w:sz w:val="28"/>
          <w:szCs w:val="28"/>
          <w:lang w:eastAsia="zh-CN"/>
        </w:rPr>
        <w:t>预算单位</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firstLine="56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单位编制数</w:t>
      </w:r>
      <w:r>
        <w:rPr>
          <w:rFonts w:hint="eastAsia" w:asciiTheme="minorEastAsia" w:hAnsiTheme="minorEastAsia" w:cstheme="minorEastAsia"/>
          <w:color w:val="333333"/>
          <w:sz w:val="28"/>
          <w:szCs w:val="28"/>
          <w:lang w:val="en-US" w:eastAsia="zh-CN"/>
        </w:rPr>
        <w:t>256</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198</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114</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492" w:beforeAutospacing="0" w:after="672" w:afterAutospacing="0" w:line="450" w:lineRule="atLeast"/>
        <w:ind w:left="262" w:right="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6827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6302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399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6.20</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1.44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6827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1924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28.18</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6302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6114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97.01</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188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2.99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1924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4.52</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，年末财政拨款结转和结余</w:t>
      </w:r>
      <w:r>
        <w:rPr>
          <w:rFonts w:hint="eastAsia" w:asciiTheme="minorEastAsia" w:hAnsiTheme="minorEastAsia" w:cstheme="minorEastAsia"/>
          <w:i w:val="0"/>
          <w:caps w:val="0"/>
          <w:color w:val="373737"/>
          <w:spacing w:val="0"/>
          <w:sz w:val="28"/>
          <w:szCs w:val="28"/>
          <w:shd w:val="clear" w:fill="FFFFFF"/>
          <w:vertAlign w:val="baseline"/>
          <w:lang w:val="en-US" w:eastAsia="zh-CN"/>
        </w:rPr>
        <w:t>191万元</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4.52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年，末财政拨款结转和结余</w:t>
      </w:r>
      <w:r>
        <w:rPr>
          <w:rFonts w:hint="eastAsia" w:asciiTheme="minorEastAsia" w:hAnsiTheme="minorEastAsia" w:cstheme="minorEastAsia"/>
          <w:i w:val="0"/>
          <w:caps w:val="0"/>
          <w:color w:val="373737"/>
          <w:spacing w:val="0"/>
          <w:sz w:val="28"/>
          <w:szCs w:val="28"/>
          <w:shd w:val="clear" w:fill="FFFFFF"/>
          <w:vertAlign w:val="baseline"/>
          <w:lang w:val="en-US" w:eastAsia="zh-CN"/>
        </w:rPr>
        <w:t>191万元</w:t>
      </w:r>
      <w:r>
        <w:rPr>
          <w:rFonts w:hint="eastAsia" w:asciiTheme="minorEastAsia" w:hAnsiTheme="minorEastAsia" w:eastAsiaTheme="minorEastAsia" w:cstheme="minorEastAsia"/>
          <w:i w:val="0"/>
          <w:caps w:val="0"/>
          <w:color w:val="373737"/>
          <w:spacing w:val="0"/>
          <w:sz w:val="28"/>
          <w:szCs w:val="28"/>
          <w:shd w:val="clear" w:fill="FFFFFF"/>
          <w:vertAlign w:val="baseline"/>
        </w:rPr>
        <w:t>，占本年支出合计的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28.18</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4.52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7.9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1509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87.08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5.02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1524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1924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126.32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w:t>
      </w:r>
      <w:r>
        <w:rPr>
          <w:rFonts w:hint="eastAsia" w:asciiTheme="minorEastAsia" w:hAnsiTheme="minorEastAsia" w:cstheme="minorEastAsia"/>
          <w:i w:val="0"/>
          <w:caps w:val="0"/>
          <w:color w:val="373737"/>
          <w:spacing w:val="0"/>
          <w:sz w:val="28"/>
          <w:szCs w:val="28"/>
          <w:shd w:val="clear" w:fill="FFFFFF"/>
          <w:vertAlign w:val="baseline"/>
          <w:lang w:val="en-US" w:eastAsia="zh-CN"/>
        </w:rPr>
        <w:t>2018年增加了信息化建设和设备采购</w:t>
      </w:r>
      <w:r>
        <w:rPr>
          <w:rFonts w:hint="eastAsia" w:asciiTheme="minorEastAsia" w:hAnsiTheme="minorEastAsia" w:eastAsiaTheme="minorEastAsia" w:cstheme="minorEastAsia"/>
          <w:i w:val="0"/>
          <w:caps w:val="0"/>
          <w:color w:val="373737"/>
          <w:spacing w:val="0"/>
          <w:sz w:val="28"/>
          <w:szCs w:val="28"/>
          <w:shd w:val="clear" w:fill="FFFFFF"/>
          <w:vertAlign w:val="baseline"/>
        </w:rPr>
        <w:t>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年离退休职工工资增长了。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1544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1347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年度机关运行经费支出 XX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年增加（减少）XX 万元，增长（降低）XX%。主要原因是：……（具体增减原因由部门根据实际情况填列）。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17"/>
        <w:spacing w:line="360" w:lineRule="auto"/>
        <w:ind w:firstLine="520"/>
        <w:jc w:val="both"/>
        <w:rPr>
          <w:rFonts w:hint="eastAsia" w:asciiTheme="minorEastAsia" w:hAnsiTheme="minorEastAsia" w:eastAsiaTheme="minorEastAsia" w:cstheme="minorEastAsia"/>
          <w:color w:val="333333"/>
          <w:kern w:val="0"/>
          <w:sz w:val="28"/>
          <w:szCs w:val="28"/>
          <w:lang w:val="en-US" w:eastAsia="zh-CN" w:bidi="ar"/>
        </w:rPr>
      </w:pPr>
      <w:bookmarkStart w:id="0" w:name="_GoBack"/>
      <w:bookmarkEnd w:id="0"/>
      <w:r>
        <w:rPr>
          <w:rFonts w:hint="eastAsia" w:ascii="宋体" w:hAnsi="宋体" w:eastAsia="宋体" w:cs="宋体"/>
          <w:color w:val="333333"/>
          <w:sz w:val="28"/>
          <w:szCs w:val="28"/>
        </w:rPr>
        <w:t>根据财政预算管理要求和年初设定的绩效目标，</w:t>
      </w: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w:t>
      </w:r>
      <w:r>
        <w:rPr>
          <w:rFonts w:hint="eastAsia" w:asciiTheme="minorEastAsia" w:hAnsiTheme="minorEastAsia" w:eastAsiaTheme="minorEastAsia" w:cstheme="minorEastAsia"/>
          <w:color w:val="333333"/>
          <w:kern w:val="0"/>
          <w:sz w:val="28"/>
          <w:szCs w:val="28"/>
          <w:lang w:val="en-US" w:eastAsia="zh-CN" w:bidi="ar"/>
        </w:rPr>
        <w:t>人民医院预算管理制度是根据医院的发展战略，以现金流量为重点，逐层分解相关指标，对各部门下达目标，全程管理其经营活动，并对其实现的业绩进行考核与评价的内部管理会计制度。预算管理的目的在于以预算、控制、协调、考核为手段，管理服务于医院的发展和经济活动的全过程的控制，最终实现医院的战略目标。</w:t>
      </w:r>
    </w:p>
    <w:p>
      <w:pPr>
        <w:pStyle w:val="17"/>
        <w:spacing w:line="360" w:lineRule="auto"/>
        <w:ind w:firstLine="520"/>
        <w:jc w:val="both"/>
        <w:rPr>
          <w:rFonts w:hint="eastAsia" w:asciiTheme="minorEastAsia" w:hAnsiTheme="minorEastAsia" w:eastAsiaTheme="minorEastAsia" w:cstheme="minorEastAsia"/>
          <w:color w:val="333333"/>
          <w:kern w:val="0"/>
          <w:sz w:val="28"/>
          <w:szCs w:val="28"/>
          <w:lang w:val="en-US" w:eastAsia="zh-CN" w:bidi="ar"/>
        </w:rPr>
      </w:pPr>
      <w:r>
        <w:rPr>
          <w:rFonts w:hint="eastAsia" w:asciiTheme="minorEastAsia" w:hAnsiTheme="minorEastAsia" w:eastAsiaTheme="minorEastAsia" w:cstheme="minorEastAsia"/>
          <w:color w:val="333333"/>
          <w:kern w:val="0"/>
          <w:sz w:val="28"/>
          <w:szCs w:val="28"/>
          <w:lang w:val="en-US" w:eastAsia="zh-CN" w:bidi="ar"/>
        </w:rPr>
        <w:t>绩效方面我院战略规划、运营目标是绩效管理的基础，也是整个绩效管理过程的输入。运营目标是医院战略规划的细化与具体落实。利用平衡计分卡将医院战略规划细化分解到部门和个人，建立医院的关键业绩指标体系，医院运营目标的实现由关键业绩指标的完成来体现。各级责任主体为完成医院分解下来的运营目标，必须根据部门职能/岗位职责制定绩效计划及衡量标准，形成各级责任主体的绩效目标，便于绩效管理的实施。绩效实施考评情况如下:</w:t>
      </w:r>
    </w:p>
    <w:p>
      <w:pPr>
        <w:spacing w:line="360" w:lineRule="auto"/>
        <w:ind w:firstLine="560" w:firstLineChars="200"/>
        <w:jc w:val="left"/>
        <w:rPr>
          <w:rFonts w:hint="eastAsia" w:asciiTheme="minorEastAsia" w:hAnsiTheme="minorEastAsia" w:eastAsiaTheme="minorEastAsia" w:cstheme="minorEastAsia"/>
          <w:color w:val="333333"/>
          <w:kern w:val="0"/>
          <w:sz w:val="28"/>
          <w:szCs w:val="28"/>
          <w:lang w:val="en-US" w:eastAsia="zh-CN" w:bidi="ar"/>
        </w:rPr>
      </w:pPr>
      <w:r>
        <w:rPr>
          <w:rFonts w:hint="eastAsia" w:asciiTheme="minorEastAsia" w:hAnsiTheme="minorEastAsia" w:eastAsiaTheme="minorEastAsia" w:cstheme="minorEastAsia"/>
          <w:color w:val="333333"/>
          <w:kern w:val="0"/>
          <w:sz w:val="28"/>
          <w:szCs w:val="28"/>
          <w:lang w:val="en-US" w:eastAsia="zh-CN" w:bidi="ar"/>
        </w:rPr>
        <w:t>（1）绩效实施与管理是指责任主体根据制定的绩效计划开展工作，努力实现绩效目标的过程。在实施期间，上级记录责任主体的工作表现，同时不定期进行沟通、反馈，对发现的问题提出改进建议。</w:t>
      </w:r>
    </w:p>
    <w:p>
      <w:pPr>
        <w:spacing w:line="360" w:lineRule="auto"/>
        <w:ind w:firstLine="560" w:firstLineChars="200"/>
        <w:jc w:val="left"/>
        <w:rPr>
          <w:rFonts w:hint="eastAsia" w:asciiTheme="minorEastAsia" w:hAnsiTheme="minorEastAsia" w:eastAsiaTheme="minorEastAsia" w:cstheme="minorEastAsia"/>
          <w:color w:val="333333"/>
          <w:kern w:val="0"/>
          <w:sz w:val="28"/>
          <w:szCs w:val="28"/>
          <w:lang w:val="en-US" w:eastAsia="zh-CN" w:bidi="ar"/>
        </w:rPr>
      </w:pPr>
      <w:r>
        <w:rPr>
          <w:rFonts w:hint="eastAsia" w:asciiTheme="minorEastAsia" w:hAnsiTheme="minorEastAsia" w:eastAsiaTheme="minorEastAsia" w:cstheme="minorEastAsia"/>
          <w:color w:val="333333"/>
          <w:kern w:val="0"/>
          <w:sz w:val="28"/>
          <w:szCs w:val="28"/>
          <w:lang w:val="en-US" w:eastAsia="zh-CN" w:bidi="ar"/>
        </w:rPr>
        <w:t>（2）绩效考评是绩效管理的重要环节，是对责任主体在考评期间绩效目标的完成情况进行考评的过程。通过绩效考评，肯定成绩，找出不足，为下一考评期间的绩效改进提供指导。考评结果由绩效考评办公室存档。</w:t>
      </w:r>
    </w:p>
    <w:p>
      <w:pPr>
        <w:spacing w:line="360" w:lineRule="auto"/>
        <w:ind w:firstLine="560" w:firstLineChars="200"/>
        <w:jc w:val="left"/>
        <w:rPr>
          <w:rFonts w:hint="eastAsia" w:asciiTheme="minorEastAsia" w:hAnsiTheme="minorEastAsia" w:eastAsiaTheme="minorEastAsia" w:cstheme="minorEastAsia"/>
          <w:color w:val="333333"/>
          <w:kern w:val="0"/>
          <w:sz w:val="28"/>
          <w:szCs w:val="28"/>
          <w:lang w:val="en-US" w:eastAsia="zh-CN" w:bidi="ar"/>
        </w:rPr>
      </w:pPr>
      <w:r>
        <w:rPr>
          <w:rFonts w:hint="eastAsia" w:asciiTheme="minorEastAsia" w:hAnsiTheme="minorEastAsia" w:eastAsiaTheme="minorEastAsia" w:cstheme="minorEastAsia"/>
          <w:color w:val="333333"/>
          <w:kern w:val="0"/>
          <w:sz w:val="28"/>
          <w:szCs w:val="28"/>
          <w:lang w:val="en-US" w:eastAsia="zh-CN" w:bidi="ar"/>
        </w:rPr>
        <w:t>（3）绩效反馈是根据考评结果与责任主体就本次绩效计划开展情况进行正式的回顾和沟通，肯定成绩、分析问题、制定改进计划的过程。</w:t>
      </w:r>
    </w:p>
    <w:p>
      <w:pPr>
        <w:spacing w:line="360" w:lineRule="auto"/>
        <w:ind w:firstLine="560" w:firstLineChars="200"/>
        <w:jc w:val="left"/>
        <w:rPr>
          <w:rFonts w:hint="eastAsia" w:asciiTheme="minorEastAsia" w:hAnsiTheme="minorEastAsia" w:eastAsiaTheme="minorEastAsia" w:cstheme="minorEastAsia"/>
          <w:color w:val="333333"/>
          <w:kern w:val="0"/>
          <w:sz w:val="28"/>
          <w:szCs w:val="28"/>
          <w:lang w:val="en-US" w:eastAsia="zh-CN" w:bidi="ar"/>
        </w:rPr>
      </w:pPr>
      <w:r>
        <w:rPr>
          <w:rFonts w:hint="eastAsia" w:asciiTheme="minorEastAsia" w:hAnsiTheme="minorEastAsia" w:eastAsiaTheme="minorEastAsia" w:cstheme="minorEastAsia"/>
          <w:color w:val="333333"/>
          <w:kern w:val="0"/>
          <w:sz w:val="28"/>
          <w:szCs w:val="28"/>
          <w:lang w:val="en-US" w:eastAsia="zh-CN" w:bidi="ar"/>
        </w:rPr>
        <w:t>（4）绩效考评结果应用是整个绩效管理过程的输出，以实现绩效改进、员工发展和培训、薪酬调整、浮动工资发放及晋升调配等多项管理目标。 </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333333"/>
          <w:sz w:val="28"/>
          <w:szCs w:val="28"/>
        </w:rPr>
      </w:pP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E980DC7"/>
    <w:rsid w:val="100D4711"/>
    <w:rsid w:val="179B676B"/>
    <w:rsid w:val="189C4A22"/>
    <w:rsid w:val="1CFB22BC"/>
    <w:rsid w:val="1F250630"/>
    <w:rsid w:val="2A054FEB"/>
    <w:rsid w:val="2BE8094F"/>
    <w:rsid w:val="2DE7389C"/>
    <w:rsid w:val="3DDC6AB6"/>
    <w:rsid w:val="419008B3"/>
    <w:rsid w:val="44354E31"/>
    <w:rsid w:val="534372DA"/>
    <w:rsid w:val="53D826DD"/>
    <w:rsid w:val="62763A6A"/>
    <w:rsid w:val="6B6E45D7"/>
    <w:rsid w:val="6BC52739"/>
    <w:rsid w:val="763C3B43"/>
    <w:rsid w:val="768870B2"/>
    <w:rsid w:val="782D33B6"/>
    <w:rsid w:val="78534D3B"/>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qFormat/>
    <w:uiPriority w:val="0"/>
  </w:style>
  <w:style w:type="character" w:customStyle="1" w:styleId="16">
    <w:name w:val="home"/>
    <w:basedOn w:val="3"/>
    <w:qFormat/>
    <w:uiPriority w:val="0"/>
  </w:style>
  <w:style w:type="paragraph" w:customStyle="1" w:styleId="17">
    <w:name w:val="无间隔1"/>
    <w:qFormat/>
    <w:uiPriority w:val="0"/>
    <w:pPr>
      <w:ind w:firstLine="200" w:firstLineChars="200"/>
      <w:jc w:val="center"/>
    </w:pPr>
    <w:rPr>
      <w:rFonts w:ascii="Times New Roman" w:hAnsi="Times New Roman" w:eastAsia="仿宋_GB2312" w:cs="Times New Roman"/>
      <w:sz w:val="30"/>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2019-08-29T01:36:26Z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