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1"/>
        <w:widowControl/>
        <w:spacing w:before="180" w:beforeAutospacing="0" w:after="360" w:afterAutospacing="0" w:line="450" w:lineRule="atLeast"/>
        <w:ind w:left="260"/>
        <w:rPr>
          <w:rFonts w:ascii="宋体" w:hAnsi="宋体" w:cs="宋体"/>
          <w:b/>
          <w:color w:val="333333"/>
          <w:sz w:val="28"/>
          <w:szCs w:val="28"/>
        </w:rPr>
      </w:pPr>
      <w:r>
        <w:rPr>
          <w:rFonts w:hint="eastAsia" w:ascii="宋体" w:hAnsi="宋体" w:cs="宋体"/>
          <w:b/>
          <w:color w:val="333333"/>
          <w:sz w:val="28"/>
          <w:szCs w:val="28"/>
        </w:rPr>
        <w:t xml:space="preserve">        2018年度</w:t>
      </w:r>
      <w:r>
        <w:rPr>
          <w:rFonts w:hint="eastAsia" w:ascii="宋体" w:hAnsi="宋体" w:cs="宋体"/>
          <w:b/>
          <w:color w:val="333333"/>
          <w:sz w:val="28"/>
          <w:szCs w:val="28"/>
          <w:lang w:eastAsia="zh-CN"/>
        </w:rPr>
        <w:t>绥滨县电化教育馆</w:t>
      </w:r>
      <w:r>
        <w:rPr>
          <w:rFonts w:hint="eastAsia" w:ascii="宋体" w:hAnsi="宋体" w:cs="宋体"/>
          <w:b/>
          <w:color w:val="333333"/>
          <w:sz w:val="28"/>
          <w:szCs w:val="28"/>
        </w:rPr>
        <w:t>决算文字说明</w:t>
      </w:r>
    </w:p>
    <w:p>
      <w:pPr>
        <w:pStyle w:val="11"/>
        <w:widowControl/>
        <w:spacing w:before="180" w:beforeAutospacing="0" w:after="360" w:afterAutospacing="0" w:line="450" w:lineRule="atLeast"/>
        <w:ind w:left="260"/>
        <w:rPr>
          <w:rFonts w:ascii="宋体" w:hAnsi="宋体" w:cs="宋体"/>
          <w:b/>
          <w:color w:val="333333"/>
          <w:sz w:val="28"/>
          <w:szCs w:val="28"/>
        </w:rPr>
      </w:pPr>
    </w:p>
    <w:p>
      <w:pPr>
        <w:pStyle w:val="11"/>
        <w:widowControl/>
        <w:spacing w:before="180" w:beforeAutospacing="0" w:after="360" w:afterAutospacing="0" w:line="450" w:lineRule="atLeast"/>
        <w:ind w:left="260"/>
        <w:rPr>
          <w:rFonts w:ascii="宋体" w:hAnsi="宋体" w:cs="宋体"/>
          <w:sz w:val="28"/>
          <w:szCs w:val="28"/>
        </w:rPr>
      </w:pPr>
      <w:r>
        <w:rPr>
          <w:rFonts w:hint="eastAsia" w:ascii="宋体" w:hAnsi="宋体" w:cs="宋体"/>
          <w:b/>
          <w:color w:val="333333"/>
          <w:sz w:val="28"/>
          <w:szCs w:val="28"/>
        </w:rPr>
        <w:t>第一部分 部门概况</w:t>
      </w:r>
      <w:r>
        <w:rPr>
          <w:rFonts w:hint="eastAsia" w:ascii="宋体" w:hAnsi="宋体" w:cs="宋体"/>
          <w:color w:val="333333"/>
          <w:sz w:val="28"/>
          <w:szCs w:val="28"/>
        </w:rPr>
        <w:t> </w:t>
      </w:r>
    </w:p>
    <w:p>
      <w:pPr>
        <w:pStyle w:val="11"/>
        <w:widowControl/>
        <w:spacing w:before="180" w:beforeAutospacing="0" w:after="360" w:afterAutospacing="0" w:line="450" w:lineRule="atLeast"/>
        <w:rPr>
          <w:rFonts w:ascii="宋体" w:hAnsi="宋体" w:cs="宋体"/>
          <w:sz w:val="28"/>
          <w:szCs w:val="28"/>
        </w:rPr>
      </w:pPr>
      <w:r>
        <w:rPr>
          <w:rFonts w:hint="eastAsia" w:ascii="宋体" w:hAnsi="宋体" w:cs="宋体"/>
          <w:color w:val="333333"/>
          <w:sz w:val="28"/>
          <w:szCs w:val="28"/>
        </w:rPr>
        <w:t>    一、主要职能</w:t>
      </w:r>
    </w:p>
    <w:p>
      <w:pPr>
        <w:pStyle w:val="11"/>
        <w:widowControl/>
        <w:shd w:val="clear" w:color="auto" w:fill="FFFFFF"/>
        <w:spacing w:before="180" w:beforeAutospacing="0" w:after="360" w:afterAutospacing="0" w:line="360" w:lineRule="atLeast"/>
        <w:ind w:firstLine="640"/>
        <w:rPr>
          <w:rFonts w:ascii="宋体" w:hAnsi="宋体" w:cs="宋体"/>
          <w:sz w:val="28"/>
          <w:szCs w:val="28"/>
        </w:rPr>
      </w:pPr>
      <w:r>
        <w:rPr>
          <w:rFonts w:hint="eastAsia" w:ascii="宋体" w:hAnsi="宋体" w:cs="宋体"/>
          <w:color w:val="333333"/>
          <w:sz w:val="28"/>
          <w:szCs w:val="28"/>
          <w:shd w:val="clear" w:color="auto" w:fill="FFFFFF"/>
        </w:rPr>
        <w:t>    </w:t>
      </w:r>
      <w:r>
        <w:rPr>
          <w:rFonts w:hint="eastAsia" w:ascii="宋体" w:hAnsi="宋体" w:cs="宋体"/>
          <w:color w:val="000000"/>
          <w:kern w:val="0"/>
          <w:sz w:val="32"/>
          <w:szCs w:val="32"/>
        </w:rPr>
        <w:t>实施电化教育，促进教育发展。中小学、职业学校</w:t>
      </w:r>
    </w:p>
    <w:p>
      <w:pPr>
        <w:pStyle w:val="11"/>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二、机构设置及部门决算单位构成</w:t>
      </w:r>
    </w:p>
    <w:p>
      <w:pPr>
        <w:pStyle w:val="11"/>
        <w:widowControl/>
        <w:spacing w:before="180" w:beforeAutospacing="0" w:after="360" w:afterAutospacing="0" w:line="450" w:lineRule="atLeast"/>
        <w:ind w:left="260" w:right="0" w:firstLine="942" w:firstLineChars="449"/>
        <w:jc w:val="left"/>
        <w:rPr>
          <w:rFonts w:hint="default" w:ascii="Calibri" w:hAnsi="Calibri" w:cs="Calibri"/>
          <w:sz w:val="32"/>
          <w:szCs w:val="32"/>
        </w:rPr>
      </w:pPr>
      <w:r>
        <w:rPr>
          <w:rFonts w:hint="eastAsia" w:ascii="宋体" w:hAnsi="宋体" w:eastAsia="宋体" w:cs="宋体"/>
          <w:color w:val="333333"/>
          <w:sz w:val="32"/>
          <w:szCs w:val="32"/>
        </w:rPr>
        <w:t>为全额</w:t>
      </w:r>
      <w:r>
        <w:rPr>
          <w:rFonts w:hint="eastAsia" w:ascii="宋体" w:hAnsi="宋体" w:cs="宋体"/>
          <w:color w:val="333333"/>
          <w:sz w:val="32"/>
          <w:szCs w:val="32"/>
          <w:lang w:eastAsia="zh-CN"/>
        </w:rPr>
        <w:t>事业</w:t>
      </w:r>
      <w:r>
        <w:rPr>
          <w:rFonts w:hint="eastAsia" w:ascii="宋体" w:hAnsi="宋体" w:eastAsia="宋体" w:cs="宋体"/>
          <w:color w:val="333333"/>
          <w:sz w:val="32"/>
          <w:szCs w:val="32"/>
        </w:rPr>
        <w:t>单位，内设</w:t>
      </w:r>
      <w:r>
        <w:rPr>
          <w:rFonts w:hint="eastAsia" w:ascii="宋体" w:hAnsi="宋体" w:cs="宋体"/>
          <w:color w:val="333333"/>
          <w:sz w:val="32"/>
          <w:szCs w:val="32"/>
          <w:lang w:val="en-US" w:eastAsia="zh-CN"/>
        </w:rPr>
        <w:t>2</w:t>
      </w:r>
      <w:r>
        <w:rPr>
          <w:rFonts w:hint="eastAsia" w:ascii="宋体" w:hAnsi="宋体" w:eastAsia="宋体" w:cs="宋体"/>
          <w:color w:val="333333"/>
          <w:sz w:val="32"/>
          <w:szCs w:val="32"/>
        </w:rPr>
        <w:t>个内设机构，</w:t>
      </w:r>
      <w:r>
        <w:rPr>
          <w:rFonts w:hint="eastAsia" w:ascii="宋体" w:hAnsi="宋体" w:cs="宋体"/>
          <w:color w:val="333333"/>
          <w:sz w:val="32"/>
          <w:szCs w:val="32"/>
          <w:lang w:eastAsia="zh-CN"/>
        </w:rPr>
        <w:t>馆长室和电教室。</w:t>
      </w:r>
      <w:r>
        <w:rPr>
          <w:rFonts w:hint="eastAsia" w:ascii="宋体" w:hAnsi="宋体" w:eastAsia="宋体" w:cs="宋体"/>
          <w:color w:val="333333"/>
          <w:sz w:val="32"/>
          <w:szCs w:val="32"/>
        </w:rPr>
        <w:t>为一级预算单位。</w:t>
      </w:r>
    </w:p>
    <w:p>
      <w:pPr>
        <w:pStyle w:val="11"/>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三、人员构成   </w:t>
      </w:r>
    </w:p>
    <w:p>
      <w:pPr>
        <w:pStyle w:val="11"/>
        <w:widowControl/>
        <w:spacing w:before="180" w:beforeAutospacing="0" w:after="360" w:afterAutospacing="0" w:line="450" w:lineRule="atLeast"/>
        <w:ind w:left="260"/>
        <w:rPr>
          <w:rFonts w:ascii="宋体" w:hAnsi="宋体" w:cs="宋体"/>
          <w:sz w:val="28"/>
          <w:szCs w:val="28"/>
        </w:rPr>
      </w:pPr>
      <w:r>
        <w:rPr>
          <w:rFonts w:hint="eastAsia" w:ascii="宋体" w:hAnsi="宋体" w:cs="宋体"/>
          <w:color w:val="333333"/>
          <w:sz w:val="32"/>
          <w:szCs w:val="32"/>
          <w:lang w:val="en-US" w:eastAsia="zh-CN"/>
        </w:rPr>
        <w:t xml:space="preserve">        </w:t>
      </w:r>
      <w:r>
        <w:rPr>
          <w:rFonts w:hint="eastAsia" w:ascii="宋体" w:hAnsi="宋体" w:eastAsia="宋体" w:cs="宋体"/>
          <w:color w:val="333333"/>
          <w:sz w:val="32"/>
          <w:szCs w:val="32"/>
        </w:rPr>
        <w:t>事业编制</w:t>
      </w:r>
      <w:r>
        <w:rPr>
          <w:rFonts w:hint="eastAsia" w:ascii="宋体" w:hAnsi="宋体" w:cs="宋体"/>
          <w:color w:val="333333"/>
          <w:sz w:val="32"/>
          <w:szCs w:val="32"/>
          <w:lang w:val="en-US" w:eastAsia="zh-CN"/>
        </w:rPr>
        <w:t>10</w:t>
      </w:r>
      <w:r>
        <w:rPr>
          <w:rFonts w:hint="eastAsia" w:ascii="宋体" w:hAnsi="宋体" w:eastAsia="宋体" w:cs="宋体"/>
          <w:color w:val="333333"/>
          <w:sz w:val="32"/>
          <w:szCs w:val="32"/>
        </w:rPr>
        <w:t>个，在职</w:t>
      </w:r>
      <w:r>
        <w:rPr>
          <w:rFonts w:hint="eastAsia" w:ascii="宋体" w:hAnsi="宋体" w:cs="宋体"/>
          <w:color w:val="333333"/>
          <w:sz w:val="32"/>
          <w:szCs w:val="32"/>
          <w:lang w:val="en-US" w:eastAsia="zh-CN"/>
        </w:rPr>
        <w:t>10</w:t>
      </w:r>
      <w:r>
        <w:rPr>
          <w:rFonts w:hint="eastAsia" w:ascii="宋体" w:hAnsi="宋体" w:eastAsia="宋体" w:cs="宋体"/>
          <w:color w:val="333333"/>
          <w:sz w:val="32"/>
          <w:szCs w:val="32"/>
        </w:rPr>
        <w:t>人，退休</w:t>
      </w:r>
      <w:r>
        <w:rPr>
          <w:rFonts w:hint="eastAsia" w:ascii="宋体" w:hAnsi="宋体" w:cs="宋体"/>
          <w:color w:val="333333"/>
          <w:sz w:val="32"/>
          <w:szCs w:val="32"/>
          <w:lang w:val="en-US" w:eastAsia="zh-CN"/>
        </w:rPr>
        <w:t>7</w:t>
      </w:r>
      <w:r>
        <w:rPr>
          <w:rFonts w:hint="eastAsia" w:ascii="宋体" w:hAnsi="宋体" w:eastAsia="宋体" w:cs="宋体"/>
          <w:color w:val="333333"/>
          <w:sz w:val="32"/>
          <w:szCs w:val="32"/>
        </w:rPr>
        <w:t>人。</w:t>
      </w:r>
      <w:r>
        <w:rPr>
          <w:rFonts w:hint="default" w:ascii="Calibri" w:hAnsi="Calibri" w:cs="Calibri"/>
          <w:color w:val="333333"/>
          <w:sz w:val="32"/>
          <w:szCs w:val="32"/>
        </w:rPr>
        <w:t> </w:t>
      </w:r>
      <w:r>
        <w:rPr>
          <w:rFonts w:hint="eastAsia" w:ascii="宋体" w:hAnsi="宋体" w:cs="宋体"/>
          <w:color w:val="333333"/>
          <w:sz w:val="28"/>
          <w:szCs w:val="28"/>
        </w:rPr>
        <w:t> </w:t>
      </w:r>
    </w:p>
    <w:p>
      <w:pPr>
        <w:pStyle w:val="11"/>
        <w:widowControl/>
        <w:spacing w:before="492" w:beforeAutospacing="0" w:after="672" w:afterAutospacing="0" w:line="450" w:lineRule="atLeast"/>
        <w:ind w:left="262"/>
        <w:rPr>
          <w:rFonts w:ascii="宋体" w:hAnsi="宋体" w:cs="宋体"/>
          <w:sz w:val="28"/>
          <w:szCs w:val="28"/>
        </w:rPr>
      </w:pPr>
      <w:r>
        <w:rPr>
          <w:rFonts w:hint="eastAsia" w:ascii="宋体" w:hAnsi="宋体" w:cs="宋体"/>
          <w:b/>
          <w:color w:val="333333"/>
          <w:sz w:val="28"/>
          <w:szCs w:val="28"/>
        </w:rPr>
        <w:t>第二部分2018年度部门决算情况说明</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一、2018年度收入支出决算总体情况说明</w:t>
      </w:r>
    </w:p>
    <w:p>
      <w:pPr>
        <w:pStyle w:val="11"/>
        <w:widowControl/>
        <w:shd w:val="clear" w:color="auto" w:fill="FFFFFF"/>
        <w:spacing w:beforeAutospacing="0" w:after="225" w:afterAutospacing="0"/>
        <w:ind w:firstLine="79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2018年度收入总计</w:t>
      </w:r>
      <w:r>
        <w:rPr>
          <w:rFonts w:hint="eastAsia" w:ascii="宋体" w:hAnsi="宋体" w:cs="宋体"/>
          <w:color w:val="373737"/>
          <w:sz w:val="28"/>
          <w:szCs w:val="28"/>
          <w:shd w:val="clear" w:color="auto" w:fill="FFFFFF"/>
          <w:lang w:val="en-US" w:eastAsia="zh-CN"/>
        </w:rPr>
        <w:t>1,335,891.72</w:t>
      </w:r>
      <w:r>
        <w:rPr>
          <w:rFonts w:hint="eastAsia" w:ascii="宋体" w:hAnsi="宋体" w:cs="宋体"/>
          <w:color w:val="373737"/>
          <w:sz w:val="28"/>
          <w:szCs w:val="28"/>
          <w:shd w:val="clear" w:color="auto" w:fill="FFFFFF"/>
        </w:rPr>
        <w:t>元，支出总计</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元，与上年相比，收入总计增加</w:t>
      </w:r>
      <w:r>
        <w:rPr>
          <w:rFonts w:hint="eastAsia" w:ascii="宋体" w:hAnsi="宋体" w:cs="宋体"/>
          <w:color w:val="373737"/>
          <w:sz w:val="28"/>
          <w:szCs w:val="28"/>
          <w:shd w:val="clear" w:color="auto" w:fill="FFFFFF"/>
          <w:lang w:val="en-US" w:eastAsia="zh-CN"/>
        </w:rPr>
        <w:t>126,433.17</w:t>
      </w:r>
      <w:r>
        <w:rPr>
          <w:rFonts w:hint="eastAsia" w:ascii="宋体" w:hAnsi="宋体" w:cs="宋体"/>
          <w:color w:val="373737"/>
          <w:sz w:val="28"/>
          <w:szCs w:val="28"/>
          <w:shd w:val="clear" w:color="auto" w:fill="FFFFFF"/>
        </w:rPr>
        <w:t>元，增长</w:t>
      </w:r>
      <w:r>
        <w:rPr>
          <w:rFonts w:hint="eastAsia" w:ascii="宋体" w:hAnsi="宋体" w:cs="宋体"/>
          <w:color w:val="373737"/>
          <w:sz w:val="28"/>
          <w:szCs w:val="28"/>
          <w:shd w:val="clear" w:color="auto" w:fill="FFFFFF"/>
          <w:lang w:val="en-US" w:eastAsia="zh-CN"/>
        </w:rPr>
        <w:t>9.46</w:t>
      </w:r>
      <w:r>
        <w:rPr>
          <w:rFonts w:hint="eastAsia" w:ascii="宋体" w:hAnsi="宋体" w:cs="宋体"/>
          <w:color w:val="373737"/>
          <w:sz w:val="28"/>
          <w:szCs w:val="28"/>
          <w:shd w:val="clear" w:color="auto" w:fill="FFFFFF"/>
        </w:rPr>
        <w:t>%；支出总计增加</w:t>
      </w:r>
      <w:r>
        <w:rPr>
          <w:rFonts w:hint="eastAsia" w:ascii="宋体" w:hAnsi="宋体" w:cs="宋体"/>
          <w:color w:val="373737"/>
          <w:sz w:val="28"/>
          <w:szCs w:val="28"/>
          <w:shd w:val="clear" w:color="auto" w:fill="FFFFFF"/>
          <w:lang w:val="en-US" w:eastAsia="zh-CN"/>
        </w:rPr>
        <w:t>86,318.41</w:t>
      </w:r>
      <w:r>
        <w:rPr>
          <w:rFonts w:hint="eastAsia" w:ascii="宋体" w:hAnsi="宋体" w:cs="宋体"/>
          <w:color w:val="373737"/>
          <w:sz w:val="28"/>
          <w:szCs w:val="28"/>
          <w:shd w:val="clear" w:color="auto" w:fill="FFFFFF"/>
        </w:rPr>
        <w:t>元，增长</w:t>
      </w:r>
      <w:r>
        <w:rPr>
          <w:rFonts w:hint="eastAsia" w:ascii="宋体" w:hAnsi="宋体" w:cs="宋体"/>
          <w:color w:val="373737"/>
          <w:sz w:val="28"/>
          <w:szCs w:val="28"/>
          <w:shd w:val="clear" w:color="auto" w:fill="FFFFFF"/>
          <w:lang w:val="en-US" w:eastAsia="zh-CN"/>
        </w:rPr>
        <w:t>6.59</w:t>
      </w:r>
      <w:r>
        <w:rPr>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 2018年度收入决算情况说明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本年收入合计</w:t>
      </w:r>
      <w:r>
        <w:rPr>
          <w:rFonts w:hint="eastAsia" w:ascii="宋体" w:hAnsi="宋体" w:cs="宋体"/>
          <w:color w:val="373737"/>
          <w:sz w:val="28"/>
          <w:szCs w:val="28"/>
          <w:shd w:val="clear" w:color="auto" w:fill="FFFFFF"/>
          <w:lang w:val="en-US" w:eastAsia="zh-CN"/>
        </w:rPr>
        <w:t>1,335,891.72</w:t>
      </w:r>
      <w:r>
        <w:rPr>
          <w:rFonts w:hint="eastAsia" w:ascii="宋体" w:hAnsi="宋体" w:cs="宋体"/>
          <w:color w:val="373737"/>
          <w:sz w:val="28"/>
          <w:szCs w:val="28"/>
          <w:shd w:val="clear" w:color="auto" w:fill="FFFFFF"/>
        </w:rPr>
        <w:t>元，其中：财政拨款收入</w:t>
      </w:r>
      <w:r>
        <w:rPr>
          <w:rFonts w:hint="eastAsia" w:ascii="宋体" w:hAnsi="宋体" w:cs="宋体"/>
          <w:color w:val="373737"/>
          <w:sz w:val="28"/>
          <w:szCs w:val="28"/>
          <w:shd w:val="clear" w:color="auto" w:fill="FFFFFF"/>
          <w:lang w:val="en-US" w:eastAsia="zh-CN"/>
        </w:rPr>
        <w:t>1,335,891.72</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100</w:t>
      </w:r>
      <w:r>
        <w:rPr>
          <w:rFonts w:hint="eastAsia" w:ascii="宋体" w:hAnsi="宋体" w:cs="宋体"/>
          <w:color w:val="373737"/>
          <w:sz w:val="28"/>
          <w:szCs w:val="28"/>
          <w:shd w:val="clear" w:color="auto" w:fill="FFFFFF"/>
        </w:rPr>
        <w:t>%；其他收入</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三、2018年度支出决算情况说明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本年支出合计</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元，其中：基本支出</w:t>
      </w:r>
      <w:r>
        <w:rPr>
          <w:rFonts w:hint="eastAsia" w:ascii="宋体" w:hAnsi="宋体" w:cs="宋体"/>
          <w:color w:val="373737"/>
          <w:sz w:val="28"/>
          <w:szCs w:val="28"/>
          <w:shd w:val="clear" w:color="auto" w:fill="FFFFFF"/>
          <w:lang w:val="en-US" w:eastAsia="zh-CN"/>
        </w:rPr>
        <w:t>1,300,935.93</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99.36</w:t>
      </w:r>
      <w:r>
        <w:rPr>
          <w:rFonts w:hint="eastAsia" w:ascii="宋体" w:hAnsi="宋体" w:cs="宋体"/>
          <w:color w:val="373737"/>
          <w:sz w:val="28"/>
          <w:szCs w:val="28"/>
          <w:shd w:val="clear" w:color="auto" w:fill="FFFFFF"/>
        </w:rPr>
        <w:t>%；项目支出</w:t>
      </w:r>
      <w:r>
        <w:rPr>
          <w:rFonts w:hint="eastAsia" w:ascii="宋体" w:hAnsi="宋体" w:cs="宋体"/>
          <w:color w:val="373737"/>
          <w:sz w:val="28"/>
          <w:szCs w:val="28"/>
          <w:shd w:val="clear" w:color="auto" w:fill="FFFFFF"/>
          <w:lang w:val="en-US" w:eastAsia="zh-CN"/>
        </w:rPr>
        <w:t>8400</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0.64</w:t>
      </w:r>
      <w:r>
        <w:rPr>
          <w:rFonts w:hint="eastAsia" w:ascii="宋体" w:hAnsi="宋体" w:cs="宋体"/>
          <w:color w:val="373737"/>
          <w:sz w:val="28"/>
          <w:szCs w:val="28"/>
          <w:shd w:val="clear" w:color="auto" w:fill="FFFFFF"/>
        </w:rPr>
        <w:t>%；</w:t>
      </w:r>
    </w:p>
    <w:p>
      <w:pPr>
        <w:pStyle w:val="11"/>
        <w:widowControl/>
        <w:shd w:val="clear" w:color="auto" w:fill="FFFFFF"/>
        <w:spacing w:beforeAutospacing="0" w:afterAutospacing="0"/>
        <w:ind w:left="135" w:right="270"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四、2018年度财政拨款收入支出决算总体情况说明</w:t>
      </w:r>
    </w:p>
    <w:p>
      <w:pPr>
        <w:pStyle w:val="11"/>
        <w:widowControl/>
        <w:shd w:val="clear" w:color="auto" w:fill="FFFFFF"/>
        <w:spacing w:beforeAutospacing="0" w:afterAutospacing="0"/>
        <w:ind w:left="135" w:right="270" w:firstLine="705"/>
        <w:jc w:val="both"/>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2018年度财政拨款收入</w:t>
      </w:r>
      <w:r>
        <w:rPr>
          <w:rFonts w:hint="eastAsia" w:ascii="宋体" w:hAnsi="宋体" w:cs="宋体"/>
          <w:color w:val="373737"/>
          <w:sz w:val="28"/>
          <w:szCs w:val="28"/>
          <w:shd w:val="clear" w:color="auto" w:fill="FFFFFF"/>
          <w:lang w:val="en-US" w:eastAsia="zh-CN"/>
        </w:rPr>
        <w:t>1,335,891.72</w:t>
      </w:r>
      <w:r>
        <w:rPr>
          <w:rFonts w:hint="eastAsia" w:ascii="宋体" w:hAnsi="宋体" w:cs="宋体"/>
          <w:color w:val="373737"/>
          <w:sz w:val="28"/>
          <w:szCs w:val="28"/>
          <w:shd w:val="clear" w:color="auto" w:fill="FFFFFF"/>
        </w:rPr>
        <w:t>元，与上年相比，增加</w:t>
      </w:r>
      <w:r>
        <w:rPr>
          <w:rFonts w:hint="eastAsia" w:ascii="宋体" w:hAnsi="宋体" w:cs="宋体"/>
          <w:color w:val="373737"/>
          <w:sz w:val="28"/>
          <w:szCs w:val="28"/>
          <w:shd w:val="clear" w:color="auto" w:fill="FFFFFF"/>
          <w:lang w:val="en-US" w:eastAsia="zh-CN"/>
        </w:rPr>
        <w:t>126,433.17</w:t>
      </w:r>
      <w:r>
        <w:rPr>
          <w:rFonts w:hint="eastAsia" w:ascii="宋体" w:hAnsi="宋体" w:cs="宋体"/>
          <w:color w:val="373737"/>
          <w:sz w:val="28"/>
          <w:szCs w:val="28"/>
          <w:shd w:val="clear" w:color="auto" w:fill="FFFFFF"/>
        </w:rPr>
        <w:t>元，增长</w:t>
      </w:r>
      <w:r>
        <w:rPr>
          <w:rFonts w:hint="eastAsia" w:ascii="宋体" w:hAnsi="宋体" w:cs="宋体"/>
          <w:color w:val="373737"/>
          <w:sz w:val="28"/>
          <w:szCs w:val="28"/>
          <w:shd w:val="clear" w:color="auto" w:fill="FFFFFF"/>
          <w:lang w:val="en-US" w:eastAsia="zh-CN"/>
        </w:rPr>
        <w:t>9.46</w:t>
      </w:r>
      <w:r>
        <w:rPr>
          <w:rFonts w:hint="eastAsia" w:ascii="宋体" w:hAnsi="宋体" w:cs="宋体"/>
          <w:color w:val="373737"/>
          <w:sz w:val="28"/>
          <w:szCs w:val="28"/>
          <w:shd w:val="clear" w:color="auto" w:fill="FFFFFF"/>
        </w:rPr>
        <w:t>%；2018年度财政拨款支出</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元，与上年相比，增加</w:t>
      </w:r>
      <w:r>
        <w:rPr>
          <w:rFonts w:hint="eastAsia" w:ascii="宋体" w:hAnsi="宋体" w:cs="宋体"/>
          <w:color w:val="373737"/>
          <w:sz w:val="28"/>
          <w:szCs w:val="28"/>
          <w:shd w:val="clear" w:color="auto" w:fill="FFFFFF"/>
          <w:lang w:val="en-US" w:eastAsia="zh-CN"/>
        </w:rPr>
        <w:t>86,318.41</w:t>
      </w:r>
      <w:r>
        <w:rPr>
          <w:rFonts w:hint="eastAsia" w:ascii="宋体" w:hAnsi="宋体" w:cs="宋体"/>
          <w:color w:val="373737"/>
          <w:sz w:val="28"/>
          <w:szCs w:val="28"/>
          <w:shd w:val="clear" w:color="auto" w:fill="FFFFFF"/>
        </w:rPr>
        <w:t>元，增长</w:t>
      </w:r>
      <w:r>
        <w:rPr>
          <w:rFonts w:hint="eastAsia" w:ascii="宋体" w:hAnsi="宋体" w:cs="宋体"/>
          <w:color w:val="373737"/>
          <w:sz w:val="28"/>
          <w:szCs w:val="28"/>
          <w:shd w:val="clear" w:color="auto" w:fill="FFFFFF"/>
          <w:lang w:val="en-US" w:eastAsia="zh-CN"/>
        </w:rPr>
        <w:t>6.59</w:t>
      </w:r>
      <w:r>
        <w:rPr>
          <w:rFonts w:hint="eastAsia" w:ascii="宋体" w:hAnsi="宋体" w:cs="宋体"/>
          <w:color w:val="373737"/>
          <w:sz w:val="28"/>
          <w:szCs w:val="28"/>
          <w:shd w:val="clear" w:color="auto" w:fill="FFFFFF"/>
        </w:rPr>
        <w:t>%。</w:t>
      </w:r>
    </w:p>
    <w:p>
      <w:pPr>
        <w:pStyle w:val="11"/>
        <w:widowControl/>
        <w:shd w:val="clear" w:color="auto" w:fill="FFFFFF"/>
        <w:spacing w:beforeAutospacing="0" w:afterAutospacing="0"/>
        <w:ind w:left="135" w:right="270"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五、2018年度一般公共预算财政拨款支出决算情况说明</w:t>
      </w:r>
    </w:p>
    <w:p>
      <w:pPr>
        <w:pStyle w:val="11"/>
        <w:widowControl/>
        <w:shd w:val="clear" w:color="auto" w:fill="FFFFFF"/>
        <w:spacing w:beforeAutospacing="0" w:after="225" w:afterAutospacing="0"/>
        <w:ind w:left="135" w:firstLine="70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（一）财政拨款支出决算总体情况。</w:t>
      </w:r>
    </w:p>
    <w:p>
      <w:pPr>
        <w:pStyle w:val="11"/>
        <w:widowControl/>
        <w:shd w:val="clear" w:color="auto" w:fill="FFFFFF"/>
        <w:spacing w:beforeAutospacing="0" w:after="225" w:afterAutospacing="0"/>
        <w:ind w:left="135" w:firstLine="73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元，占本年支出合计的</w:t>
      </w:r>
      <w:r>
        <w:rPr>
          <w:rFonts w:hint="eastAsia" w:ascii="宋体" w:hAnsi="宋体" w:cs="宋体"/>
          <w:color w:val="373737"/>
          <w:sz w:val="28"/>
          <w:szCs w:val="28"/>
          <w:shd w:val="clear" w:color="auto" w:fill="FFFFFF"/>
          <w:lang w:val="en-US" w:eastAsia="zh-CN"/>
        </w:rPr>
        <w:t>100</w:t>
      </w:r>
      <w:r>
        <w:rPr>
          <w:rFonts w:hint="eastAsia" w:ascii="宋体" w:hAnsi="宋体" w:cs="宋体"/>
          <w:color w:val="373737"/>
          <w:sz w:val="28"/>
          <w:szCs w:val="28"/>
          <w:shd w:val="clear" w:color="auto" w:fill="FFFFFF"/>
        </w:rPr>
        <w:t>%。与上年相比，财政拨款支出增加</w:t>
      </w:r>
      <w:r>
        <w:rPr>
          <w:rFonts w:hint="eastAsia" w:ascii="宋体" w:hAnsi="宋体" w:cs="宋体"/>
          <w:color w:val="373737"/>
          <w:sz w:val="28"/>
          <w:szCs w:val="28"/>
          <w:shd w:val="clear" w:color="auto" w:fill="FFFFFF"/>
          <w:lang w:val="en-US" w:eastAsia="zh-CN"/>
        </w:rPr>
        <w:t>86,318.41</w:t>
      </w:r>
      <w:r>
        <w:rPr>
          <w:rFonts w:hint="eastAsia" w:ascii="宋体" w:hAnsi="宋体" w:cs="宋体"/>
          <w:color w:val="373737"/>
          <w:sz w:val="28"/>
          <w:szCs w:val="28"/>
          <w:shd w:val="clear" w:color="auto" w:fill="FFFFFF"/>
        </w:rPr>
        <w:t>元，增长</w:t>
      </w:r>
      <w:r>
        <w:rPr>
          <w:rFonts w:hint="eastAsia" w:ascii="宋体" w:hAnsi="宋体" w:cs="宋体"/>
          <w:color w:val="373737"/>
          <w:sz w:val="28"/>
          <w:szCs w:val="28"/>
          <w:shd w:val="clear" w:color="auto" w:fill="FFFFFF"/>
          <w:lang w:val="en-US" w:eastAsia="zh-CN"/>
        </w:rPr>
        <w:t>6.59</w:t>
      </w:r>
      <w:r>
        <w:rPr>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（二）财政拨款支出决算结构情况。</w:t>
      </w:r>
    </w:p>
    <w:p>
      <w:pPr>
        <w:pStyle w:val="11"/>
        <w:widowControl/>
        <w:shd w:val="clear" w:color="auto" w:fill="FFFFFF"/>
        <w:spacing w:beforeAutospacing="0" w:after="225" w:afterAutospacing="0"/>
        <w:ind w:firstLine="1020"/>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元，主要用于以下方面：</w:t>
      </w:r>
      <w:r>
        <w:rPr>
          <w:rStyle w:val="7"/>
          <w:rFonts w:hint="eastAsia" w:ascii="宋体" w:hAnsi="宋体" w:cs="宋体"/>
          <w:color w:val="373737"/>
          <w:sz w:val="28"/>
          <w:szCs w:val="28"/>
          <w:shd w:val="clear" w:color="auto" w:fill="FFFFFF"/>
        </w:rPr>
        <w:t>社会保障和就业</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val="en-US" w:eastAsia="zh-CN"/>
        </w:rPr>
        <w:t>95,632.43</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7.30</w:t>
      </w:r>
      <w:r>
        <w:rPr>
          <w:rFonts w:hint="eastAsia" w:ascii="宋体" w:hAnsi="宋体" w:cs="宋体"/>
          <w:color w:val="373737"/>
          <w:sz w:val="28"/>
          <w:szCs w:val="28"/>
          <w:shd w:val="clear" w:color="auto" w:fill="FFFFFF"/>
        </w:rPr>
        <w:t>%；</w:t>
      </w:r>
      <w:r>
        <w:rPr>
          <w:rFonts w:hint="eastAsia" w:ascii="宋体" w:hAnsi="宋体" w:cs="宋体"/>
          <w:b/>
          <w:bCs/>
          <w:color w:val="373737"/>
          <w:sz w:val="28"/>
          <w:szCs w:val="28"/>
          <w:shd w:val="clear" w:color="auto" w:fill="FFFFFF"/>
          <w:lang w:eastAsia="zh-CN"/>
        </w:rPr>
        <w:t>教育支出</w:t>
      </w:r>
      <w:r>
        <w:rPr>
          <w:rStyle w:val="7"/>
          <w:rFonts w:hint="eastAsia" w:ascii="宋体" w:hAnsi="宋体" w:cs="宋体"/>
          <w:color w:val="373737"/>
          <w:sz w:val="28"/>
          <w:szCs w:val="28"/>
          <w:shd w:val="clear" w:color="auto" w:fill="FFFFFF"/>
        </w:rPr>
        <w:t>（类）</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val="en-US" w:eastAsia="zh-CN"/>
        </w:rPr>
        <w:t>1,205,303.50</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92.06</w:t>
      </w:r>
      <w:r>
        <w:rPr>
          <w:rFonts w:hint="eastAsia" w:ascii="宋体" w:hAnsi="宋体" w:cs="宋体"/>
          <w:color w:val="373737"/>
          <w:sz w:val="28"/>
          <w:szCs w:val="28"/>
          <w:shd w:val="clear" w:color="auto" w:fill="FFFFFF"/>
        </w:rPr>
        <w:t>%；</w:t>
      </w:r>
      <w:r>
        <w:rPr>
          <w:rStyle w:val="7"/>
          <w:rFonts w:hint="eastAsia" w:ascii="宋体" w:hAnsi="宋体" w:cs="宋体"/>
          <w:color w:val="373737"/>
          <w:sz w:val="28"/>
          <w:szCs w:val="28"/>
          <w:shd w:val="clear" w:color="auto" w:fill="FFFFFF"/>
        </w:rPr>
        <w:t>农林水</w:t>
      </w:r>
      <w:r>
        <w:rPr>
          <w:rFonts w:hint="eastAsia" w:ascii="宋体" w:hAnsi="宋体" w:cs="宋体"/>
          <w:color w:val="373737"/>
          <w:sz w:val="28"/>
          <w:szCs w:val="28"/>
          <w:shd w:val="clear" w:color="auto" w:fill="FFFFFF"/>
        </w:rPr>
        <w:t>支出</w:t>
      </w:r>
      <w:r>
        <w:rPr>
          <w:rFonts w:hint="eastAsia" w:ascii="宋体" w:hAnsi="宋体" w:cs="宋体"/>
          <w:color w:val="373737"/>
          <w:sz w:val="28"/>
          <w:szCs w:val="28"/>
          <w:shd w:val="clear" w:color="auto" w:fill="FFFFFF"/>
          <w:lang w:val="en-US" w:eastAsia="zh-CN"/>
        </w:rPr>
        <w:t>8400</w:t>
      </w:r>
      <w:r>
        <w:rPr>
          <w:rFonts w:hint="eastAsia" w:ascii="宋体" w:hAnsi="宋体" w:cs="宋体"/>
          <w:color w:val="373737"/>
          <w:sz w:val="28"/>
          <w:szCs w:val="28"/>
          <w:shd w:val="clear" w:color="auto" w:fill="FFFFFF"/>
        </w:rPr>
        <w:t>元，占</w:t>
      </w:r>
      <w:r>
        <w:rPr>
          <w:rFonts w:hint="eastAsia" w:ascii="宋体" w:hAnsi="宋体" w:cs="宋体"/>
          <w:color w:val="373737"/>
          <w:sz w:val="28"/>
          <w:szCs w:val="28"/>
          <w:shd w:val="clear" w:color="auto" w:fill="FFFFFF"/>
          <w:lang w:val="en-US" w:eastAsia="zh-CN"/>
        </w:rPr>
        <w:t>0.64</w:t>
      </w:r>
      <w:r>
        <w:rPr>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left="90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（三）财政拨款支出决算具体情况。（根据单位实际科目）</w:t>
      </w:r>
    </w:p>
    <w:p>
      <w:pPr>
        <w:pStyle w:val="11"/>
        <w:widowControl/>
        <w:shd w:val="clear" w:color="auto" w:fill="FFFFFF"/>
        <w:spacing w:beforeAutospacing="0" w:after="225" w:afterAutospacing="0"/>
        <w:ind w:firstLine="990"/>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2018年度财政拨款支出年初预算为</w:t>
      </w:r>
      <w:r>
        <w:rPr>
          <w:rFonts w:hint="eastAsia" w:ascii="宋体" w:hAnsi="宋体" w:cs="宋体"/>
          <w:color w:val="373737"/>
          <w:sz w:val="28"/>
          <w:szCs w:val="28"/>
          <w:shd w:val="clear" w:color="auto" w:fill="FFFFFF"/>
          <w:lang w:val="en-US" w:eastAsia="zh-CN"/>
        </w:rPr>
        <w:t>1,187,855.00</w:t>
      </w:r>
      <w:r>
        <w:rPr>
          <w:rFonts w:hint="eastAsia" w:ascii="宋体" w:hAnsi="宋体" w:cs="宋体"/>
          <w:color w:val="373737"/>
          <w:sz w:val="28"/>
          <w:szCs w:val="28"/>
          <w:shd w:val="clear" w:color="auto" w:fill="FFFFFF"/>
        </w:rPr>
        <w:t>元，支出决算为</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元，完成年初预算的</w:t>
      </w:r>
      <w:r>
        <w:rPr>
          <w:rFonts w:hint="eastAsia" w:ascii="宋体" w:hAnsi="宋体" w:cs="宋体"/>
          <w:color w:val="373737"/>
          <w:sz w:val="28"/>
          <w:szCs w:val="28"/>
          <w:shd w:val="clear" w:color="auto" w:fill="FFFFFF"/>
          <w:lang w:val="en-US" w:eastAsia="zh-CN"/>
        </w:rPr>
        <w:t>110.23</w:t>
      </w:r>
      <w:r>
        <w:rPr>
          <w:rFonts w:hint="eastAsia" w:ascii="宋体" w:hAnsi="宋体" w:cs="宋体"/>
          <w:color w:val="373737"/>
          <w:sz w:val="28"/>
          <w:szCs w:val="28"/>
          <w:shd w:val="clear" w:color="auto" w:fill="FFFFFF"/>
        </w:rPr>
        <w:t>%。决算数大于预算数的主要原因：2018年</w:t>
      </w:r>
      <w:r>
        <w:rPr>
          <w:rFonts w:hint="eastAsia" w:ascii="宋体" w:hAnsi="宋体" w:cs="宋体"/>
          <w:color w:val="373737"/>
          <w:sz w:val="28"/>
          <w:szCs w:val="28"/>
          <w:shd w:val="clear" w:color="auto" w:fill="FFFFFF"/>
          <w:lang w:eastAsia="zh-CN"/>
        </w:rPr>
        <w:t>在职职工增加，</w:t>
      </w:r>
      <w:r>
        <w:rPr>
          <w:rFonts w:hint="eastAsia" w:ascii="宋体" w:hAnsi="宋体" w:cs="宋体"/>
          <w:color w:val="373737"/>
          <w:sz w:val="28"/>
          <w:szCs w:val="28"/>
          <w:shd w:val="clear" w:color="auto" w:fill="FFFFFF"/>
        </w:rPr>
        <w:t>在职、离退休职工工资增长了和由于工资的增长相应的医疗保险、住房公积金、住房提租补贴相应的缴交比例也随之增加，所以决算数大于预算数</w:t>
      </w:r>
      <w:r>
        <w:rPr>
          <w:rFonts w:hint="eastAsia" w:ascii="宋体" w:hAnsi="宋体" w:cs="宋体"/>
          <w:color w:val="373737"/>
          <w:sz w:val="28"/>
          <w:szCs w:val="28"/>
          <w:shd w:val="clear" w:color="auto" w:fill="FFFFFF"/>
          <w:lang w:eastAsia="zh-CN"/>
        </w:rPr>
        <w:t>。</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1. 社会保障和就业</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w:t>
      </w:r>
      <w:r>
        <w:rPr>
          <w:rFonts w:hint="eastAsia" w:ascii="宋体" w:hAnsi="宋体" w:cs="宋体"/>
          <w:color w:val="373737"/>
          <w:sz w:val="28"/>
          <w:szCs w:val="28"/>
          <w:shd w:val="clear" w:color="auto" w:fill="FFFFFF"/>
          <w:lang w:val="en-US" w:eastAsia="zh-CN"/>
        </w:rPr>
        <w:t>87,757</w:t>
      </w:r>
      <w:r>
        <w:rPr>
          <w:rFonts w:hint="eastAsia" w:ascii="宋体" w:hAnsi="宋体" w:cs="宋体"/>
          <w:color w:val="373737"/>
          <w:sz w:val="28"/>
          <w:szCs w:val="28"/>
          <w:shd w:val="clear" w:color="auto" w:fill="FFFFFF"/>
        </w:rPr>
        <w:t>元，支出决算为</w:t>
      </w:r>
      <w:r>
        <w:rPr>
          <w:rFonts w:hint="eastAsia" w:ascii="宋体" w:hAnsi="宋体" w:cs="宋体"/>
          <w:color w:val="373737"/>
          <w:sz w:val="28"/>
          <w:szCs w:val="28"/>
          <w:shd w:val="clear" w:color="auto" w:fill="FFFFFF"/>
          <w:lang w:val="en-US" w:eastAsia="zh-CN"/>
        </w:rPr>
        <w:t>95,632.43</w:t>
      </w:r>
      <w:r>
        <w:rPr>
          <w:rFonts w:hint="eastAsia" w:ascii="宋体" w:hAnsi="宋体" w:cs="宋体"/>
          <w:color w:val="373737"/>
          <w:sz w:val="28"/>
          <w:szCs w:val="28"/>
          <w:shd w:val="clear" w:color="auto" w:fill="FFFFFF"/>
        </w:rPr>
        <w:t>元，完成年初预算的</w:t>
      </w:r>
      <w:r>
        <w:rPr>
          <w:rFonts w:hint="eastAsia" w:ascii="宋体" w:hAnsi="宋体" w:cs="宋体"/>
          <w:color w:val="373737"/>
          <w:sz w:val="28"/>
          <w:szCs w:val="28"/>
          <w:shd w:val="clear" w:color="auto" w:fill="FFFFFF"/>
          <w:lang w:val="en-US" w:eastAsia="zh-CN"/>
        </w:rPr>
        <w:t>108.97</w:t>
      </w:r>
      <w:r>
        <w:rPr>
          <w:rFonts w:hint="eastAsia" w:ascii="宋体" w:hAnsi="宋体" w:cs="宋体"/>
          <w:color w:val="373737"/>
          <w:sz w:val="28"/>
          <w:szCs w:val="28"/>
          <w:shd w:val="clear" w:color="auto" w:fill="FFFFFF"/>
        </w:rPr>
        <w:t>%。决算数大于预算数的主要原因是2018年离退休职工工资增长了。</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2. </w:t>
      </w:r>
      <w:r>
        <w:rPr>
          <w:rStyle w:val="7"/>
          <w:rFonts w:hint="eastAsia" w:ascii="宋体" w:hAnsi="宋体" w:cs="宋体"/>
          <w:color w:val="373737"/>
          <w:sz w:val="28"/>
          <w:szCs w:val="28"/>
          <w:shd w:val="clear" w:color="auto" w:fill="FFFFFF"/>
          <w:lang w:eastAsia="zh-CN"/>
        </w:rPr>
        <w:t>教育支出</w:t>
      </w:r>
      <w:r>
        <w:rPr>
          <w:rStyle w:val="7"/>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w:t>
      </w:r>
      <w:r>
        <w:rPr>
          <w:rFonts w:hint="eastAsia" w:ascii="宋体" w:hAnsi="宋体" w:cs="宋体"/>
          <w:color w:val="373737"/>
          <w:sz w:val="28"/>
          <w:szCs w:val="28"/>
          <w:shd w:val="clear" w:color="auto" w:fill="FFFFFF"/>
          <w:lang w:val="en-US" w:eastAsia="zh-CN"/>
        </w:rPr>
        <w:t>1,100,098</w:t>
      </w:r>
      <w:r>
        <w:rPr>
          <w:rFonts w:hint="eastAsia" w:ascii="宋体" w:hAnsi="宋体" w:cs="宋体"/>
          <w:color w:val="373737"/>
          <w:sz w:val="28"/>
          <w:szCs w:val="28"/>
          <w:shd w:val="clear" w:color="auto" w:fill="FFFFFF"/>
        </w:rPr>
        <w:t>元，支出决算为</w:t>
      </w:r>
      <w:r>
        <w:rPr>
          <w:rFonts w:hint="eastAsia" w:ascii="宋体" w:hAnsi="宋体" w:cs="宋体"/>
          <w:color w:val="373737"/>
          <w:sz w:val="28"/>
          <w:szCs w:val="28"/>
          <w:shd w:val="clear" w:color="auto" w:fill="FFFFFF"/>
          <w:lang w:val="en-US" w:eastAsia="zh-CN"/>
        </w:rPr>
        <w:t>1,205,303.50</w:t>
      </w:r>
      <w:r>
        <w:rPr>
          <w:rFonts w:hint="eastAsia" w:ascii="宋体" w:hAnsi="宋体" w:cs="宋体"/>
          <w:color w:val="373737"/>
          <w:sz w:val="28"/>
          <w:szCs w:val="28"/>
          <w:shd w:val="clear" w:color="auto" w:fill="FFFFFF"/>
        </w:rPr>
        <w:t>元，完成年初预算的</w:t>
      </w:r>
      <w:r>
        <w:rPr>
          <w:rFonts w:hint="eastAsia" w:ascii="宋体" w:hAnsi="宋体" w:cs="宋体"/>
          <w:color w:val="373737"/>
          <w:sz w:val="28"/>
          <w:szCs w:val="28"/>
          <w:shd w:val="clear" w:color="auto" w:fill="FFFFFF"/>
          <w:lang w:val="en-US" w:eastAsia="zh-CN"/>
        </w:rPr>
        <w:t>109.56</w:t>
      </w:r>
      <w:r>
        <w:rPr>
          <w:rFonts w:hint="eastAsia" w:ascii="宋体" w:hAnsi="宋体" w:cs="宋体"/>
          <w:color w:val="373737"/>
          <w:sz w:val="28"/>
          <w:szCs w:val="28"/>
          <w:shd w:val="clear" w:color="auto" w:fill="FFFFFF"/>
        </w:rPr>
        <w:t>%。决算数大于预算数的主要原因在职职工</w:t>
      </w:r>
      <w:r>
        <w:rPr>
          <w:rFonts w:hint="eastAsia" w:ascii="宋体" w:hAnsi="宋体" w:cs="宋体"/>
          <w:color w:val="373737"/>
          <w:sz w:val="28"/>
          <w:szCs w:val="28"/>
          <w:shd w:val="clear" w:color="auto" w:fill="FFFFFF"/>
          <w:lang w:eastAsia="zh-CN"/>
        </w:rPr>
        <w:t>增加，职工</w:t>
      </w:r>
      <w:r>
        <w:rPr>
          <w:rFonts w:hint="eastAsia" w:ascii="宋体" w:hAnsi="宋体" w:cs="宋体"/>
          <w:color w:val="373737"/>
          <w:sz w:val="28"/>
          <w:szCs w:val="28"/>
          <w:shd w:val="clear" w:color="auto" w:fill="FFFFFF"/>
        </w:rPr>
        <w:t>增长了工资。</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3. 农林水</w:t>
      </w:r>
      <w:r>
        <w:rPr>
          <w:rStyle w:val="7"/>
          <w:rFonts w:hint="eastAsia" w:ascii="宋体" w:hAnsi="宋体" w:cs="宋体"/>
          <w:color w:val="373737"/>
          <w:sz w:val="28"/>
          <w:szCs w:val="28"/>
          <w:shd w:val="clear" w:color="auto" w:fill="FFFFFF"/>
          <w:lang w:eastAsia="zh-CN"/>
        </w:rPr>
        <w:t>支出</w:t>
      </w:r>
      <w:r>
        <w:rPr>
          <w:rStyle w:val="7"/>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年初预算为</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元，支出决算为</w:t>
      </w:r>
      <w:r>
        <w:rPr>
          <w:rFonts w:hint="eastAsia" w:ascii="宋体" w:hAnsi="宋体" w:cs="宋体"/>
          <w:color w:val="373737"/>
          <w:sz w:val="28"/>
          <w:szCs w:val="28"/>
          <w:shd w:val="clear" w:color="auto" w:fill="FFFFFF"/>
          <w:lang w:val="en-US" w:eastAsia="zh-CN"/>
        </w:rPr>
        <w:t>8,400.00</w:t>
      </w:r>
      <w:r>
        <w:rPr>
          <w:rFonts w:hint="eastAsia" w:ascii="宋体" w:hAnsi="宋体" w:cs="宋体"/>
          <w:color w:val="373737"/>
          <w:sz w:val="28"/>
          <w:szCs w:val="28"/>
          <w:shd w:val="clear" w:color="auto" w:fill="FFFFFF"/>
        </w:rPr>
        <w:t>元，决算数大于预算数的主要原因是2018年增加了</w:t>
      </w:r>
      <w:r>
        <w:rPr>
          <w:rFonts w:hint="eastAsia" w:ascii="宋体" w:hAnsi="宋体" w:cs="宋体"/>
          <w:color w:val="373737"/>
          <w:sz w:val="28"/>
          <w:szCs w:val="28"/>
          <w:shd w:val="clear" w:color="auto" w:fill="FFFFFF"/>
          <w:lang w:eastAsia="zh-CN"/>
        </w:rPr>
        <w:t>扶贫补助支出</w:t>
      </w:r>
      <w:r>
        <w:rPr>
          <w:rFonts w:hint="eastAsia" w:ascii="宋体" w:hAnsi="宋体" w:cs="宋体"/>
          <w:color w:val="373737"/>
          <w:sz w:val="28"/>
          <w:szCs w:val="28"/>
          <w:shd w:val="clear" w:color="auto" w:fill="FFFFFF"/>
        </w:rPr>
        <w:t>。</w:t>
      </w:r>
    </w:p>
    <w:p>
      <w:pPr>
        <w:pStyle w:val="11"/>
        <w:widowControl/>
        <w:shd w:val="clear" w:color="auto" w:fill="FFFFFF"/>
        <w:spacing w:beforeAutospacing="0" w:after="225" w:afterAutospacing="0"/>
        <w:ind w:left="165" w:firstLine="480"/>
        <w:textAlignment w:val="baseline"/>
        <w:rPr>
          <w:rFonts w:ascii="宋体" w:hAnsi="宋体" w:cs="宋体"/>
          <w:color w:val="333333"/>
          <w:sz w:val="28"/>
          <w:szCs w:val="28"/>
        </w:rPr>
      </w:pPr>
    </w:p>
    <w:p>
      <w:pPr>
        <w:pStyle w:val="11"/>
        <w:widowControl/>
        <w:shd w:val="clear" w:color="auto" w:fill="FFFFFF"/>
        <w:spacing w:beforeAutospacing="0" w:after="225" w:afterAutospacing="0"/>
        <w:ind w:right="270" w:firstLine="31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六、2018年度一般公共预算财政拨款基本支出决算情况说明。</w:t>
      </w:r>
    </w:p>
    <w:p>
      <w:pPr>
        <w:pStyle w:val="11"/>
        <w:widowControl/>
        <w:shd w:val="clear" w:color="auto" w:fill="FFFFFF"/>
        <w:spacing w:beforeAutospacing="0" w:after="225" w:afterAutospacing="0"/>
        <w:ind w:right="105"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w:t>
      </w:r>
      <w:r>
        <w:rPr>
          <w:rFonts w:hint="eastAsia" w:ascii="宋体" w:hAnsi="宋体" w:cs="宋体"/>
          <w:color w:val="373737"/>
          <w:sz w:val="28"/>
          <w:szCs w:val="28"/>
          <w:shd w:val="clear" w:color="auto" w:fill="FFFFFF"/>
          <w:lang w:val="en-US" w:eastAsia="zh-CN"/>
        </w:rPr>
        <w:t>8</w:t>
      </w:r>
      <w:r>
        <w:rPr>
          <w:rFonts w:hint="eastAsia" w:ascii="宋体" w:hAnsi="宋体" w:cs="宋体"/>
          <w:color w:val="373737"/>
          <w:sz w:val="28"/>
          <w:szCs w:val="28"/>
          <w:shd w:val="clear" w:color="auto" w:fill="FFFFFF"/>
        </w:rPr>
        <w:t>年度财政拨款基本支出</w:t>
      </w:r>
      <w:r>
        <w:rPr>
          <w:rFonts w:hint="eastAsia" w:ascii="宋体" w:hAnsi="宋体" w:cs="宋体"/>
          <w:color w:val="373737"/>
          <w:sz w:val="28"/>
          <w:szCs w:val="28"/>
          <w:shd w:val="clear" w:color="auto" w:fill="FFFFFF"/>
          <w:lang w:val="en-US" w:eastAsia="zh-CN"/>
        </w:rPr>
        <w:t>1,309,335.93</w:t>
      </w:r>
      <w:r>
        <w:rPr>
          <w:rFonts w:hint="eastAsia" w:ascii="宋体" w:hAnsi="宋体" w:cs="宋体"/>
          <w:color w:val="373737"/>
          <w:sz w:val="28"/>
          <w:szCs w:val="28"/>
          <w:shd w:val="clear" w:color="auto" w:fill="FFFFFF"/>
        </w:rPr>
        <w:t>元，其中：人员经费</w:t>
      </w:r>
      <w:r>
        <w:rPr>
          <w:rFonts w:hint="eastAsia" w:ascii="宋体" w:hAnsi="宋体" w:cs="宋体"/>
          <w:color w:val="373737"/>
          <w:sz w:val="28"/>
          <w:szCs w:val="28"/>
          <w:shd w:val="clear" w:color="auto" w:fill="FFFFFF"/>
          <w:lang w:val="en-US" w:eastAsia="zh-CN"/>
        </w:rPr>
        <w:t>1,216,314.14</w:t>
      </w:r>
      <w:r>
        <w:rPr>
          <w:rFonts w:hint="eastAsia" w:ascii="宋体" w:hAnsi="宋体" w:cs="宋体"/>
          <w:color w:val="373737"/>
          <w:sz w:val="28"/>
          <w:szCs w:val="28"/>
          <w:shd w:val="clear" w:color="auto" w:fill="FFFFFF"/>
        </w:rPr>
        <w:t>元，主要包括：基本工资、津贴补贴、奖金、其他社会保障缴费、其他工资福利支出、退休费、医疗费、奖励金、住房公积金、提租补贴、采暖补贴、其他对个人和家庭的补助支出；公用经费</w:t>
      </w:r>
      <w:r>
        <w:rPr>
          <w:rFonts w:hint="eastAsia" w:ascii="宋体" w:hAnsi="宋体" w:cs="宋体"/>
          <w:color w:val="373737"/>
          <w:sz w:val="28"/>
          <w:szCs w:val="28"/>
          <w:shd w:val="clear" w:color="auto" w:fill="FFFFFF"/>
          <w:lang w:val="en-US" w:eastAsia="zh-CN"/>
        </w:rPr>
        <w:t>84621.79</w:t>
      </w:r>
      <w:r>
        <w:rPr>
          <w:rFonts w:hint="eastAsia" w:ascii="宋体" w:hAnsi="宋体" w:cs="宋体"/>
          <w:color w:val="373737"/>
          <w:sz w:val="28"/>
          <w:szCs w:val="28"/>
          <w:shd w:val="clear" w:color="auto" w:fill="FFFFFF"/>
        </w:rPr>
        <w:t>元，主要包括：办公费、印刷费、水费、电费、邮电费、</w:t>
      </w:r>
      <w:r>
        <w:rPr>
          <w:rFonts w:hint="eastAsia" w:ascii="宋体" w:hAnsi="宋体" w:cs="宋体"/>
          <w:color w:val="373737"/>
          <w:sz w:val="28"/>
          <w:szCs w:val="28"/>
          <w:shd w:val="clear" w:color="auto" w:fill="FFFFFF"/>
          <w:lang w:eastAsia="zh-CN"/>
        </w:rPr>
        <w:t>职工</w:t>
      </w:r>
      <w:r>
        <w:rPr>
          <w:rFonts w:hint="eastAsia" w:ascii="宋体" w:hAnsi="宋体" w:cs="宋体"/>
          <w:color w:val="373737"/>
          <w:sz w:val="28"/>
          <w:szCs w:val="28"/>
          <w:shd w:val="clear" w:color="auto" w:fill="FFFFFF"/>
        </w:rPr>
        <w:t>取暖费、物业费、差旅费、福利费。</w:t>
      </w:r>
      <w:r>
        <w:rPr>
          <w:rFonts w:hint="eastAsia" w:ascii="宋体" w:hAnsi="宋体" w:cs="宋体"/>
          <w:color w:val="373737"/>
          <w:sz w:val="28"/>
          <w:szCs w:val="28"/>
          <w:shd w:val="clear" w:color="auto" w:fill="FFFFFF"/>
          <w:lang w:eastAsia="zh-CN"/>
        </w:rPr>
        <w:t>农林水扶贫补助支出</w:t>
      </w:r>
      <w:r>
        <w:rPr>
          <w:rFonts w:hint="eastAsia" w:ascii="宋体" w:hAnsi="宋体" w:cs="宋体"/>
          <w:color w:val="373737"/>
          <w:sz w:val="28"/>
          <w:szCs w:val="28"/>
          <w:shd w:val="clear" w:color="auto" w:fill="FFFFFF"/>
          <w:lang w:val="en-US" w:eastAsia="zh-CN"/>
        </w:rPr>
        <w:t>8400元。</w:t>
      </w:r>
      <w:bookmarkStart w:id="0" w:name="_GoBack"/>
      <w:bookmarkEnd w:id="0"/>
    </w:p>
    <w:p>
      <w:pPr>
        <w:pStyle w:val="11"/>
        <w:widowControl/>
        <w:shd w:val="clear" w:color="auto" w:fill="FFFFFF"/>
        <w:spacing w:beforeAutospacing="0" w:afterAutospacing="0"/>
        <w:ind w:left="255" w:right="270"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七、2018年度一般公共预算财政拨款“三公”经费支出决算情况说明</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（一）“三公”经费财政拨款支出决算总体情况说明。</w:t>
      </w:r>
    </w:p>
    <w:p>
      <w:pPr>
        <w:pStyle w:val="11"/>
        <w:widowControl/>
        <w:shd w:val="clear" w:color="auto" w:fill="FFFFFF"/>
        <w:spacing w:beforeAutospacing="0" w:after="225" w:afterAutospacing="0"/>
        <w:ind w:left="279" w:leftChars="133" w:firstLine="580" w:firstLineChars="207"/>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2018年度“三公”经费财政拨款支出预算为</w:t>
      </w:r>
      <w:r>
        <w:rPr>
          <w:rFonts w:hint="eastAsia" w:ascii="宋体" w:hAnsi="宋体" w:cs="宋体"/>
          <w:color w:val="373737"/>
          <w:sz w:val="28"/>
          <w:szCs w:val="28"/>
          <w:shd w:val="clear" w:color="auto" w:fill="FFFFFF"/>
          <w:lang w:val="en-US" w:eastAsia="zh-CN"/>
        </w:rPr>
        <w:t>600</w:t>
      </w:r>
      <w:r>
        <w:rPr>
          <w:rFonts w:hint="eastAsia" w:ascii="宋体" w:hAnsi="宋体" w:cs="宋体"/>
          <w:color w:val="373737"/>
          <w:sz w:val="28"/>
          <w:szCs w:val="28"/>
          <w:shd w:val="clear" w:color="auto" w:fill="FFFFFF"/>
        </w:rPr>
        <w:t>元，支出决算为</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元，完成预算的</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%，其中：因公出国（境）费支出决算为</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元，完成预算的%；公务用车购置及运行费支出决算为</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元，完成预算的%；公务接待费支出决算为</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元，完成预算的%。2018年度“三公”经费支出决算数与预算数持平。</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2018年度“三公”经费财政拨款支出决算数比上年增减少</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元，减少%，公务用车购置及运行费支出决算0万元，减少%，原因为：部门严格执行三公经费缩减，车改后车辆上交；公务接待费支出决算0万元，增长%，原因为：严格按照上级标准，缩减公务接待开支。</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（二）“三公”经费财政拨款支出决算具体情况说明。</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2018年度“三公”经费财政拨款支出决算中，因公出国（境）费支出决算</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元，占%；公务用车购置及运行费支出决算</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元，占%；公务接待费支出决算</w:t>
      </w:r>
      <w:r>
        <w:rPr>
          <w:rFonts w:hint="eastAsia" w:ascii="宋体" w:hAnsi="宋体" w:cs="宋体"/>
          <w:color w:val="373737"/>
          <w:sz w:val="28"/>
          <w:szCs w:val="28"/>
          <w:shd w:val="clear" w:color="auto" w:fill="FFFFFF"/>
          <w:lang w:val="en-US" w:eastAsia="zh-CN"/>
        </w:rPr>
        <w:t>0</w:t>
      </w:r>
      <w:r>
        <w:rPr>
          <w:rFonts w:hint="eastAsia" w:ascii="宋体" w:hAnsi="宋体" w:cs="宋体"/>
          <w:color w:val="373737"/>
          <w:sz w:val="28"/>
          <w:szCs w:val="28"/>
          <w:shd w:val="clear" w:color="auto" w:fill="FFFFFF"/>
        </w:rPr>
        <w:t>元，占%。</w:t>
      </w:r>
    </w:p>
    <w:p>
      <w:pPr>
        <w:pStyle w:val="11"/>
        <w:widowControl/>
        <w:shd w:val="clear" w:color="auto" w:fill="FFFFFF"/>
        <w:spacing w:beforeAutospacing="0" w:after="225" w:afterAutospacing="0"/>
        <w:ind w:firstLine="855"/>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1.因公出国（境）费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万元。全年安排因公出国</w:t>
      </w:r>
    </w:p>
    <w:p>
      <w:pPr>
        <w:pStyle w:val="11"/>
        <w:widowControl/>
        <w:shd w:val="clear" w:color="auto"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auto" w:fill="FFFFFF"/>
        </w:rPr>
        <w:t>（境）团组0个，累计0人次。开支内容包括：出国人员差旅费0万元。</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2.公务用车购置及运行费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万元。其中：</w:t>
      </w:r>
      <w:r>
        <w:rPr>
          <w:rStyle w:val="7"/>
          <w:rFonts w:hint="eastAsia" w:ascii="宋体" w:hAnsi="宋体" w:cs="宋体"/>
          <w:color w:val="373737"/>
          <w:sz w:val="28"/>
          <w:szCs w:val="28"/>
          <w:shd w:val="clear" w:color="auto" w:fill="FFFFFF"/>
        </w:rPr>
        <w:t>公务用车购置</w:t>
      </w:r>
      <w:r>
        <w:rPr>
          <w:rFonts w:hint="eastAsia" w:ascii="宋体" w:hAnsi="宋体" w:cs="宋体"/>
          <w:color w:val="373737"/>
          <w:sz w:val="28"/>
          <w:szCs w:val="28"/>
          <w:shd w:val="clear" w:color="auto" w:fill="FFFFFF"/>
        </w:rPr>
        <w:t>支出为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公务用车运行</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w:t>
      </w:r>
      <w:r>
        <w:rPr>
          <w:rStyle w:val="7"/>
          <w:rFonts w:hint="eastAsia" w:ascii="宋体" w:hAnsi="宋体" w:cs="宋体"/>
          <w:color w:val="373737"/>
          <w:sz w:val="28"/>
          <w:szCs w:val="28"/>
          <w:shd w:val="clear" w:color="auto" w:fill="FFFFFF"/>
        </w:rPr>
        <w:t>公务用车保有量0</w:t>
      </w:r>
      <w:r>
        <w:rPr>
          <w:rFonts w:hint="eastAsia" w:ascii="宋体" w:hAnsi="宋体" w:cs="宋体"/>
          <w:color w:val="373737"/>
          <w:sz w:val="28"/>
          <w:szCs w:val="28"/>
          <w:shd w:val="clear" w:color="auto" w:fill="FFFFFF"/>
        </w:rPr>
        <w:t>台。</w:t>
      </w:r>
    </w:p>
    <w:p>
      <w:pPr>
        <w:pStyle w:val="11"/>
        <w:widowControl/>
        <w:shd w:val="clear" w:color="auto" w:fill="FFFFFF"/>
        <w:spacing w:beforeAutospacing="0" w:after="225" w:afterAutospacing="0"/>
        <w:ind w:firstLine="630"/>
        <w:textAlignment w:val="baseline"/>
        <w:rPr>
          <w:rFonts w:ascii="宋体" w:hAnsi="宋体" w:cs="宋体"/>
          <w:color w:val="333333"/>
          <w:sz w:val="28"/>
          <w:szCs w:val="28"/>
        </w:rPr>
      </w:pPr>
      <w:r>
        <w:rPr>
          <w:rStyle w:val="7"/>
          <w:rFonts w:hint="eastAsia" w:ascii="宋体" w:hAnsi="宋体" w:cs="宋体"/>
          <w:color w:val="373737"/>
          <w:sz w:val="28"/>
          <w:szCs w:val="28"/>
          <w:shd w:val="clear" w:color="auto" w:fill="FFFFFF"/>
        </w:rPr>
        <w:t>3.公务接待费</w:t>
      </w:r>
      <w:r>
        <w:rPr>
          <w:rFonts w:hint="eastAsia" w:ascii="宋体" w:hAnsi="宋体" w:cs="宋体"/>
          <w:color w:val="373737"/>
          <w:sz w:val="28"/>
          <w:szCs w:val="28"/>
          <w:shd w:val="clear" w:color="auto" w:fill="FFFFFF"/>
        </w:rPr>
        <w:t>支出</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万元。其中：国内公务接待</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万元，国内公务接待批次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个，国内公务接待人次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人；国（境）外公务接待</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万元，国（境）外公务接待批次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个，国（境）外公务接待人次</w:t>
      </w:r>
      <w:r>
        <w:rPr>
          <w:rStyle w:val="7"/>
          <w:rFonts w:hint="eastAsia" w:ascii="宋体" w:hAnsi="宋体" w:cs="宋体"/>
          <w:color w:val="373737"/>
          <w:sz w:val="28"/>
          <w:szCs w:val="28"/>
          <w:shd w:val="clear" w:color="auto" w:fill="FFFFFF"/>
        </w:rPr>
        <w:t>0</w:t>
      </w:r>
      <w:r>
        <w:rPr>
          <w:rFonts w:hint="eastAsia" w:ascii="宋体" w:hAnsi="宋体" w:cs="宋体"/>
          <w:color w:val="373737"/>
          <w:sz w:val="28"/>
          <w:szCs w:val="28"/>
          <w:shd w:val="clear" w:color="auto" w:fill="FFFFFF"/>
        </w:rPr>
        <w:t>人。</w:t>
      </w:r>
    </w:p>
    <w:p>
      <w:pPr>
        <w:pStyle w:val="11"/>
        <w:widowControl/>
        <w:spacing w:before="180" w:beforeAutospacing="0" w:after="360" w:afterAutospacing="0" w:line="450" w:lineRule="atLeast"/>
        <w:ind w:left="900"/>
        <w:rPr>
          <w:rFonts w:ascii="宋体" w:hAnsi="宋体" w:cs="宋体"/>
          <w:sz w:val="28"/>
          <w:szCs w:val="28"/>
        </w:rPr>
      </w:pPr>
      <w:r>
        <w:rPr>
          <w:rFonts w:hint="eastAsia" w:ascii="宋体" w:hAnsi="宋体" w:cs="宋体"/>
          <w:b/>
          <w:color w:val="333333"/>
          <w:sz w:val="28"/>
          <w:szCs w:val="28"/>
        </w:rPr>
        <w:t>八、其他重要事项的情况说明</w:t>
      </w:r>
    </w:p>
    <w:p>
      <w:pPr>
        <w:pStyle w:val="11"/>
        <w:widowControl/>
        <w:spacing w:before="180" w:beforeAutospacing="0" w:after="360" w:afterAutospacing="0" w:line="457" w:lineRule="atLeast"/>
        <w:ind w:firstLine="851"/>
        <w:rPr>
          <w:rFonts w:ascii="宋体" w:hAnsi="宋体" w:cs="宋体"/>
          <w:sz w:val="28"/>
          <w:szCs w:val="28"/>
        </w:rPr>
      </w:pPr>
      <w:r>
        <w:rPr>
          <w:rFonts w:hint="eastAsia" w:ascii="宋体" w:hAnsi="宋体" w:cs="宋体"/>
          <w:color w:val="333333"/>
          <w:sz w:val="28"/>
          <w:szCs w:val="28"/>
        </w:rPr>
        <w:t> </w:t>
      </w:r>
      <w:r>
        <w:rPr>
          <w:rFonts w:hint="eastAsia" w:ascii="宋体" w:hAnsi="宋体" w:cs="宋体"/>
          <w:color w:val="333333"/>
          <w:sz w:val="28"/>
          <w:szCs w:val="28"/>
          <w:lang w:val="en-US" w:eastAsia="zh-CN"/>
        </w:rPr>
        <w:t xml:space="preserve">  无</w:t>
      </w:r>
    </w:p>
    <w:p>
      <w:pPr>
        <w:pStyle w:val="11"/>
        <w:widowControl/>
        <w:spacing w:before="180" w:beforeAutospacing="0" w:after="360" w:afterAutospacing="0" w:line="457" w:lineRule="atLeast"/>
        <w:ind w:firstLine="851"/>
        <w:rPr>
          <w:rFonts w:ascii="宋体" w:hAnsi="宋体" w:cs="宋体"/>
          <w:sz w:val="28"/>
          <w:szCs w:val="28"/>
        </w:rPr>
      </w:pPr>
      <w:r>
        <w:rPr>
          <w:rFonts w:hint="eastAsia" w:ascii="宋体" w:hAnsi="宋体" w:cs="宋体"/>
          <w:b/>
          <w:color w:val="333333"/>
          <w:sz w:val="28"/>
          <w:szCs w:val="28"/>
        </w:rPr>
        <w:t>第三部分 名词解释</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一、财政拨款收入</w:t>
      </w:r>
      <w:r>
        <w:rPr>
          <w:rFonts w:hint="eastAsia" w:ascii="宋体" w:hAnsi="宋体" w:cs="宋体"/>
          <w:color w:val="333333"/>
          <w:sz w:val="28"/>
          <w:szCs w:val="28"/>
        </w:rPr>
        <w:t>：指县级财政当年拨付的资金。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11"/>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11"/>
        <w:widowControl/>
        <w:spacing w:before="180" w:beforeAutospacing="0" w:after="360" w:afterAutospacing="0" w:line="450" w:lineRule="atLeast"/>
        <w:ind w:firstLine="899"/>
        <w:rPr>
          <w:rFonts w:ascii="宋体" w:hAnsi="宋体" w:cs="宋体"/>
          <w:sz w:val="28"/>
          <w:szCs w:val="28"/>
        </w:rPr>
      </w:pPr>
      <w:r>
        <w:rPr>
          <w:rFonts w:hint="eastAsia" w:ascii="宋体" w:hAnsi="宋体" w:cs="宋体"/>
          <w:b/>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11"/>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1"/>
        <w:widowControl/>
        <w:spacing w:before="180" w:beforeAutospacing="0" w:after="360" w:afterAutospacing="0" w:line="450" w:lineRule="atLeast"/>
        <w:ind w:firstLine="729"/>
        <w:rPr>
          <w:rFonts w:ascii="宋体" w:hAnsi="宋体" w:cs="宋体"/>
          <w:sz w:val="28"/>
          <w:szCs w:val="28"/>
        </w:rPr>
      </w:pPr>
      <w:r>
        <w:rPr>
          <w:rFonts w:hint="eastAsia" w:ascii="宋体" w:hAnsi="宋体" w:cs="宋体"/>
          <w:b/>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rFonts w:ascii="Calibri" w:hAnsi="Calibri" w:eastAsia="宋体"/>
      <w:kern w:val="2"/>
      <w:sz w:val="18"/>
      <w:szCs w:val="18"/>
    </w:rPr>
  </w:style>
  <w:style w:type="character" w:customStyle="1" w:styleId="3">
    <w:name w:val="页脚 Char"/>
    <w:basedOn w:val="4"/>
    <w:link w:val="2"/>
    <w:semiHidden/>
    <w:rPr>
      <w:rFonts w:ascii="Calibri" w:hAnsi="Calibri" w:eastAsia="宋体"/>
      <w:kern w:val="2"/>
      <w:sz w:val="18"/>
      <w:szCs w:val="18"/>
    </w:rPr>
  </w:style>
  <w:style w:type="paragraph" w:styleId="5">
    <w:name w:val="header"/>
    <w:basedOn w:val="1"/>
    <w:link w:val="6"/>
    <w:pPr>
      <w:pBdr>
        <w:bottom w:val="single" w:color="auto" w:sz="6" w:space="1"/>
      </w:pBdr>
      <w:tabs>
        <w:tab w:val="center" w:pos="4153"/>
        <w:tab w:val="right" w:pos="8306"/>
      </w:tabs>
      <w:snapToGrid w:val="0"/>
      <w:jc w:val="center"/>
    </w:pPr>
    <w:rPr>
      <w:rFonts w:ascii="Calibri" w:hAnsi="Calibri" w:eastAsia="宋体"/>
      <w:kern w:val="2"/>
      <w:sz w:val="18"/>
      <w:szCs w:val="18"/>
    </w:rPr>
  </w:style>
  <w:style w:type="character" w:customStyle="1" w:styleId="6">
    <w:name w:val="页眉 Char"/>
    <w:basedOn w:val="4"/>
    <w:link w:val="5"/>
    <w:semiHidden/>
    <w:rPr>
      <w:rFonts w:ascii="Calibri" w:hAnsi="Calibri" w:eastAsia="宋体"/>
      <w:kern w:val="2"/>
      <w:sz w:val="18"/>
      <w:szCs w:val="18"/>
    </w:rPr>
  </w:style>
  <w:style w:type="character" w:styleId="7">
    <w:name w:val="Strong"/>
    <w:basedOn w:val="4"/>
    <w:rPr>
      <w:b/>
    </w:rPr>
  </w:style>
  <w:style w:type="character" w:styleId="8">
    <w:name w:val="FollowedHyperlink"/>
    <w:basedOn w:val="4"/>
    <w:rPr>
      <w:color w:val="333333"/>
      <w:sz w:val="18"/>
      <w:szCs w:val="18"/>
      <w:u w:val="none"/>
    </w:rPr>
  </w:style>
  <w:style w:type="character" w:styleId="9">
    <w:name w:val="Emphasis"/>
    <w:basedOn w:val="4"/>
    <w:rPr>
      <w:i/>
    </w:rPr>
  </w:style>
  <w:style w:type="character" w:styleId="10">
    <w:name w:val="Hyperlink"/>
    <w:basedOn w:val="4"/>
    <w:rPr>
      <w:color w:val="333333"/>
      <w:sz w:val="18"/>
      <w:szCs w:val="18"/>
      <w:u w:val="none"/>
    </w:rPr>
  </w:style>
  <w:style w:type="paragraph" w:customStyle="1" w:styleId="11">
    <w:name w:val="Normal (Web)"/>
    <w:basedOn w:val="1"/>
    <w:pPr>
      <w:spacing w:beforeAutospacing="1" w:afterAutospacing="1"/>
      <w:jc w:val="left"/>
    </w:pPr>
    <w:rPr>
      <w:rFonts w:cs="Times New Roman"/>
      <w:kern w:val="0"/>
      <w:sz w:val="24"/>
    </w:rPr>
  </w:style>
  <w:style w:type="character" w:customStyle="1" w:styleId="12">
    <w:name w:val="laiy"/>
    <w:basedOn w:val="4"/>
    <w:rPr/>
  </w:style>
  <w:style w:type="character" w:customStyle="1" w:styleId="13">
    <w:name w:val="zuoz"/>
    <w:basedOn w:val="4"/>
    <w:rPr/>
  </w:style>
  <w:style w:type="character" w:customStyle="1" w:styleId="14">
    <w:name w:val="update"/>
    <w:basedOn w:val="4"/>
    <w:rPr/>
  </w:style>
  <w:style w:type="character" w:customStyle="1" w:styleId="15">
    <w:name w:val="hot1"/>
    <w:basedOn w:val="4"/>
    <w:rPr/>
  </w:style>
  <w:style w:type="character" w:customStyle="1" w:styleId="16">
    <w:name w:val="td12"/>
    <w:basedOn w:val="4"/>
    <w:rPr>
      <w:rFonts w:ascii="Arial" w:hAnsi="Arial" w:cs="Arial"/>
      <w:color w:val="FFFFFF"/>
      <w:sz w:val="16"/>
      <w:szCs w:val="16"/>
    </w:rPr>
  </w:style>
  <w:style w:type="character" w:customStyle="1" w:styleId="17">
    <w:name w:val="td22"/>
    <w:basedOn w:val="4"/>
    <w:rPr/>
  </w:style>
  <w:style w:type="character" w:customStyle="1" w:styleId="18">
    <w:name w:val="td32"/>
    <w:basedOn w:val="4"/>
    <w:rPr/>
  </w:style>
  <w:style w:type="character" w:customStyle="1" w:styleId="19">
    <w:name w:val="home"/>
    <w:basedOn w:val="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2019-08-30T01:05:00Z</dcterms:created>
  <dc:creator>tianlinyu</dc:creator>
  <dcterms:modified xsi:type="dcterms:W3CDTF">2021-05-20T15:10:44Z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