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绥滨县卫生计生局</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一、主要职能</w:t>
      </w:r>
    </w:p>
    <w:p>
      <w:pPr>
        <w:pStyle w:val="2"/>
        <w:keepNext w:val="0"/>
        <w:keepLines w:val="0"/>
        <w:widowControl/>
        <w:suppressLineNumbers w:val="0"/>
        <w:spacing w:before="180" w:beforeAutospacing="0" w:after="360" w:afterAutospacing="0" w:line="450" w:lineRule="atLeast"/>
        <w:ind w:right="0" w:firstLine="600" w:firstLineChars="200"/>
        <w:jc w:val="left"/>
        <w:rPr>
          <w:rFonts w:hint="eastAsia" w:ascii="仿宋" w:hAnsi="仿宋" w:eastAsia="仿宋"/>
          <w:color w:val="3D3D3D"/>
          <w:sz w:val="30"/>
          <w:szCs w:val="30"/>
        </w:rPr>
      </w:pPr>
      <w:r>
        <w:rPr>
          <w:rFonts w:hint="eastAsia" w:ascii="仿宋" w:hAnsi="仿宋" w:eastAsia="仿宋"/>
          <w:color w:val="3D3D3D"/>
          <w:sz w:val="30"/>
          <w:szCs w:val="30"/>
        </w:rPr>
        <w:t>（一）贯彻执行卫生和计划生育、中医药事业发展的法律、法规以及标准、规章。负责协调推进医药卫生体制改革和医疗保障，组织制定并实施全县卫生事业发展规划和政策措施，统筹规划与协调卫生和计划生育服务资源配置，指导区域卫生和计划生育规划的编制和实施。</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二）负责组织实施疾病预防控制规划、计划免疫规划和严重危害人民健康的公共卫生问题的干预措施，协调有关部门对重大疾病实施综合防控与干预，制定卫生应急和紧急医学救援预案、突发公共卫生事件监测和风险评估计划，组织和指导实施突发公共卫生事件预防控制与医疗应急处置，发布法定报告传染病疫情信息、突发公共卫生事件应急处置，信息。</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三）负责职责范围内的职业卫生、放射卫生、环境卫生、学校卫生、公共场所和饮用水的卫生安全监督管理，组织开展相关监测、调查、评估和监督，负责传染病防治监督。组织开展食品安全风险监测、评估、预警和交流工作。</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四）负责组织拟订并实施全县基层卫生和计划生育服务、妇幼卫生发展规划和政策措施，指导基层卫生和计划生育、妇幼卫生服务体系建设，推进基本公共卫生和计划生育服务均等化，完善基层运行新机制和乡村医生管理制度。</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五）负责医疗机构和医疗服务的全行业监督管理。负责制定医疗机构和医疗服务全行业管理办法并监督实施。组织实施医疗机构及其医疗服务、医疗技术、医疗质量、医疗安全以及采供血机构管理的政策、规范、标准，会同有关部门组织实施卫生专业技术人员准入、资格标准，组织实施卫生专业技术人员执业规则和服务规范，建立医疗服务评价和监督管理体系。</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（六）负责组织推进公立医院改革，建立公益性为导向的绩效考核和评价运行机制，建设和谐医患关系，提出医疗服务和药品价格政策的建设。</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（七）负责组织实施国家药物政策，执行国家基本药物制度和国家基本药物目录，执行国家基本药物采购、配送、使用的管理制度，提出我县基本药物价格的政策建议。</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八）组织实施促进出生人口性别平衡的政策措施，组织监测计划生育发展动态，提出发布计划生育安全预警预报信息建议。制定计划生育技术服务管理制度并监督实施。组织实施优生优育和提高出生人口素质的政策，推动实施计划生育生殖健康促进计划，降低出生缺陷人口数量。</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九）组织建立计划生育利益导向、计划生育特殊困难家庭扶助和促进计划生育家庭发展等机制。负责协调推进有关部门、群众团体履行计划生育工作相关职责，建立与经济补助发展政策的衔接机制，提出稳定低生育水平政策措施。</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（十）制定流动人口计划生育服务管理制度并组织落实，推动建立流动人口卫生和计划生育信息共享和公共服务工作机制。</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（十一）组织拟订卫生和计划生育人才发展规划，指导卫生和计划生育人才建设，加强全科医生等急需紧缺专业人才培养，建立完善住院医师和专科工程师规范化培训制度并指导实施。</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（十二）组织拟订全县卫生和计划生育科技发展规划，组织实施县重点卫生和计划生育相关科研攻关项目。组织实施毕业后医学教育和继续医学教育工作。</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（十三）指导乡村卫生和计划生育工作，完善综合监督执法体系，规范执法行为，监督检查法律法规和政策措施的落实，组织查处重大违法行为。监督落实计划生育一票否决制。</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(十四)负责卫生和计划生育宣传、健康教育、健康促进和信息化建设等工作，依法组织实施统计调查，参与全县人口基础信息库建设。</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（十五）指导制定中医药中长期发展规划，并纳入卫生和计划生育事业发展总体规划和战略目标。促进中医药和民族医药事业发展，继承和发展中医药文化。组织开展中医药人才培养、中医药师承教育。</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（十六）承担县爱国卫生运动委员会、深化医药卫生体制改革领导小组和县防治艾滋病领导小组的日常工作。</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（十七）承办县政府交办的其他事项。</w:t>
      </w:r>
    </w:p>
    <w:p>
      <w:pPr>
        <w:pStyle w:val="2"/>
        <w:keepNext w:val="0"/>
        <w:keepLines w:val="0"/>
        <w:widowControl/>
        <w:suppressLineNumbers w:val="0"/>
        <w:shd w:val="clear" w:fill="FFFFFF"/>
        <w:spacing w:before="180" w:beforeAutospacing="0" w:after="360" w:afterAutospacing="0" w:line="360" w:lineRule="atLeast"/>
        <w:ind w:left="0" w:right="0" w:firstLine="1131" w:firstLineChars="404"/>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right="0" w:firstLine="1120" w:firstLineChars="4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卫生计生局</w:t>
      </w: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cstheme="minorEastAsia"/>
          <w:color w:val="333333"/>
          <w:sz w:val="28"/>
          <w:szCs w:val="28"/>
          <w:lang w:val="en-US" w:eastAsia="zh-CN"/>
        </w:rPr>
        <w:t>九</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right="0" w:firstLine="1120" w:firstLineChars="4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cstheme="minorEastAsia"/>
          <w:color w:val="333333"/>
          <w:sz w:val="28"/>
          <w:szCs w:val="28"/>
          <w:lang w:val="en-US" w:eastAsia="zh-CN"/>
        </w:rPr>
        <w:t>25</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17</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13</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21</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515.27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632.04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23.86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4.86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166.43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35.74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515.27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514.82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99.91</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0.09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632.04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412.17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65.21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219.87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34.79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514.82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24.16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4.92</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631.59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166.72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35.86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631.59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99.93</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166.72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35.86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631.59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70.8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11.21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545.45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86.36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0.67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11.14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1.76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356.35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631.59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177.24</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99.46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70.8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71.18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245.78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545.45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221.93</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%。决算数大于预算数的主要原因在职职工增长了工资，使医疗保险的缴交比例增加了。增加了行政管理事务等项目资金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4.2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11.11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11.14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100.27</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412.17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258.25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60.44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%，其中：公务接待费支出决算为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35.29</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35.29</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年度“三公”经费财政拨款支出决算中，公务接待费支出决算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5</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25</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60.44</w:t>
      </w:r>
      <w:r>
        <w:rPr>
          <w:rFonts w:hint="eastAsia" w:asciiTheme="minorEastAsia" w:hAnsiTheme="minorEastAsia" w:eastAsiaTheme="minorEastAsia" w:cstheme="minorEastAsia"/>
          <w:color w:val="333333"/>
          <w:sz w:val="28"/>
          <w:szCs w:val="28"/>
        </w:rPr>
        <w:t>万元，比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年增加（减少）</w:t>
      </w:r>
      <w:r>
        <w:rPr>
          <w:rFonts w:hint="eastAsia" w:asciiTheme="minorEastAsia" w:hAnsiTheme="minorEastAsia" w:cstheme="minorEastAsia"/>
          <w:color w:val="333333"/>
          <w:sz w:val="28"/>
          <w:szCs w:val="28"/>
          <w:lang w:val="en-US" w:eastAsia="zh-CN"/>
        </w:rPr>
        <w:t>57.27</w:t>
      </w:r>
      <w:r>
        <w:rPr>
          <w:rFonts w:hint="eastAsia" w:asciiTheme="minorEastAsia" w:hAnsiTheme="minorEastAsia" w:eastAsiaTheme="minorEastAsia" w:cstheme="minorEastAsia"/>
          <w:color w:val="333333"/>
          <w:sz w:val="28"/>
          <w:szCs w:val="28"/>
        </w:rPr>
        <w:t>万元，增长（降低）</w:t>
      </w:r>
      <w:r>
        <w:rPr>
          <w:rFonts w:hint="eastAsia" w:asciiTheme="minorEastAsia" w:hAnsiTheme="minorEastAsia" w:cstheme="minorEastAsia"/>
          <w:color w:val="333333"/>
          <w:sz w:val="28"/>
          <w:szCs w:val="28"/>
          <w:lang w:val="en-US" w:eastAsia="zh-CN"/>
        </w:rPr>
        <w:t>1800.66</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增加了房屋维修费用</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cstheme="minorEastAsia"/>
          <w:color w:val="333333"/>
          <w:sz w:val="28"/>
          <w:szCs w:val="28"/>
          <w:lang w:val="en-US" w:eastAsia="zh-CN"/>
        </w:rPr>
        <w:t>22.25</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cstheme="minorEastAsia"/>
          <w:color w:val="333333"/>
          <w:sz w:val="28"/>
          <w:szCs w:val="28"/>
          <w:lang w:val="en-US" w:eastAsia="zh-CN"/>
        </w:rPr>
        <w:t>22.25</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216.87</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基本公共卫生服务专项</w:t>
      </w:r>
      <w:r>
        <w:rPr>
          <w:rFonts w:hint="eastAsia" w:asciiTheme="minorEastAsia" w:hAnsiTheme="minorEastAsia" w:eastAsiaTheme="minorEastAsia" w:cstheme="minorEastAsia"/>
          <w:color w:val="333333"/>
          <w:sz w:val="28"/>
          <w:szCs w:val="28"/>
        </w:rPr>
        <w:t>”等 7 个项目进行了绩效评价，共涉及资金</w:t>
      </w:r>
      <w:r>
        <w:rPr>
          <w:rFonts w:hint="eastAsia" w:asciiTheme="minorEastAsia" w:hAnsiTheme="minorEastAsia" w:cstheme="minorEastAsia"/>
          <w:color w:val="333333"/>
          <w:sz w:val="28"/>
          <w:szCs w:val="28"/>
          <w:lang w:val="en-US" w:eastAsia="zh-CN"/>
        </w:rPr>
        <w:t>216.87</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bookmarkStart w:id="0" w:name="_GoBack"/>
      <w:bookmarkEnd w:id="0"/>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E980DC7"/>
    <w:rsid w:val="15EF6A74"/>
    <w:rsid w:val="16DD5CBD"/>
    <w:rsid w:val="179B676B"/>
    <w:rsid w:val="1A424AC0"/>
    <w:rsid w:val="1B98128A"/>
    <w:rsid w:val="1C6C3690"/>
    <w:rsid w:val="1CB75A65"/>
    <w:rsid w:val="1CFB22BC"/>
    <w:rsid w:val="24B6368C"/>
    <w:rsid w:val="2A054FEB"/>
    <w:rsid w:val="2B7D1886"/>
    <w:rsid w:val="2DE7389C"/>
    <w:rsid w:val="2F5E4618"/>
    <w:rsid w:val="3B443BAC"/>
    <w:rsid w:val="3DDC6AB6"/>
    <w:rsid w:val="415121B3"/>
    <w:rsid w:val="419008B3"/>
    <w:rsid w:val="56977906"/>
    <w:rsid w:val="5F7D55EE"/>
    <w:rsid w:val="60E75C52"/>
    <w:rsid w:val="62763A6A"/>
    <w:rsid w:val="62835700"/>
    <w:rsid w:val="6B6E45D7"/>
    <w:rsid w:val="6BC52739"/>
    <w:rsid w:val="6FFD1285"/>
    <w:rsid w:val="763C3B43"/>
    <w:rsid w:val="768870B2"/>
    <w:rsid w:val="7A6668DB"/>
    <w:rsid w:val="7BAB15D2"/>
    <w:rsid w:val="7BC22F3A"/>
    <w:rsid w:val="7BF613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qFormat/>
    <w:uiPriority w:val="0"/>
  </w:style>
  <w:style w:type="character" w:customStyle="1" w:styleId="15">
    <w:name w:val="td32"/>
    <w:basedOn w:val="3"/>
    <w:qFormat/>
    <w:uiPriority w:val="0"/>
  </w:style>
  <w:style w:type="character" w:customStyle="1" w:styleId="16">
    <w:name w:val="home"/>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2019-09-06T08:52:07Z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