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b/>
          <w:color w:val="333333"/>
          <w:sz w:val="28"/>
          <w:szCs w:val="28"/>
          <w:lang w:val="en-US" w:eastAsia="zh-CN"/>
        </w:rPr>
      </w:pPr>
      <w:r>
        <w:rPr>
          <w:rFonts w:hint="eastAsia" w:ascii="宋体" w:hAnsi="宋体" w:eastAsia="宋体" w:cs="宋体"/>
          <w:b/>
          <w:color w:val="333333"/>
          <w:sz w:val="21"/>
          <w:szCs w:val="21"/>
          <w:lang w:val="en-US" w:eastAsia="zh-CN"/>
        </w:rPr>
        <w:t xml:space="preserve">          </w:t>
      </w:r>
      <w:r>
        <w:rPr>
          <w:rFonts w:hint="eastAsia" w:asciiTheme="minorEastAsia" w:hAnsiTheme="minorEastAsia" w:eastAsiaTheme="minorEastAsia" w:cstheme="minorEastAsia"/>
          <w:b/>
          <w:color w:val="333333"/>
          <w:sz w:val="28"/>
          <w:szCs w:val="28"/>
          <w:lang w:val="en-US" w:eastAsia="zh-CN"/>
        </w:rPr>
        <w:t>201</w:t>
      </w:r>
      <w:r>
        <w:rPr>
          <w:rFonts w:hint="eastAsia" w:asciiTheme="minorEastAsia" w:hAnsiTheme="minorEastAsia" w:cstheme="minorEastAsia"/>
          <w:b/>
          <w:color w:val="333333"/>
          <w:sz w:val="28"/>
          <w:szCs w:val="28"/>
          <w:lang w:val="en-US" w:eastAsia="zh-CN"/>
        </w:rPr>
        <w:t>8</w:t>
      </w:r>
      <w:r>
        <w:rPr>
          <w:rFonts w:hint="eastAsia" w:asciiTheme="minorEastAsia" w:hAnsiTheme="minorEastAsia" w:eastAsiaTheme="minorEastAsia" w:cstheme="minorEastAsia"/>
          <w:b/>
          <w:color w:val="333333"/>
          <w:sz w:val="28"/>
          <w:szCs w:val="28"/>
          <w:lang w:val="en-US" w:eastAsia="zh-CN"/>
        </w:rPr>
        <w:t>年度</w:t>
      </w:r>
      <w:r>
        <w:rPr>
          <w:rFonts w:hint="eastAsia" w:asciiTheme="minorEastAsia" w:hAnsiTheme="minorEastAsia" w:cstheme="minorEastAsia"/>
          <w:b/>
          <w:color w:val="333333"/>
          <w:sz w:val="28"/>
          <w:szCs w:val="28"/>
          <w:lang w:val="en-US" w:eastAsia="zh-CN"/>
        </w:rPr>
        <w:t>绥滨县社区卫生服务中心</w:t>
      </w:r>
      <w:r>
        <w:rPr>
          <w:rFonts w:hint="eastAsia" w:asciiTheme="minorEastAsia" w:hAnsiTheme="minorEastAsia" w:eastAsiaTheme="minorEastAsia" w:cstheme="minorEastAsia"/>
          <w:b/>
          <w:color w:val="333333"/>
          <w:sz w:val="28"/>
          <w:szCs w:val="28"/>
          <w:lang w:val="en-US" w:eastAsia="zh-CN"/>
        </w:rPr>
        <w:t>决算文字说明</w:t>
      </w:r>
    </w:p>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b/>
          <w:color w:val="333333"/>
          <w:sz w:val="28"/>
          <w:szCs w:val="28"/>
        </w:rPr>
      </w:pPr>
    </w:p>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第一部分 部门概况</w:t>
      </w:r>
    </w:p>
    <w:p>
      <w:pPr>
        <w:pStyle w:val="2"/>
        <w:keepNext w:val="0"/>
        <w:keepLines w:val="0"/>
        <w:widowControl/>
        <w:suppressLineNumbers w:val="0"/>
        <w:spacing w:before="180" w:beforeAutospacing="0" w:after="360" w:afterAutospacing="0" w:line="450" w:lineRule="atLeast"/>
        <w:ind w:left="260" w:right="0" w:firstLine="733"/>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w:t>
      </w:r>
    </w:p>
    <w:p>
      <w:pPr>
        <w:pStyle w:val="2"/>
        <w:keepNext w:val="0"/>
        <w:keepLines w:val="0"/>
        <w:widowControl/>
        <w:suppressLineNumbers w:val="0"/>
        <w:spacing w:before="180" w:beforeAutospacing="0" w:after="360" w:afterAutospacing="0" w:line="450" w:lineRule="atLeast"/>
        <w:ind w:left="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一、主要职能</w:t>
      </w:r>
    </w:p>
    <w:p>
      <w:pPr>
        <w:pStyle w:val="2"/>
        <w:widowControl/>
        <w:spacing w:before="180" w:beforeAutospacing="0" w:after="360" w:afterAutospacing="0" w:line="450" w:lineRule="atLeast"/>
        <w:ind w:firstLine="840" w:firstLineChars="300"/>
        <w:rPr>
          <w:rFonts w:hint="eastAsia" w:ascii="宋体" w:hAnsi="宋体" w:eastAsia="宋体" w:cs="宋体"/>
          <w:color w:val="333333"/>
          <w:sz w:val="21"/>
          <w:szCs w:val="21"/>
        </w:rPr>
      </w:pPr>
      <w:r>
        <w:rPr>
          <w:rFonts w:hint="eastAsia" w:asciiTheme="minorEastAsia" w:hAnsiTheme="minorEastAsia" w:eastAsiaTheme="minorEastAsia" w:cstheme="minorEastAsia"/>
          <w:color w:val="333333"/>
          <w:sz w:val="28"/>
          <w:szCs w:val="28"/>
          <w:shd w:val="clear" w:fill="FFFFFF"/>
        </w:rPr>
        <w:t>（一）</w:t>
      </w:r>
      <w:r>
        <w:rPr>
          <w:rFonts w:hint="eastAsia" w:asciiTheme="minorEastAsia" w:hAnsiTheme="minorEastAsia" w:eastAsiaTheme="minorEastAsia" w:cstheme="minorEastAsia"/>
          <w:color w:val="333333"/>
          <w:sz w:val="28"/>
          <w:szCs w:val="28"/>
          <w:shd w:val="clear" w:fill="FFFFFF"/>
          <w:lang w:val="en-US" w:eastAsia="zh-CN"/>
        </w:rPr>
        <w:t xml:space="preserve"> </w:t>
      </w:r>
      <w:r>
        <w:rPr>
          <w:rFonts w:hint="eastAsia" w:asciiTheme="minorEastAsia" w:hAnsiTheme="minorEastAsia" w:eastAsiaTheme="minorEastAsia" w:cstheme="minorEastAsia"/>
          <w:color w:val="333333"/>
          <w:sz w:val="28"/>
          <w:szCs w:val="28"/>
          <w:shd w:val="clear" w:fill="FFFFFF"/>
        </w:rPr>
        <w:t>；</w:t>
      </w:r>
      <w:r>
        <w:rPr>
          <w:rFonts w:hint="eastAsia" w:ascii="宋体" w:hAnsi="宋体" w:eastAsia="宋体" w:cs="宋体"/>
          <w:color w:val="333333"/>
          <w:sz w:val="21"/>
          <w:szCs w:val="21"/>
        </w:rPr>
        <w:t xml:space="preserve"> 绥滨县社区卫生服务中心是在地方政府和卫生行政部门领导下，根据党的方针、政策及市、区卫生局对社区卫生服务工作的总体要求，做好社区卫生服务行政业务工作，积极开展以保护、促进人民健康，不断提高居民生活质量为目的的卫生保健，认真落实各项卫生工作指标。</w:t>
      </w:r>
    </w:p>
    <w:p>
      <w:pPr>
        <w:pStyle w:val="2"/>
        <w:widowControl/>
        <w:spacing w:before="180" w:beforeAutospacing="0" w:after="360" w:afterAutospacing="0" w:line="450" w:lineRule="atLeast"/>
        <w:ind w:left="260" w:firstLine="1257" w:firstLineChars="449"/>
        <w:rPr>
          <w:rFonts w:ascii="宋体" w:hAnsi="宋体" w:eastAsia="宋体" w:cs="宋体"/>
          <w:color w:val="333333"/>
          <w:sz w:val="21"/>
          <w:szCs w:val="21"/>
        </w:rPr>
      </w:pPr>
      <w:r>
        <w:rPr>
          <w:rFonts w:hint="eastAsia" w:asciiTheme="minorEastAsia" w:hAnsiTheme="minorEastAsia" w:eastAsiaTheme="minorEastAsia" w:cstheme="minorEastAsia"/>
          <w:color w:val="333333"/>
          <w:sz w:val="28"/>
          <w:szCs w:val="28"/>
          <w:shd w:val="clear" w:fill="FFFFFF"/>
        </w:rPr>
        <w:t>（二）</w:t>
      </w:r>
      <w:r>
        <w:rPr>
          <w:rFonts w:hint="eastAsia" w:asciiTheme="minorEastAsia" w:hAnsiTheme="minorEastAsia" w:eastAsiaTheme="minorEastAsia" w:cstheme="minorEastAsia"/>
          <w:color w:val="333333"/>
          <w:sz w:val="28"/>
          <w:szCs w:val="28"/>
          <w:shd w:val="clear" w:fill="FFFFFF"/>
          <w:lang w:val="en-US" w:eastAsia="zh-CN"/>
        </w:rPr>
        <w:t xml:space="preserve"> </w:t>
      </w:r>
      <w:r>
        <w:rPr>
          <w:rFonts w:hint="eastAsia" w:asciiTheme="minorEastAsia" w:hAnsiTheme="minorEastAsia" w:eastAsiaTheme="minorEastAsia" w:cstheme="minorEastAsia"/>
          <w:color w:val="333333"/>
          <w:sz w:val="28"/>
          <w:szCs w:val="28"/>
          <w:shd w:val="clear" w:fill="FFFFFF"/>
        </w:rPr>
        <w:t>；</w:t>
      </w:r>
      <w:r>
        <w:rPr>
          <w:rFonts w:hint="eastAsia" w:ascii="宋体" w:hAnsi="宋体" w:eastAsia="宋体" w:cs="宋体"/>
          <w:color w:val="333333"/>
          <w:sz w:val="21"/>
          <w:szCs w:val="21"/>
        </w:rPr>
        <w:t>开展以社区为范围，家庭为单位，健康为中心，以老年人、妇女、儿童和慢性病人为重点的集预防、医疗、保健、康复、健康教育、计划生育指导为一体的综合性社区服务。</w:t>
      </w:r>
      <w:r>
        <w:rPr>
          <w:rFonts w:ascii="宋体" w:hAnsi="宋体" w:eastAsia="宋体" w:cs="宋体"/>
          <w:color w:val="333333"/>
          <w:sz w:val="21"/>
          <w:szCs w:val="21"/>
        </w:rPr>
        <w:br w:type="textWrapping"/>
      </w:r>
      <w:r>
        <w:rPr>
          <w:rFonts w:hint="eastAsia" w:asciiTheme="minorEastAsia" w:hAnsiTheme="minorEastAsia" w:eastAsiaTheme="minorEastAsia" w:cstheme="minorEastAsia"/>
          <w:color w:val="333333"/>
          <w:sz w:val="28"/>
          <w:szCs w:val="28"/>
          <w:shd w:val="clear" w:fill="FFFFFF"/>
        </w:rPr>
        <w:br w:type="textWrapping"/>
      </w:r>
      <w:r>
        <w:rPr>
          <w:rFonts w:hint="eastAsia" w:asciiTheme="minorEastAsia" w:hAnsiTheme="minorEastAsia" w:eastAsiaTheme="minorEastAsia" w:cstheme="minorEastAsia"/>
          <w:color w:val="333333"/>
          <w:sz w:val="28"/>
          <w:szCs w:val="28"/>
          <w:shd w:val="clear" w:fill="FFFFFF"/>
        </w:rPr>
        <w:t>    （三）</w:t>
      </w:r>
      <w:r>
        <w:rPr>
          <w:rFonts w:hint="eastAsia" w:asciiTheme="minorEastAsia" w:hAnsiTheme="minorEastAsia" w:eastAsiaTheme="minorEastAsia" w:cstheme="minorEastAsia"/>
          <w:color w:val="333333"/>
          <w:sz w:val="28"/>
          <w:szCs w:val="28"/>
          <w:shd w:val="clear" w:fill="FFFFFF"/>
          <w:lang w:val="en-US" w:eastAsia="zh-CN"/>
        </w:rPr>
        <w:t xml:space="preserve"> </w:t>
      </w:r>
      <w:r>
        <w:rPr>
          <w:rFonts w:hint="eastAsia" w:asciiTheme="minorEastAsia" w:hAnsiTheme="minorEastAsia" w:eastAsiaTheme="minorEastAsia" w:cstheme="minorEastAsia"/>
          <w:color w:val="333333"/>
          <w:sz w:val="28"/>
          <w:szCs w:val="28"/>
          <w:shd w:val="clear" w:fill="FFFFFF"/>
        </w:rPr>
        <w:t>；</w:t>
      </w:r>
      <w:r>
        <w:rPr>
          <w:rFonts w:hint="eastAsia" w:ascii="宋体" w:hAnsi="宋体" w:eastAsia="宋体" w:cs="宋体"/>
          <w:color w:val="333333"/>
          <w:sz w:val="21"/>
          <w:szCs w:val="21"/>
        </w:rPr>
        <w:t xml:space="preserve">提供家庭出诊护理病床卫生服务。提供个人与家庭连续性的健康管理服务 </w:t>
      </w:r>
    </w:p>
    <w:p>
      <w:pPr>
        <w:pStyle w:val="2"/>
        <w:widowControl/>
        <w:spacing w:before="180" w:beforeAutospacing="0" w:after="360" w:afterAutospacing="0" w:line="450" w:lineRule="atLeast"/>
        <w:ind w:left="260" w:firstLine="1257" w:firstLineChars="449"/>
        <w:rPr>
          <w:rFonts w:ascii="宋体" w:hAnsi="宋体" w:eastAsia="宋体" w:cs="宋体"/>
          <w:color w:val="333333"/>
          <w:sz w:val="21"/>
          <w:szCs w:val="21"/>
        </w:rPr>
      </w:pPr>
      <w:r>
        <w:rPr>
          <w:rFonts w:hint="eastAsia" w:asciiTheme="minorEastAsia" w:hAnsiTheme="minorEastAsia" w:eastAsiaTheme="minorEastAsia" w:cstheme="minorEastAsia"/>
          <w:color w:val="333333"/>
          <w:sz w:val="28"/>
          <w:szCs w:val="28"/>
          <w:shd w:val="clear" w:fill="FFFFFF"/>
        </w:rPr>
        <w:t>（四） </w:t>
      </w:r>
      <w:r>
        <w:rPr>
          <w:rFonts w:hint="eastAsia" w:asciiTheme="minorEastAsia" w:hAnsiTheme="minorEastAsia" w:cstheme="minorEastAsia"/>
          <w:color w:val="333333"/>
          <w:sz w:val="28"/>
          <w:szCs w:val="28"/>
          <w:shd w:val="clear" w:fill="FFFFFF"/>
          <w:lang w:eastAsia="zh-CN"/>
        </w:rPr>
        <w:t>；</w:t>
      </w:r>
      <w:r>
        <w:rPr>
          <w:rFonts w:hint="eastAsia" w:ascii="宋体" w:hAnsi="宋体" w:eastAsia="宋体" w:cs="宋体"/>
          <w:color w:val="333333"/>
          <w:sz w:val="21"/>
          <w:szCs w:val="21"/>
        </w:rPr>
        <w:t xml:space="preserve">提供妇女、儿童、老年人、慢性病病人的保健康复精神病人和心理卫生咨询服务 。开展计生、健康教育的宣传与促进工作并提供适宜的技术服务。 负责社区卫生信息资料收集、整理、统计、分析上报 </w:t>
      </w:r>
    </w:p>
    <w:p>
      <w:pPr>
        <w:pStyle w:val="2"/>
        <w:widowControl/>
        <w:spacing w:before="180" w:beforeAutospacing="0" w:after="360" w:afterAutospacing="0" w:line="450" w:lineRule="atLeast"/>
        <w:ind w:firstLine="840" w:firstLineChars="400"/>
        <w:rPr>
          <w:rFonts w:ascii="宋体" w:hAnsi="宋体" w:eastAsia="宋体" w:cs="宋体"/>
          <w:color w:val="333333"/>
          <w:sz w:val="21"/>
          <w:szCs w:val="21"/>
        </w:rPr>
      </w:pPr>
    </w:p>
    <w:p>
      <w:pPr>
        <w:pStyle w:val="2"/>
        <w:keepNext w:val="0"/>
        <w:keepLines w:val="0"/>
        <w:widowControl/>
        <w:suppressLineNumbers w:val="0"/>
        <w:shd w:val="clear" w:fill="FFFFFF"/>
        <w:spacing w:before="180" w:beforeAutospacing="0" w:after="360" w:afterAutospacing="0" w:line="360" w:lineRule="atLeast"/>
        <w:ind w:left="0" w:right="0" w:firstLine="64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shd w:val="clear" w:fill="FFFFFF"/>
        </w:rPr>
        <w:t> </w:t>
      </w:r>
    </w:p>
    <w:p>
      <w:pPr>
        <w:pStyle w:val="2"/>
        <w:keepNext w:val="0"/>
        <w:keepLines w:val="0"/>
        <w:widowControl/>
        <w:suppressLineNumbers w:val="0"/>
        <w:spacing w:before="180" w:beforeAutospacing="0" w:after="360" w:afterAutospacing="0" w:line="450" w:lineRule="atLeast"/>
        <w:ind w:left="260" w:right="0" w:firstLine="733"/>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二、机构设置及部门决算单位构成</w:t>
      </w:r>
    </w:p>
    <w:p>
      <w:pPr>
        <w:pStyle w:val="2"/>
        <w:keepNext w:val="0"/>
        <w:keepLines w:val="0"/>
        <w:widowControl/>
        <w:suppressLineNumbers w:val="0"/>
        <w:spacing w:before="180" w:beforeAutospacing="0" w:after="360" w:afterAutospacing="0" w:line="450" w:lineRule="atLeast"/>
        <w:ind w:left="260" w:right="0" w:firstLine="1257" w:firstLineChars="449"/>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为全额行政单位，内设</w:t>
      </w:r>
      <w:r>
        <w:rPr>
          <w:rFonts w:hint="eastAsia" w:asciiTheme="minorEastAsia" w:hAnsiTheme="minorEastAsia" w:cstheme="minorEastAsia"/>
          <w:color w:val="333333"/>
          <w:sz w:val="28"/>
          <w:szCs w:val="28"/>
          <w:lang w:val="en-US" w:eastAsia="zh-CN"/>
        </w:rPr>
        <w:t>一</w:t>
      </w:r>
      <w:r>
        <w:rPr>
          <w:rFonts w:hint="eastAsia" w:asciiTheme="minorEastAsia" w:hAnsiTheme="minorEastAsia" w:eastAsiaTheme="minorEastAsia" w:cstheme="minorEastAsia"/>
          <w:color w:val="333333"/>
          <w:sz w:val="28"/>
          <w:szCs w:val="28"/>
        </w:rPr>
        <w:t>个内设机构，为一级预算单位。</w:t>
      </w:r>
    </w:p>
    <w:p>
      <w:pPr>
        <w:pStyle w:val="2"/>
        <w:keepNext w:val="0"/>
        <w:keepLines w:val="0"/>
        <w:widowControl/>
        <w:suppressLineNumbers w:val="0"/>
        <w:spacing w:before="180" w:beforeAutospacing="0" w:after="360" w:afterAutospacing="0" w:line="450" w:lineRule="atLeast"/>
        <w:ind w:left="260" w:right="0" w:firstLine="733"/>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三、人员构成</w:t>
      </w:r>
    </w:p>
    <w:p>
      <w:pPr>
        <w:pStyle w:val="2"/>
        <w:keepNext w:val="0"/>
        <w:keepLines w:val="0"/>
        <w:widowControl/>
        <w:suppressLineNumbers w:val="0"/>
        <w:spacing w:before="180" w:beforeAutospacing="0" w:after="360" w:afterAutospacing="0" w:line="450" w:lineRule="atLeast"/>
        <w:ind w:left="458"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事业编制</w:t>
      </w:r>
      <w:r>
        <w:rPr>
          <w:rFonts w:hint="eastAsia" w:asciiTheme="minorEastAsia" w:hAnsiTheme="minorEastAsia" w:cstheme="minorEastAsia"/>
          <w:color w:val="333333"/>
          <w:sz w:val="28"/>
          <w:szCs w:val="28"/>
          <w:lang w:val="en-US" w:eastAsia="zh-CN"/>
        </w:rPr>
        <w:t>75</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个，在职</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13</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人，退休</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1</w:t>
      </w:r>
      <w:r>
        <w:rPr>
          <w:rFonts w:hint="eastAsia" w:asciiTheme="minorEastAsia" w:hAnsiTheme="minorEastAsia" w:eastAsiaTheme="minorEastAsia" w:cstheme="minorEastAsia"/>
          <w:color w:val="333333"/>
          <w:sz w:val="28"/>
          <w:szCs w:val="28"/>
        </w:rPr>
        <w:t>人。</w:t>
      </w:r>
    </w:p>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w:t>
      </w:r>
    </w:p>
    <w:p>
      <w:pPr>
        <w:pStyle w:val="2"/>
        <w:keepNext w:val="0"/>
        <w:keepLines w:val="0"/>
        <w:widowControl/>
        <w:suppressLineNumbers w:val="0"/>
        <w:spacing w:before="492" w:beforeAutospacing="0" w:after="672" w:afterAutospacing="0" w:line="450" w:lineRule="atLeast"/>
        <w:ind w:left="262"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w:t>
      </w:r>
      <w:r>
        <w:rPr>
          <w:rFonts w:hint="eastAsia" w:asciiTheme="minorEastAsia" w:hAnsiTheme="minorEastAsia" w:eastAsiaTheme="minorEastAsia" w:cstheme="minorEastAsia"/>
          <w:b/>
          <w:color w:val="333333"/>
          <w:sz w:val="28"/>
          <w:szCs w:val="28"/>
          <w:lang w:eastAsia="zh-CN"/>
        </w:rPr>
        <w:t>二</w:t>
      </w:r>
      <w:r>
        <w:rPr>
          <w:rFonts w:hint="eastAsia" w:asciiTheme="minorEastAsia" w:hAnsiTheme="minorEastAsia" w:eastAsiaTheme="minorEastAsia" w:cstheme="minorEastAsia"/>
          <w:b/>
          <w:color w:val="333333"/>
          <w:sz w:val="28"/>
          <w:szCs w:val="28"/>
        </w:rPr>
        <w:t>部分201</w:t>
      </w:r>
      <w:r>
        <w:rPr>
          <w:rFonts w:hint="eastAsia" w:asciiTheme="minorEastAsia" w:hAnsiTheme="minorEastAsia" w:cstheme="minorEastAsia"/>
          <w:b/>
          <w:color w:val="333333"/>
          <w:sz w:val="28"/>
          <w:szCs w:val="28"/>
          <w:lang w:val="en-US" w:eastAsia="zh-CN"/>
        </w:rPr>
        <w:t>8</w:t>
      </w:r>
      <w:r>
        <w:rPr>
          <w:rFonts w:hint="eastAsia" w:asciiTheme="minorEastAsia" w:hAnsiTheme="minorEastAsia" w:eastAsiaTheme="minorEastAsia" w:cstheme="minorEastAsia"/>
          <w:b/>
          <w:color w:val="333333"/>
          <w:sz w:val="28"/>
          <w:szCs w:val="28"/>
        </w:rPr>
        <w:t>年度部门决算情况说明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一、201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8</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年度收入支出决算总体情况说明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79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年度收入总计</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334.76</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万元，支出总计</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413.2 </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上年</w:t>
      </w:r>
      <w:r>
        <w:rPr>
          <w:rFonts w:hint="eastAsia" w:asciiTheme="minorEastAsia" w:hAnsiTheme="minorEastAsia" w:eastAsiaTheme="minorEastAsia" w:cstheme="minorEastAsia"/>
          <w:i w:val="0"/>
          <w:caps w:val="0"/>
          <w:color w:val="373737"/>
          <w:spacing w:val="0"/>
          <w:sz w:val="28"/>
          <w:szCs w:val="28"/>
          <w:shd w:val="clear" w:fill="FFFFFF"/>
          <w:vertAlign w:val="baseline"/>
        </w:rPr>
        <w:t>相比，收入总计增加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26.71</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8.7 </w:t>
      </w:r>
      <w:r>
        <w:rPr>
          <w:rFonts w:hint="eastAsia" w:asciiTheme="minorEastAsia" w:hAnsiTheme="minorEastAsia" w:eastAsiaTheme="minorEastAsia" w:cstheme="minorEastAsia"/>
          <w:i w:val="0"/>
          <w:caps w:val="0"/>
          <w:color w:val="373737"/>
          <w:spacing w:val="0"/>
          <w:sz w:val="28"/>
          <w:szCs w:val="28"/>
          <w:shd w:val="clear" w:fill="FFFFFF"/>
          <w:vertAlign w:val="baseline"/>
        </w:rPr>
        <w:t>%；支出总计增加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202.36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95.98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二、 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8</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年度收入决算情况说明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本年收入合计</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334.76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万元，其中：财政拨款收入</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334.76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100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三、201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8</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本年支出合计</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413.2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万元，其中：基本支出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173.61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42.02 </w:t>
      </w:r>
      <w:r>
        <w:rPr>
          <w:rFonts w:hint="eastAsia" w:asciiTheme="minorEastAsia" w:hAnsiTheme="minorEastAsia" w:eastAsiaTheme="minorEastAsia" w:cstheme="minorEastAsia"/>
          <w:i w:val="0"/>
          <w:caps w:val="0"/>
          <w:color w:val="373737"/>
          <w:spacing w:val="0"/>
          <w:sz w:val="28"/>
          <w:szCs w:val="28"/>
          <w:shd w:val="clear" w:fill="FFFFFF"/>
          <w:vertAlign w:val="baseline"/>
        </w:rPr>
        <w:t>%；项目支出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239.59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57.98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四、201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8</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年度财政拨款收入支出决算总体情况说明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both"/>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年度财政拨款收入</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334.76 </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年相比，增加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47.95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16.72 </w:t>
      </w: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413.2 </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年相比，增加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202.36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95.98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五、201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8</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（一）财政拨款支出决算总体情况。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3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2018</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413.2</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万元，占本年支出合计的</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100 </w:t>
      </w:r>
      <w:r>
        <w:rPr>
          <w:rFonts w:hint="eastAsia" w:asciiTheme="minorEastAsia" w:hAnsiTheme="minorEastAsia" w:eastAsiaTheme="minorEastAsia" w:cstheme="minorEastAsia"/>
          <w:i w:val="0"/>
          <w:caps w:val="0"/>
          <w:color w:val="373737"/>
          <w:spacing w:val="0"/>
          <w:sz w:val="28"/>
          <w:szCs w:val="28"/>
          <w:shd w:val="clear" w:fill="FFFFFF"/>
          <w:vertAlign w:val="baseline"/>
        </w:rPr>
        <w:t>%。与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年相比，财政拨款支出增加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202.36</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95.98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（二）财政拨款支出决算结构情况。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102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2018</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万元，主要用于以下方面：</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社会保障和就业（类）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34.66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8.39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医疗卫生与计划生育（类）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366.35</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88.66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农林水（类）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2.84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0.69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住房保障（类）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9.35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2.26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Fonts w:hint="eastAsia" w:asciiTheme="minorEastAsia" w:hAnsiTheme="minorEastAsia" w:cstheme="minorEastAsia"/>
          <w:i w:val="0"/>
          <w:caps w:val="0"/>
          <w:color w:val="373737"/>
          <w:spacing w:val="0"/>
          <w:sz w:val="28"/>
          <w:szCs w:val="28"/>
          <w:shd w:val="clear" w:fill="FFFFFF"/>
          <w:vertAlign w:val="baseline"/>
          <w:lang w:eastAsia="zh-CN"/>
        </w:rPr>
        <w:t>（根据单位实际科目）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（三）财政拨款支出决算具体情况。</w:t>
      </w:r>
      <w:r>
        <w:rPr>
          <w:rStyle w:val="5"/>
          <w:rFonts w:hint="eastAsia" w:asciiTheme="minorEastAsia" w:hAnsiTheme="minorEastAsia" w:cstheme="minorEastAsia"/>
          <w:b/>
          <w:i w:val="0"/>
          <w:caps w:val="0"/>
          <w:color w:val="373737"/>
          <w:spacing w:val="0"/>
          <w:sz w:val="28"/>
          <w:szCs w:val="28"/>
          <w:shd w:val="clear" w:fill="FFFFFF"/>
          <w:vertAlign w:val="baseline"/>
          <w:lang w:eastAsia="zh-CN"/>
        </w:rPr>
        <w:t>（根据单位实际科目）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990"/>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146.16 </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413.2</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282.7  </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%。决算数大于预算数的主要原因：一是201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年在职、离退休职工工资增长了和由于工资的增长相应的医疗保险、住房公积金、住房提租补贴相应的缴交比例也随之增加，所以决算数大于预算数；二是201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年增加了行政管理事务等项目资金。其中：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1. 社会保障和就业（类）行政事业单位离退休（款）未归口管理的行政单位离退休（项）。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24.69 </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34.66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140.38 </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%。决算数大于预算数的主要原因是201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年离退休职工工资增长了。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2. 医疗卫生和计划生育（类）医疗保障（款）行政单位医疗（项）。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5.78</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5.78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100 </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w:t>
      </w:r>
      <w:r>
        <w:rPr>
          <w:rFonts w:hint="eastAsia" w:asciiTheme="minorEastAsia" w:hAnsiTheme="minorEastAsia" w:cstheme="minorEastAsia"/>
          <w:i w:val="0"/>
          <w:caps w:val="0"/>
          <w:color w:val="373737"/>
          <w:spacing w:val="0"/>
          <w:sz w:val="28"/>
          <w:szCs w:val="28"/>
          <w:shd w:val="clear" w:fill="FFFFFF"/>
          <w:vertAlign w:val="baseline"/>
          <w:lang w:eastAsia="zh-CN"/>
        </w:rPr>
        <w:t>等于</w:t>
      </w:r>
      <w:r>
        <w:rPr>
          <w:rFonts w:hint="eastAsia" w:asciiTheme="minorEastAsia" w:hAnsiTheme="minorEastAsia" w:eastAsiaTheme="minorEastAsia" w:cstheme="minorEastAsia"/>
          <w:i w:val="0"/>
          <w:caps w:val="0"/>
          <w:color w:val="373737"/>
          <w:spacing w:val="0"/>
          <w:sz w:val="28"/>
          <w:szCs w:val="28"/>
          <w:shd w:val="clear" w:fill="FFFFFF"/>
          <w:vertAlign w:val="baseline"/>
        </w:rPr>
        <w:t>预算数</w:t>
      </w:r>
      <w:r>
        <w:rPr>
          <w:rFonts w:hint="eastAsia" w:asciiTheme="minorEastAsia" w:hAnsiTheme="minorEastAsia" w:cstheme="minorEastAsia"/>
          <w:i w:val="0"/>
          <w:caps w:val="0"/>
          <w:color w:val="373737"/>
          <w:spacing w:val="0"/>
          <w:sz w:val="28"/>
          <w:szCs w:val="28"/>
          <w:shd w:val="clear" w:fill="FFFFFF"/>
          <w:vertAlign w:val="baseline"/>
          <w:lang w:eastAsia="zh-CN"/>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3. 农林水（类）农业（款）行政运行（项）。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2.84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万元。决算数大于预算数的主要原因是201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年增加了行政管理事务等项目资金。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4. 住房保障（类）住房改革支出（款）住房公积金（项）。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65" w:right="0" w:firstLine="480"/>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9.45 </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9.35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98.94  </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w:t>
      </w:r>
      <w:r>
        <w:rPr>
          <w:rFonts w:hint="eastAsia" w:asciiTheme="minorEastAsia" w:hAnsiTheme="minorEastAsia" w:cstheme="minorEastAsia"/>
          <w:i w:val="0"/>
          <w:caps w:val="0"/>
          <w:color w:val="373737"/>
          <w:spacing w:val="0"/>
          <w:sz w:val="28"/>
          <w:szCs w:val="28"/>
          <w:shd w:val="clear" w:fill="FFFFFF"/>
          <w:vertAlign w:val="baseline"/>
          <w:lang w:eastAsia="zh-CN"/>
        </w:rPr>
        <w:t>小</w:t>
      </w:r>
      <w:r>
        <w:rPr>
          <w:rFonts w:hint="eastAsia" w:asciiTheme="minorEastAsia" w:hAnsiTheme="minorEastAsia" w:eastAsiaTheme="minorEastAsia" w:cstheme="minorEastAsia"/>
          <w:i w:val="0"/>
          <w:caps w:val="0"/>
          <w:color w:val="373737"/>
          <w:spacing w:val="0"/>
          <w:sz w:val="28"/>
          <w:szCs w:val="28"/>
          <w:shd w:val="clear" w:fill="FFFFFF"/>
          <w:vertAlign w:val="baseline"/>
        </w:rPr>
        <w:t>于预算数的主要原因是201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年在职职工</w:t>
      </w:r>
      <w:r>
        <w:rPr>
          <w:rFonts w:hint="eastAsia" w:asciiTheme="minorEastAsia" w:hAnsiTheme="minorEastAsia" w:cstheme="minorEastAsia"/>
          <w:i w:val="0"/>
          <w:caps w:val="0"/>
          <w:color w:val="373737"/>
          <w:spacing w:val="0"/>
          <w:sz w:val="28"/>
          <w:szCs w:val="28"/>
          <w:shd w:val="clear" w:fill="FFFFFF"/>
          <w:vertAlign w:val="baseline"/>
          <w:lang w:val="en-US" w:eastAsia="zh-CN"/>
        </w:rPr>
        <w:t>10月末退休一人</w:t>
      </w:r>
      <w:r>
        <w:rPr>
          <w:rFonts w:hint="eastAsia" w:asciiTheme="minorEastAsia" w:hAnsiTheme="minorEastAsia" w:eastAsiaTheme="minorEastAsia" w:cstheme="minorEastAsia"/>
          <w:i w:val="0"/>
          <w:caps w:val="0"/>
          <w:color w:val="373737"/>
          <w:spacing w:val="0"/>
          <w:sz w:val="28"/>
          <w:szCs w:val="28"/>
          <w:shd w:val="clear" w:fill="FFFFFF"/>
          <w:vertAlign w:val="baseline"/>
        </w:rPr>
        <w:t>，使住房公积金的缴交比例</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eastAsiaTheme="minorEastAsia" w:cstheme="minorEastAsia"/>
          <w:i w:val="0"/>
          <w:caps w:val="0"/>
          <w:color w:val="373737"/>
          <w:spacing w:val="0"/>
          <w:sz w:val="28"/>
          <w:szCs w:val="28"/>
          <w:shd w:val="clear" w:fill="FFFFFF"/>
          <w:vertAlign w:val="baseline"/>
        </w:rPr>
        <w:t>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65" w:right="0" w:firstLine="480"/>
        <w:jc w:val="left"/>
        <w:textAlignment w:val="baseline"/>
        <w:rPr>
          <w:rFonts w:hint="eastAsia" w:asciiTheme="minorEastAsia" w:hAnsiTheme="minorEastAsia" w:eastAsiaTheme="minorEastAsia" w:cstheme="minorEastAsia"/>
          <w:i w:val="0"/>
          <w:caps w:val="0"/>
          <w:color w:val="333333"/>
          <w:spacing w:val="0"/>
          <w:sz w:val="28"/>
          <w:szCs w:val="28"/>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270" w:firstLine="31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六、201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8</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年度一般公共预算财政拨款基本支出决算情况说明。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105"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年度财政拨款基本支出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413.02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万元，其中：人员经费</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360.63 </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包括：基本工资、津贴补贴、奖金、其他社会保障缴费、伙食补助费、其他工资福利支出、离休费、退休费、医疗费、奖励金、住房公积金、提租补贴、采暖补贴、其他对个人和家庭的补助支出；公用经费</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52.57 </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万元，主要包括：办公费、印刷费、水费、电费、邮电费、取暖费、物业费、差旅费、维修（护）费、专用材料费、劳务费、工会经费、福利费、其他交通费用、办公设备购置。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255" w:right="27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七、201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8</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年度一般公共预算财政拨款“三公”经费支出决算情况说明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（一）“三公”经费财政拨款支出决算总体情况说明。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279" w:leftChars="133" w:right="0" w:firstLine="579" w:firstLineChars="207"/>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2018</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年度“三公”经费财政拨款支出预算为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0.084</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，其中：因公出国（境）费支出决算为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；公务用车购置及运行费支出决算为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；公务接待费支出决算为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年度“三公”经费支出决算数</w:t>
      </w:r>
      <w:r>
        <w:rPr>
          <w:rFonts w:hint="eastAsia" w:asciiTheme="minorEastAsia" w:hAnsiTheme="minorEastAsia" w:cstheme="minorEastAsia"/>
          <w:i w:val="0"/>
          <w:caps w:val="0"/>
          <w:color w:val="373737"/>
          <w:spacing w:val="0"/>
          <w:sz w:val="28"/>
          <w:szCs w:val="28"/>
          <w:shd w:val="clear" w:fill="FFFFFF"/>
          <w:vertAlign w:val="baseline"/>
          <w:lang w:eastAsia="zh-CN"/>
        </w:rPr>
        <w:t>小于</w:t>
      </w:r>
      <w:r>
        <w:rPr>
          <w:rFonts w:hint="eastAsia" w:asciiTheme="minorEastAsia" w:hAnsiTheme="minorEastAsia" w:eastAsiaTheme="minorEastAsia" w:cstheme="minorEastAsia"/>
          <w:i w:val="0"/>
          <w:caps w:val="0"/>
          <w:color w:val="373737"/>
          <w:spacing w:val="0"/>
          <w:sz w:val="28"/>
          <w:szCs w:val="28"/>
          <w:shd w:val="clear" w:fill="FFFFFF"/>
          <w:vertAlign w:val="baseline"/>
        </w:rPr>
        <w:t>预算数。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年度“三公”经费财政拨款支出决算数</w:t>
      </w:r>
      <w:r>
        <w:rPr>
          <w:rFonts w:hint="eastAsia" w:asciiTheme="minorEastAsia" w:hAnsiTheme="minorEastAsia" w:cstheme="minorEastAsia"/>
          <w:i w:val="0"/>
          <w:caps w:val="0"/>
          <w:color w:val="373737"/>
          <w:spacing w:val="0"/>
          <w:sz w:val="28"/>
          <w:szCs w:val="28"/>
          <w:shd w:val="clear" w:fill="FFFFFF"/>
          <w:vertAlign w:val="baseline"/>
          <w:lang w:eastAsia="zh-CN"/>
        </w:rPr>
        <w:t>与上</w:t>
      </w:r>
      <w:r>
        <w:rPr>
          <w:rFonts w:hint="eastAsia" w:asciiTheme="minorEastAsia" w:hAnsiTheme="minorEastAsia" w:eastAsiaTheme="minorEastAsia" w:cstheme="minorEastAsia"/>
          <w:i w:val="0"/>
          <w:caps w:val="0"/>
          <w:color w:val="373737"/>
          <w:spacing w:val="0"/>
          <w:sz w:val="28"/>
          <w:szCs w:val="28"/>
          <w:shd w:val="clear" w:fill="FFFFFF"/>
          <w:vertAlign w:val="baseline"/>
        </w:rPr>
        <w:t>年</w:t>
      </w:r>
      <w:r>
        <w:rPr>
          <w:rFonts w:hint="eastAsia" w:asciiTheme="minorEastAsia" w:hAnsiTheme="minorEastAsia" w:cstheme="minorEastAsia"/>
          <w:i w:val="0"/>
          <w:caps w:val="0"/>
          <w:color w:val="373737"/>
          <w:spacing w:val="0"/>
          <w:sz w:val="28"/>
          <w:szCs w:val="28"/>
          <w:shd w:val="clear" w:fill="FFFFFF"/>
          <w:vertAlign w:val="baseline"/>
          <w:lang w:eastAsia="zh-CN"/>
        </w:rPr>
        <w:t>持平。</w:t>
      </w:r>
      <w:r>
        <w:rPr>
          <w:rFonts w:hint="eastAsia" w:asciiTheme="minorEastAsia" w:hAnsiTheme="minorEastAsia" w:eastAsiaTheme="minorEastAsia" w:cstheme="minorEastAsia"/>
          <w:i w:val="0"/>
          <w:caps w:val="0"/>
          <w:color w:val="373737"/>
          <w:spacing w:val="0"/>
          <w:sz w:val="28"/>
          <w:szCs w:val="28"/>
          <w:shd w:val="clear" w:fill="FFFFFF"/>
          <w:vertAlign w:val="baseline"/>
        </w:rPr>
        <w:t>公务用车购置及运行费支出决算0万元，原因为：</w:t>
      </w:r>
      <w:r>
        <w:rPr>
          <w:rFonts w:hint="eastAsia" w:asciiTheme="minorEastAsia" w:hAnsiTheme="minorEastAsia" w:cstheme="minorEastAsia"/>
          <w:i w:val="0"/>
          <w:caps w:val="0"/>
          <w:color w:val="373737"/>
          <w:spacing w:val="0"/>
          <w:sz w:val="28"/>
          <w:szCs w:val="28"/>
          <w:shd w:val="clear" w:fill="FFFFFF"/>
          <w:vertAlign w:val="baseline"/>
          <w:lang w:eastAsia="zh-CN"/>
        </w:rPr>
        <w:t>部门严格执行三公经费缩减，车改后车辆上交</w:t>
      </w:r>
      <w:r>
        <w:rPr>
          <w:rFonts w:hint="eastAsia" w:asciiTheme="minorEastAsia" w:hAnsiTheme="minorEastAsia" w:eastAsiaTheme="minorEastAsia" w:cstheme="minorEastAsia"/>
          <w:i w:val="0"/>
          <w:caps w:val="0"/>
          <w:color w:val="373737"/>
          <w:spacing w:val="0"/>
          <w:sz w:val="28"/>
          <w:szCs w:val="28"/>
          <w:shd w:val="clear" w:fill="FFFFFF"/>
          <w:vertAlign w:val="baseline"/>
        </w:rPr>
        <w:t>；公务接待费支出决算0万元，</w:t>
      </w:r>
      <w:r>
        <w:rPr>
          <w:rFonts w:hint="eastAsia" w:asciiTheme="minorEastAsia" w:hAnsiTheme="minorEastAsia" w:cstheme="minorEastAsia"/>
          <w:i w:val="0"/>
          <w:caps w:val="0"/>
          <w:color w:val="373737"/>
          <w:spacing w:val="0"/>
          <w:sz w:val="28"/>
          <w:szCs w:val="28"/>
          <w:shd w:val="clear" w:fill="FFFFFF"/>
          <w:vertAlign w:val="baseline"/>
          <w:lang w:eastAsia="zh-CN"/>
        </w:rPr>
        <w:t>无</w:t>
      </w:r>
      <w:r>
        <w:rPr>
          <w:rFonts w:hint="eastAsia" w:asciiTheme="minorEastAsia" w:hAnsiTheme="minorEastAsia" w:eastAsiaTheme="minorEastAsia" w:cstheme="minorEastAsia"/>
          <w:i w:val="0"/>
          <w:caps w:val="0"/>
          <w:color w:val="373737"/>
          <w:spacing w:val="0"/>
          <w:sz w:val="28"/>
          <w:szCs w:val="28"/>
          <w:shd w:val="clear" w:fill="FFFFFF"/>
          <w:vertAlign w:val="baseline"/>
        </w:rPr>
        <w:t>增长，原因为：</w:t>
      </w:r>
      <w:r>
        <w:rPr>
          <w:rFonts w:hint="eastAsia" w:asciiTheme="minorEastAsia" w:hAnsiTheme="minorEastAsia" w:cstheme="minorEastAsia"/>
          <w:i w:val="0"/>
          <w:caps w:val="0"/>
          <w:color w:val="373737"/>
          <w:spacing w:val="0"/>
          <w:sz w:val="28"/>
          <w:szCs w:val="28"/>
          <w:shd w:val="clear" w:fill="FFFFFF"/>
          <w:vertAlign w:val="baseline"/>
          <w:lang w:eastAsia="zh-CN"/>
        </w:rPr>
        <w:t>严格按照上级标准，缩减公务接待开支</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（二）“三公”经费财政拨款支出决算具体情况说明。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年度“三公”经费财政拨款支出决算中，因公出国（境）费支出决算</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万元，公务用车购置及运行费支出决算</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万元，公务接待费支出决算</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1.因公出国（境）费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万元。全年安排因公出国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（境）团组</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个，累计</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人次。开支内容包括：出国人员差旅费</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2.公务用车购置及运行费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公务用车购置</w:t>
      </w:r>
      <w:r>
        <w:rPr>
          <w:rFonts w:hint="eastAsia" w:asciiTheme="minorEastAsia" w:hAnsiTheme="minorEastAsia" w:eastAsiaTheme="minorEastAsia" w:cstheme="minorEastAsia"/>
          <w:i w:val="0"/>
          <w:caps w:val="0"/>
          <w:color w:val="373737"/>
          <w:spacing w:val="0"/>
          <w:sz w:val="28"/>
          <w:szCs w:val="28"/>
          <w:shd w:val="clear" w:fill="FFFFFF"/>
          <w:vertAlign w:val="baseline"/>
        </w:rPr>
        <w:t>支出为</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公务用车运行</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公务用车保有量0</w:t>
      </w:r>
      <w:r>
        <w:rPr>
          <w:rFonts w:hint="eastAsia" w:asciiTheme="minorEastAsia" w:hAnsiTheme="minorEastAsia" w:eastAsiaTheme="minorEastAsia" w:cstheme="minorEastAsia"/>
          <w:i w:val="0"/>
          <w:caps w:val="0"/>
          <w:color w:val="373737"/>
          <w:spacing w:val="0"/>
          <w:sz w:val="28"/>
          <w:szCs w:val="28"/>
          <w:shd w:val="clear" w:fill="FFFFFF"/>
          <w:vertAlign w:val="baseline"/>
        </w:rPr>
        <w:t>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3.公务接待费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万元。其中：国内公务接待</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万元，国内公务接待批次</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个，国内公务接待人次</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人；国（境）外公务接待</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万元，国（境）外公务接待批次</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个，国（境）外公务接待人次</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w:t>
      </w:r>
    </w:p>
    <w:p>
      <w:pPr>
        <w:pStyle w:val="2"/>
        <w:keepNext w:val="0"/>
        <w:keepLines w:val="0"/>
        <w:widowControl/>
        <w:suppressLineNumbers w:val="0"/>
        <w:spacing w:before="180" w:beforeAutospacing="0" w:after="360" w:afterAutospacing="0" w:line="450" w:lineRule="atLeast"/>
        <w:ind w:left="90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八、其他重要事项的情况说明</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（一）机关运行经费支出情况。</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cstheme="minorEastAsia"/>
          <w:color w:val="333333"/>
          <w:sz w:val="28"/>
          <w:szCs w:val="28"/>
          <w:lang w:eastAsia="zh-CN"/>
        </w:rPr>
      </w:pPr>
      <w:r>
        <w:rPr>
          <w:rFonts w:hint="eastAsia" w:asciiTheme="minorEastAsia" w:hAnsiTheme="minorEastAsia" w:cstheme="minorEastAsia"/>
          <w:color w:val="333333"/>
          <w:sz w:val="28"/>
          <w:szCs w:val="28"/>
          <w:lang w:eastAsia="zh-CN"/>
        </w:rPr>
        <w:t>无</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（二）政府采购支出情况。</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cstheme="minorEastAsia"/>
          <w:color w:val="333333"/>
          <w:sz w:val="28"/>
          <w:szCs w:val="28"/>
          <w:lang w:eastAsia="zh-CN"/>
        </w:rPr>
      </w:pPr>
      <w:r>
        <w:rPr>
          <w:rFonts w:hint="eastAsia" w:asciiTheme="minorEastAsia" w:hAnsiTheme="minorEastAsia" w:cstheme="minorEastAsia"/>
          <w:color w:val="333333"/>
          <w:sz w:val="28"/>
          <w:szCs w:val="28"/>
          <w:lang w:eastAsia="zh-CN"/>
        </w:rPr>
        <w:t>无</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（三）国有资产占用情况。</w:t>
      </w:r>
    </w:p>
    <w:p>
      <w:pPr>
        <w:pStyle w:val="2"/>
        <w:keepNext w:val="0"/>
        <w:keepLines w:val="0"/>
        <w:widowControl/>
        <w:suppressLineNumbers w:val="0"/>
        <w:spacing w:before="180" w:beforeAutospacing="0" w:after="360" w:afterAutospacing="0" w:line="450" w:lineRule="atLeast"/>
        <w:ind w:left="900" w:right="0"/>
        <w:jc w:val="left"/>
        <w:rPr>
          <w:rFonts w:hint="eastAsia" w:asciiTheme="minorEastAsia" w:hAnsiTheme="minorEastAsia" w:cstheme="minorEastAsia"/>
          <w:color w:val="333333"/>
          <w:sz w:val="28"/>
          <w:szCs w:val="28"/>
          <w:lang w:eastAsia="zh-CN"/>
        </w:rPr>
      </w:pPr>
      <w:r>
        <w:rPr>
          <w:rFonts w:hint="eastAsia" w:asciiTheme="minorEastAsia" w:hAnsiTheme="minorEastAsia" w:cstheme="minorEastAsia"/>
          <w:color w:val="333333"/>
          <w:sz w:val="28"/>
          <w:szCs w:val="28"/>
          <w:lang w:eastAsia="zh-CN"/>
        </w:rPr>
        <w:t>无</w:t>
      </w:r>
    </w:p>
    <w:p>
      <w:pPr>
        <w:pStyle w:val="2"/>
        <w:keepNext w:val="0"/>
        <w:keepLines w:val="0"/>
        <w:widowControl/>
        <w:suppressLineNumbers w:val="0"/>
        <w:spacing w:before="180" w:beforeAutospacing="0" w:after="360" w:afterAutospacing="0" w:line="450" w:lineRule="atLeast"/>
        <w:ind w:left="90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（四）201</w:t>
      </w:r>
      <w:r>
        <w:rPr>
          <w:rFonts w:hint="eastAsia" w:asciiTheme="minorEastAsia" w:hAnsiTheme="minorEastAsia" w:cstheme="minorEastAsia"/>
          <w:b/>
          <w:color w:val="333333"/>
          <w:sz w:val="28"/>
          <w:szCs w:val="28"/>
          <w:lang w:val="en-US" w:eastAsia="zh-CN"/>
        </w:rPr>
        <w:t>8</w:t>
      </w:r>
      <w:r>
        <w:rPr>
          <w:rFonts w:hint="eastAsia" w:asciiTheme="minorEastAsia" w:hAnsiTheme="minorEastAsia" w:eastAsiaTheme="minorEastAsia" w:cstheme="minorEastAsia"/>
          <w:b/>
          <w:color w:val="333333"/>
          <w:sz w:val="28"/>
          <w:szCs w:val="28"/>
        </w:rPr>
        <w:t>年度预算绩效情况说明</w:t>
      </w:r>
    </w:p>
    <w:p>
      <w:pPr>
        <w:pStyle w:val="2"/>
        <w:keepNext w:val="0"/>
        <w:keepLines w:val="0"/>
        <w:widowControl/>
        <w:suppressLineNumbers w:val="0"/>
        <w:spacing w:before="180" w:beforeAutospacing="0" w:after="360" w:afterAutospacing="0" w:line="457"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cstheme="minorEastAsia"/>
          <w:color w:val="333333"/>
          <w:sz w:val="28"/>
          <w:szCs w:val="28"/>
          <w:lang w:eastAsia="zh-CN"/>
        </w:rPr>
        <w:t>无</w:t>
      </w:r>
      <w:bookmarkStart w:id="0" w:name="_GoBack"/>
      <w:bookmarkEnd w:id="0"/>
      <w:r>
        <w:rPr>
          <w:rFonts w:hint="eastAsia" w:asciiTheme="minorEastAsia" w:hAnsiTheme="minorEastAsia" w:eastAsiaTheme="minorEastAsia" w:cstheme="minorEastAsia"/>
          <w:color w:val="333333"/>
          <w:sz w:val="28"/>
          <w:szCs w:val="28"/>
        </w:rPr>
        <w:t> </w:t>
      </w:r>
    </w:p>
    <w:p>
      <w:pPr>
        <w:pStyle w:val="2"/>
        <w:keepNext w:val="0"/>
        <w:keepLines w:val="0"/>
        <w:widowControl/>
        <w:suppressLineNumbers w:val="0"/>
        <w:spacing w:before="180" w:beforeAutospacing="0" w:after="360" w:afterAutospacing="0" w:line="457"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w:t>
      </w:r>
      <w:r>
        <w:rPr>
          <w:rFonts w:hint="eastAsia" w:asciiTheme="minorEastAsia" w:hAnsiTheme="minorEastAsia" w:eastAsiaTheme="minorEastAsia" w:cstheme="minorEastAsia"/>
          <w:b/>
          <w:color w:val="333333"/>
          <w:sz w:val="28"/>
          <w:szCs w:val="28"/>
          <w:lang w:eastAsia="zh-CN"/>
        </w:rPr>
        <w:t>三</w:t>
      </w:r>
      <w:r>
        <w:rPr>
          <w:rFonts w:hint="eastAsia" w:asciiTheme="minorEastAsia" w:hAnsiTheme="minorEastAsia" w:eastAsiaTheme="minorEastAsia" w:cstheme="minorEastAsia"/>
          <w:b/>
          <w:color w:val="333333"/>
          <w:sz w:val="28"/>
          <w:szCs w:val="28"/>
        </w:rPr>
        <w:t>部分 名词解释</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一、财政拨款收入</w:t>
      </w:r>
      <w:r>
        <w:rPr>
          <w:rFonts w:hint="eastAsia" w:asciiTheme="minorEastAsia" w:hAnsiTheme="minorEastAsia" w:eastAsiaTheme="minorEastAsia" w:cstheme="minorEastAsia"/>
          <w:color w:val="333333"/>
          <w:sz w:val="28"/>
          <w:szCs w:val="28"/>
        </w:rPr>
        <w:t>：指</w:t>
      </w:r>
      <w:r>
        <w:rPr>
          <w:rFonts w:hint="eastAsia" w:asciiTheme="minorEastAsia" w:hAnsiTheme="minorEastAsia" w:eastAsiaTheme="minorEastAsia" w:cstheme="minorEastAsia"/>
          <w:color w:val="333333"/>
          <w:sz w:val="28"/>
          <w:szCs w:val="28"/>
          <w:lang w:eastAsia="zh-CN"/>
        </w:rPr>
        <w:t>县级</w:t>
      </w:r>
      <w:r>
        <w:rPr>
          <w:rFonts w:hint="eastAsia" w:asciiTheme="minorEastAsia" w:hAnsiTheme="minorEastAsia" w:eastAsiaTheme="minorEastAsia" w:cstheme="minorEastAsia"/>
          <w:color w:val="333333"/>
          <w:sz w:val="28"/>
          <w:szCs w:val="28"/>
        </w:rPr>
        <w:t>财政当年拨付的资金。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二、事业收入</w:t>
      </w:r>
      <w:r>
        <w:rPr>
          <w:rFonts w:hint="eastAsia" w:asciiTheme="minorEastAsia" w:hAnsiTheme="minorEastAsia" w:eastAsiaTheme="minorEastAsia" w:cstheme="minorEastAsia"/>
          <w:color w:val="333333"/>
          <w:sz w:val="28"/>
          <w:szCs w:val="28"/>
        </w:rPr>
        <w:t>：指事业单位开展专业业务活动及辅助活动所取得的收入。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三、经营收入</w:t>
      </w:r>
      <w:r>
        <w:rPr>
          <w:rFonts w:hint="eastAsia" w:asciiTheme="minorEastAsia" w:hAnsiTheme="minorEastAsia" w:eastAsiaTheme="minorEastAsia" w:cstheme="minorEastAsia"/>
          <w:color w:val="333333"/>
          <w:sz w:val="28"/>
          <w:szCs w:val="28"/>
        </w:rPr>
        <w:t>：指事业单位在专业业务活动及其辅助活动之外开展非独立核算经营活动取得的收入。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四、其他收入</w:t>
      </w:r>
      <w:r>
        <w:rPr>
          <w:rFonts w:hint="eastAsia" w:asciiTheme="minorEastAsia" w:hAnsiTheme="minorEastAsia" w:eastAsiaTheme="minorEastAsia" w:cstheme="minorEastAsia"/>
          <w:color w:val="333333"/>
          <w:sz w:val="28"/>
          <w:szCs w:val="28"/>
        </w:rPr>
        <w:t>：指除上述“财政拨款收入”、“事业收入”、“经营收入”等以外的收入。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五、用事业基金弥补收支差额</w:t>
      </w:r>
      <w:r>
        <w:rPr>
          <w:rFonts w:hint="eastAsia" w:asciiTheme="minorEastAsia" w:hAnsiTheme="minorEastAsia" w:eastAsiaTheme="minorEastAsia" w:cstheme="minorEastAsia"/>
          <w:color w:val="333333"/>
          <w:sz w:val="28"/>
          <w:szCs w:val="28"/>
        </w:rPr>
        <w:t>：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六、年初结转和结余</w:t>
      </w:r>
      <w:r>
        <w:rPr>
          <w:rFonts w:hint="eastAsia" w:asciiTheme="minorEastAsia" w:hAnsiTheme="minorEastAsia" w:eastAsiaTheme="minorEastAsia" w:cstheme="minorEastAsia"/>
          <w:color w:val="333333"/>
          <w:sz w:val="28"/>
          <w:szCs w:val="28"/>
        </w:rPr>
        <w:t>：指以前年度尚未完成、结转到本年按有关规定继续使用的资金。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七、结余分配</w:t>
      </w:r>
      <w:r>
        <w:rPr>
          <w:rFonts w:hint="eastAsia" w:asciiTheme="minorEastAsia" w:hAnsiTheme="minorEastAsia" w:eastAsiaTheme="minorEastAsia" w:cstheme="minorEastAsia"/>
          <w:color w:val="333333"/>
          <w:sz w:val="28"/>
          <w:szCs w:val="28"/>
        </w:rPr>
        <w:t>：指事业单位按规定提取的职工福利基金、事业基金和缴纳的所得税，以及建设单位按规定应交回的基本建设竣工项目结余资金。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八、年末结转和结余</w:t>
      </w:r>
      <w:r>
        <w:rPr>
          <w:rFonts w:hint="eastAsia" w:asciiTheme="minorEastAsia" w:hAnsiTheme="minorEastAsia" w:eastAsiaTheme="minorEastAsia" w:cstheme="minorEastAsia"/>
          <w:color w:val="333333"/>
          <w:sz w:val="28"/>
          <w:szCs w:val="28"/>
        </w:rPr>
        <w:t>：指本年度或以前年度预算安排、因客观条件发生变化无法按原计划实施，需延迟到以后年度按有关规定继续使用的资金。</w:t>
      </w:r>
    </w:p>
    <w:p>
      <w:pPr>
        <w:pStyle w:val="2"/>
        <w:keepNext w:val="0"/>
        <w:keepLines w:val="0"/>
        <w:widowControl/>
        <w:suppressLineNumbers w:val="0"/>
        <w:spacing w:before="180" w:beforeAutospacing="0" w:after="360" w:afterAutospacing="0" w:line="450" w:lineRule="atLeast"/>
        <w:ind w:left="0" w:right="0" w:firstLine="899"/>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九、基本支出</w:t>
      </w:r>
      <w:r>
        <w:rPr>
          <w:rFonts w:hint="eastAsia" w:asciiTheme="minorEastAsia" w:hAnsiTheme="minorEastAsia" w:eastAsiaTheme="minorEastAsia" w:cstheme="minorEastAsia"/>
          <w:color w:val="333333"/>
          <w:sz w:val="28"/>
          <w:szCs w:val="28"/>
        </w:rPr>
        <w:t>：指为保障机构正常运转、完成日常工作任务而发生的人员支出和公用支出。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十、项目支出</w:t>
      </w:r>
      <w:r>
        <w:rPr>
          <w:rFonts w:hint="eastAsia" w:asciiTheme="minorEastAsia" w:hAnsiTheme="minorEastAsia" w:eastAsiaTheme="minorEastAsia" w:cstheme="minorEastAsia"/>
          <w:color w:val="333333"/>
          <w:sz w:val="28"/>
          <w:szCs w:val="28"/>
        </w:rPr>
        <w:t>：指在基本支出之外为完成特定行政任务和事业发展目标所发生的支出。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十一、经营支出</w:t>
      </w:r>
      <w:r>
        <w:rPr>
          <w:rFonts w:hint="eastAsia" w:asciiTheme="minorEastAsia" w:hAnsiTheme="minorEastAsia" w:eastAsiaTheme="minorEastAsia" w:cstheme="minorEastAsia"/>
          <w:color w:val="333333"/>
          <w:sz w:val="28"/>
          <w:szCs w:val="28"/>
        </w:rPr>
        <w:t>：指事业单位在专业业务活动及其辅助活动之外开展非独立核算经营活动发生的支出。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十二、“三公”经费</w:t>
      </w:r>
      <w:r>
        <w:rPr>
          <w:rFonts w:hint="eastAsia" w:asciiTheme="minorEastAsia" w:hAnsiTheme="minorEastAsia" w:eastAsiaTheme="minorEastAsia" w:cstheme="minorEastAsia"/>
          <w:color w:val="333333"/>
          <w:sz w:val="28"/>
          <w:szCs w:val="28"/>
        </w:rPr>
        <w:t>：纳入</w:t>
      </w:r>
      <w:r>
        <w:rPr>
          <w:rFonts w:hint="eastAsia" w:asciiTheme="minorEastAsia" w:hAnsiTheme="minorEastAsia" w:eastAsiaTheme="minorEastAsia" w:cstheme="minorEastAsia"/>
          <w:color w:val="333333"/>
          <w:sz w:val="28"/>
          <w:szCs w:val="28"/>
          <w:lang w:eastAsia="zh-CN"/>
        </w:rPr>
        <w:t>县</w:t>
      </w:r>
      <w:r>
        <w:rPr>
          <w:rFonts w:hint="eastAsia" w:asciiTheme="minorEastAsia" w:hAnsiTheme="minorEastAsia" w:eastAsiaTheme="minorEastAsia" w:cstheme="minorEastAsia"/>
          <w:color w:val="333333"/>
          <w:sz w:val="28"/>
          <w:szCs w:val="28"/>
        </w:rPr>
        <w:t>级财政预决算管理的“三公”经费，是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pStyle w:val="2"/>
        <w:keepNext w:val="0"/>
        <w:keepLines w:val="0"/>
        <w:widowControl/>
        <w:suppressLineNumbers w:val="0"/>
        <w:spacing w:before="180" w:beforeAutospacing="0" w:after="360" w:afterAutospacing="0" w:line="450" w:lineRule="atLeast"/>
        <w:ind w:left="0" w:right="0" w:firstLine="729"/>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十三、机关运行经费</w:t>
      </w:r>
      <w:r>
        <w:rPr>
          <w:rFonts w:hint="eastAsia" w:asciiTheme="minorEastAsia" w:hAnsiTheme="minorEastAsia" w:eastAsiaTheme="minorEastAsia" w:cstheme="minorEastAsia"/>
          <w:color w:val="333333"/>
          <w:sz w:val="28"/>
          <w:szCs w:val="28"/>
        </w:rPr>
        <w:t>：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E7389C"/>
    <w:rsid w:val="01340F75"/>
    <w:rsid w:val="03FE7F0E"/>
    <w:rsid w:val="05D576EB"/>
    <w:rsid w:val="098217C0"/>
    <w:rsid w:val="0E980DC7"/>
    <w:rsid w:val="179B676B"/>
    <w:rsid w:val="1CFB22BC"/>
    <w:rsid w:val="2A054FEB"/>
    <w:rsid w:val="2DE7389C"/>
    <w:rsid w:val="3DDC6AB6"/>
    <w:rsid w:val="419008B3"/>
    <w:rsid w:val="476C3567"/>
    <w:rsid w:val="62763A6A"/>
    <w:rsid w:val="6B6E45D7"/>
    <w:rsid w:val="6BC52739"/>
    <w:rsid w:val="763C3B43"/>
    <w:rsid w:val="768870B2"/>
    <w:rsid w:val="7BC22F3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FollowedHyperlink"/>
    <w:basedOn w:val="4"/>
    <w:qFormat/>
    <w:uiPriority w:val="0"/>
    <w:rPr>
      <w:color w:val="333333"/>
      <w:sz w:val="18"/>
      <w:szCs w:val="18"/>
      <w:u w:val="none"/>
    </w:rPr>
  </w:style>
  <w:style w:type="character" w:styleId="7">
    <w:name w:val="Emphasis"/>
    <w:basedOn w:val="4"/>
    <w:qFormat/>
    <w:uiPriority w:val="0"/>
    <w:rPr>
      <w:i/>
    </w:rPr>
  </w:style>
  <w:style w:type="character" w:styleId="8">
    <w:name w:val="Hyperlink"/>
    <w:basedOn w:val="4"/>
    <w:qFormat/>
    <w:uiPriority w:val="0"/>
    <w:rPr>
      <w:color w:val="333333"/>
      <w:sz w:val="18"/>
      <w:szCs w:val="18"/>
      <w:u w:val="none"/>
    </w:rPr>
  </w:style>
  <w:style w:type="character" w:customStyle="1" w:styleId="9">
    <w:name w:val="laiy"/>
    <w:basedOn w:val="4"/>
    <w:qFormat/>
    <w:uiPriority w:val="0"/>
  </w:style>
  <w:style w:type="character" w:customStyle="1" w:styleId="10">
    <w:name w:val="zuoz"/>
    <w:basedOn w:val="4"/>
    <w:qFormat/>
    <w:uiPriority w:val="0"/>
  </w:style>
  <w:style w:type="character" w:customStyle="1" w:styleId="11">
    <w:name w:val="update"/>
    <w:basedOn w:val="4"/>
    <w:qFormat/>
    <w:uiPriority w:val="0"/>
  </w:style>
  <w:style w:type="character" w:customStyle="1" w:styleId="12">
    <w:name w:val="hot1"/>
    <w:basedOn w:val="4"/>
    <w:qFormat/>
    <w:uiPriority w:val="0"/>
  </w:style>
  <w:style w:type="character" w:customStyle="1" w:styleId="13">
    <w:name w:val="td12"/>
    <w:basedOn w:val="4"/>
    <w:qFormat/>
    <w:uiPriority w:val="0"/>
    <w:rPr>
      <w:rFonts w:ascii="Arial" w:hAnsi="Arial" w:cs="Arial"/>
      <w:color w:val="FFFFFF"/>
      <w:sz w:val="16"/>
      <w:szCs w:val="16"/>
    </w:rPr>
  </w:style>
  <w:style w:type="character" w:customStyle="1" w:styleId="14">
    <w:name w:val="td22"/>
    <w:basedOn w:val="4"/>
    <w:qFormat/>
    <w:uiPriority w:val="0"/>
  </w:style>
  <w:style w:type="character" w:customStyle="1" w:styleId="15">
    <w:name w:val="td32"/>
    <w:basedOn w:val="4"/>
    <w:qFormat/>
    <w:uiPriority w:val="0"/>
  </w:style>
  <w:style w:type="character" w:customStyle="1" w:styleId="16">
    <w:name w:val="home"/>
    <w:basedOn w:val="4"/>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39</TotalTime>
  <ScaleCrop>false</ScaleCrop>
  <LinksUpToDate>false</LinksUpToDate>
  <CharactersWithSpaces>0</CharactersWithSpaces>
  <Application>WPS Office_11.1.0.8799_F1E327BC-269C-435d-A152-05C5408002CA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2017-10-20T06:21:00Z</dcterms:created>
  <dc:creator>tianlinyu</dc:creator>
  <cp:lastModifiedBy>Administrator</cp:lastModifiedBy>
  <dcterms:modified xsi:type="dcterms:W3CDTF">2019-09-06T03:14:59Z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2052-11.1.0.8799</vt:lpwstr>
  </property>
</Properties>
</file>