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80" w:beforeAutospacing="0" w:after="360" w:afterAutospacing="0" w:line="450" w:lineRule="atLeast"/>
        <w:ind w:left="260"/>
        <w:jc w:val="center"/>
        <w:rPr>
          <w:rFonts w:asciiTheme="minorEastAsia" w:hAnsiTheme="minorEastAsia" w:cstheme="minorEastAsia"/>
          <w:b/>
          <w:color w:val="333333"/>
          <w:sz w:val="28"/>
          <w:szCs w:val="28"/>
        </w:rPr>
      </w:pPr>
      <w:r>
        <w:rPr>
          <w:rFonts w:hint="eastAsia" w:asciiTheme="minorEastAsia" w:hAnsiTheme="minorEastAsia" w:cstheme="minorEastAsia"/>
          <w:b/>
          <w:color w:val="333333"/>
          <w:sz w:val="28"/>
          <w:szCs w:val="28"/>
        </w:rPr>
        <w:t>2018年度畜牧服务中心决算文字说明</w:t>
      </w:r>
    </w:p>
    <w:p>
      <w:pPr>
        <w:pStyle w:val="2"/>
        <w:widowControl/>
        <w:spacing w:before="180" w:beforeAutospacing="0" w:after="360" w:afterAutospacing="0" w:line="450" w:lineRule="atLeast"/>
        <w:ind w:left="260"/>
        <w:rPr>
          <w:rFonts w:asciiTheme="minorEastAsia" w:hAnsiTheme="minorEastAsia" w:cstheme="minorEastAsia"/>
          <w:b/>
          <w:color w:val="333333"/>
          <w:sz w:val="28"/>
          <w:szCs w:val="28"/>
        </w:rPr>
      </w:pPr>
    </w:p>
    <w:p>
      <w:pPr>
        <w:pStyle w:val="2"/>
        <w:widowControl/>
        <w:spacing w:before="180" w:beforeAutospacing="0" w:after="360" w:afterAutospacing="0" w:line="450" w:lineRule="atLeast"/>
        <w:ind w:left="260"/>
        <w:rPr>
          <w:rFonts w:asciiTheme="minorEastAsia" w:hAnsiTheme="minorEastAsia" w:cstheme="minorEastAsia"/>
          <w:sz w:val="28"/>
          <w:szCs w:val="28"/>
        </w:rPr>
      </w:pPr>
      <w:r>
        <w:rPr>
          <w:rFonts w:hint="eastAsia" w:asciiTheme="minorEastAsia" w:hAnsiTheme="minorEastAsia" w:cstheme="minorEastAsia"/>
          <w:b/>
          <w:color w:val="333333"/>
          <w:sz w:val="28"/>
          <w:szCs w:val="28"/>
        </w:rPr>
        <w:t>第一部分 部门概况</w:t>
      </w:r>
    </w:p>
    <w:p>
      <w:pPr>
        <w:pStyle w:val="2"/>
        <w:widowControl/>
        <w:spacing w:before="180" w:beforeAutospacing="0" w:after="360" w:afterAutospacing="0" w:line="450" w:lineRule="atLeast"/>
        <w:ind w:left="260"/>
        <w:rPr>
          <w:rFonts w:asciiTheme="minorEastAsia" w:hAnsiTheme="minorEastAsia" w:cstheme="minorEastAsia"/>
          <w:b/>
          <w:color w:val="333333"/>
          <w:sz w:val="28"/>
          <w:szCs w:val="28"/>
        </w:rPr>
      </w:pPr>
      <w:r>
        <w:rPr>
          <w:rFonts w:hint="eastAsia" w:asciiTheme="minorEastAsia" w:hAnsiTheme="minorEastAsia" w:cstheme="minorEastAsia"/>
          <w:b/>
          <w:color w:val="333333"/>
          <w:sz w:val="28"/>
          <w:szCs w:val="28"/>
        </w:rPr>
        <w:t>主要职责：</w:t>
      </w:r>
    </w:p>
    <w:p>
      <w:pPr>
        <w:pStyle w:val="2"/>
        <w:widowControl/>
        <w:spacing w:before="180" w:beforeAutospacing="0" w:after="360" w:afterAutospacing="0" w:line="45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1、贯彻执行国家畜牧业法律法规；指导监督畜牧兽医行政执法工作；指导全县畜牧业行政执法体系建设。</w:t>
      </w:r>
    </w:p>
    <w:p>
      <w:pPr>
        <w:pStyle w:val="2"/>
        <w:widowControl/>
        <w:spacing w:before="180" w:beforeAutospacing="0" w:after="360" w:afterAutospacing="0" w:line="45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2、拟订全县畜牧业发展战略、发展规划、发展政策并组织实施;指导、扶持与畜牧业相关的社会化服务体系、农村合作经济组织、农民专业合作社和行业协会的建设与发展。</w:t>
      </w:r>
    </w:p>
    <w:p>
      <w:pPr>
        <w:pStyle w:val="2"/>
        <w:widowControl/>
        <w:spacing w:before="180" w:beforeAutospacing="0" w:after="360" w:afterAutospacing="0" w:line="45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3、组织全县畜牧业科研项目的技术攻关；负责县级以上科研成果的审核申报；负责畜牧行业科技推广、对外经济技术合作、科技交流工作；指导畜牧行业技术教育工作。</w:t>
      </w:r>
    </w:p>
    <w:p>
      <w:pPr>
        <w:pStyle w:val="2"/>
        <w:widowControl/>
        <w:spacing w:before="180" w:beforeAutospacing="0" w:after="360" w:afterAutospacing="0" w:line="45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4、负责全县动物防疫、检疫工作，拟订全县动物疫病防治规划并组织实施；负责动物疫情的监测预警、风险评估和重大动物疫情的认定、并组织扑灭。</w:t>
      </w:r>
    </w:p>
    <w:p>
      <w:pPr>
        <w:pStyle w:val="2"/>
        <w:widowControl/>
        <w:spacing w:before="180" w:beforeAutospacing="0" w:after="360" w:afterAutospacing="0" w:line="45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5、负责全县兽医医政、兽药药政工作；负责官方兽医、执业兽医、兽医诊疗机构、兽医医疗器械管理工作；组织实施兽药、兽药残留限量和残留检测方法国家标准</w:t>
      </w:r>
    </w:p>
    <w:p>
      <w:pPr>
        <w:pStyle w:val="2"/>
        <w:widowControl/>
        <w:spacing w:before="180" w:beforeAutospacing="0" w:after="360" w:afterAutospacing="0" w:line="45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6、负责全县草原监督管理和草原防火工作；拟订草地保护、建设、利用规划并组织实施；负责全县动物遗传资源、草地资源的保护工作;负责种畜禽、牧草种子的登记和进出口的审核、审批。</w:t>
      </w:r>
    </w:p>
    <w:p>
      <w:pPr>
        <w:pStyle w:val="2"/>
        <w:widowControl/>
        <w:spacing w:before="180" w:beforeAutospacing="0" w:after="360" w:afterAutospacing="0" w:line="45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7、负责全县饲料、饲料添加剂的管理工作；监督管理饲料、饲料添加剂产品质量；承担新饲料、新饲料添加剂的审核工作。</w:t>
      </w:r>
    </w:p>
    <w:p>
      <w:pPr>
        <w:pStyle w:val="2"/>
        <w:widowControl/>
        <w:spacing w:before="180" w:beforeAutospacing="0" w:after="360" w:afterAutospacing="0" w:line="450" w:lineRule="atLeast"/>
        <w:ind w:left="260" w:firstLine="141" w:firstLineChars="50"/>
        <w:rPr>
          <w:rFonts w:asciiTheme="minorEastAsia" w:hAnsiTheme="minorEastAsia" w:cstheme="minorEastAsia"/>
          <w:b/>
          <w:color w:val="333333"/>
          <w:sz w:val="28"/>
          <w:szCs w:val="28"/>
        </w:rPr>
      </w:pPr>
      <w:r>
        <w:rPr>
          <w:rFonts w:hint="eastAsia" w:asciiTheme="minorEastAsia" w:hAnsiTheme="minorEastAsia" w:cstheme="minorEastAsia"/>
          <w:b/>
          <w:color w:val="333333"/>
          <w:sz w:val="28"/>
          <w:szCs w:val="28"/>
        </w:rPr>
        <w:t>二、机构设置及部门决算单位构成</w:t>
      </w:r>
    </w:p>
    <w:p>
      <w:pPr>
        <w:pStyle w:val="2"/>
        <w:widowControl/>
        <w:spacing w:before="180" w:beforeAutospacing="0" w:after="360" w:afterAutospacing="0" w:line="45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我单位为为全额拔款事业单位，内设五个站所、一个办公室，为一级预算单位。</w:t>
      </w:r>
    </w:p>
    <w:p>
      <w:pPr>
        <w:pStyle w:val="2"/>
        <w:widowControl/>
        <w:spacing w:before="180" w:beforeAutospacing="0" w:after="360" w:afterAutospacing="0" w:line="450" w:lineRule="atLeast"/>
        <w:ind w:left="260" w:firstLine="141" w:firstLineChars="50"/>
        <w:rPr>
          <w:rFonts w:asciiTheme="minorEastAsia" w:hAnsiTheme="minorEastAsia" w:cstheme="minorEastAsia"/>
          <w:b/>
          <w:color w:val="333333"/>
          <w:sz w:val="28"/>
          <w:szCs w:val="28"/>
        </w:rPr>
      </w:pPr>
      <w:r>
        <w:rPr>
          <w:rFonts w:hint="eastAsia" w:asciiTheme="minorEastAsia" w:hAnsiTheme="minorEastAsia" w:cstheme="minorEastAsia"/>
          <w:b/>
          <w:color w:val="333333"/>
          <w:sz w:val="28"/>
          <w:szCs w:val="28"/>
        </w:rPr>
        <w:t>三、人员构成</w:t>
      </w:r>
    </w:p>
    <w:p>
      <w:pPr>
        <w:pStyle w:val="2"/>
        <w:widowControl/>
        <w:spacing w:before="180" w:beforeAutospacing="0" w:after="360" w:afterAutospacing="0" w:line="450" w:lineRule="atLeas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事业单位编制数89个，在职 71人，退休 45人，离休1人。</w:t>
      </w:r>
    </w:p>
    <w:p>
      <w:pPr>
        <w:pStyle w:val="2"/>
        <w:widowControl/>
        <w:spacing w:before="180" w:beforeAutospacing="0" w:after="360" w:afterAutospacing="0" w:line="450" w:lineRule="atLeast"/>
        <w:ind w:left="260" w:firstLine="141" w:firstLineChars="50"/>
        <w:rPr>
          <w:rFonts w:asciiTheme="minorEastAsia" w:hAnsiTheme="minorEastAsia" w:cstheme="minorEastAsia"/>
          <w:sz w:val="28"/>
          <w:szCs w:val="28"/>
        </w:rPr>
      </w:pPr>
      <w:r>
        <w:rPr>
          <w:rFonts w:hint="eastAsia" w:asciiTheme="minorEastAsia" w:hAnsiTheme="minorEastAsia" w:cstheme="minorEastAsia"/>
          <w:b/>
          <w:color w:val="333333"/>
          <w:sz w:val="28"/>
          <w:szCs w:val="28"/>
        </w:rPr>
        <w:t>第二部分2018年度部门决算情况说明</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一、2018年度收入支出决算总体情况说明</w:t>
      </w:r>
    </w:p>
    <w:p>
      <w:pPr>
        <w:pStyle w:val="2"/>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2018年度收入总计2622，6283万元，支出总计2535，5427万元，与上年相比，收入总计增加937，1882万元，增长35%；支出总计增加860，1026万元，增长34 %。</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 2018年度收入决算情况说明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本年收入合计2622，6283万元，其中：财政拨款收入2622，6283 万元，占100%.</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三、2018年度支出决算情况说明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本年支出合计2535，5427万元，其中：基本支出939，1138万元，占37%；项目支出1596，4289万元，占63 %；</w:t>
      </w:r>
    </w:p>
    <w:p>
      <w:pPr>
        <w:pStyle w:val="2"/>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四、2018年度财政拨款收入支出决算总体情况说明</w:t>
      </w:r>
    </w:p>
    <w:p>
      <w:pPr>
        <w:pStyle w:val="2"/>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2018年度财政拨款收入2622，6283万元，与上年相比，增加937，1882万元，增长35%；2018年度财政拨款支出25355，427万元，与上年相比，增加860，1026万元，增长34 %。</w:t>
      </w:r>
    </w:p>
    <w:p>
      <w:pPr>
        <w:pStyle w:val="2"/>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五、2018年度一般公共预算财政拨款支出决算情况说明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（一）财政拨款支出决算总体情况。</w:t>
      </w:r>
    </w:p>
    <w:p>
      <w:pPr>
        <w:pStyle w:val="2"/>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2018年度财政拨款支出2535，5427万元，占本年支出合计的97%。与上年相比，财政拨款支出增加860，1026万元，增长34%。</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（二）财政拨款支出决算结构情况。</w:t>
      </w:r>
    </w:p>
    <w:p>
      <w:pPr>
        <w:pStyle w:val="2"/>
        <w:widowControl/>
        <w:shd w:val="clear" w:color="auto" w:fill="FFFFFF"/>
        <w:spacing w:beforeAutospacing="0" w:after="225" w:afterAutospacing="0"/>
        <w:ind w:firstLine="1020"/>
        <w:textAlignment w:val="baseline"/>
        <w:rPr>
          <w:rFonts w:asciiTheme="minorEastAsia" w:hAnsiTheme="minorEastAsia" w:cstheme="minorEastAsia"/>
          <w:color w:val="373737"/>
          <w:sz w:val="28"/>
          <w:szCs w:val="28"/>
          <w:shd w:val="clear" w:color="auto" w:fill="FFFFFF"/>
        </w:rPr>
      </w:pPr>
      <w:r>
        <w:rPr>
          <w:rFonts w:hint="eastAsia" w:asciiTheme="minorEastAsia" w:hAnsiTheme="minorEastAsia" w:cstheme="minorEastAsia"/>
          <w:color w:val="373737"/>
          <w:sz w:val="28"/>
          <w:szCs w:val="28"/>
          <w:shd w:val="clear" w:color="auto" w:fill="FFFFFF"/>
        </w:rPr>
        <w:t>2018年度财政拨款支出2535，5427万元，主要用于以下方面：</w:t>
      </w:r>
      <w:r>
        <w:rPr>
          <w:rStyle w:val="5"/>
          <w:rFonts w:hint="eastAsia" w:asciiTheme="minorEastAsia" w:hAnsiTheme="minorEastAsia" w:cstheme="minorEastAsia"/>
          <w:color w:val="373737"/>
          <w:sz w:val="28"/>
          <w:szCs w:val="28"/>
          <w:shd w:val="clear" w:color="auto" w:fill="FFFFFF"/>
        </w:rPr>
        <w:t>社会保障和就业（类）</w:t>
      </w:r>
      <w:r>
        <w:rPr>
          <w:rFonts w:hint="eastAsia" w:asciiTheme="minorEastAsia" w:hAnsiTheme="minorEastAsia" w:cstheme="minorEastAsia"/>
          <w:color w:val="373737"/>
          <w:sz w:val="28"/>
          <w:szCs w:val="28"/>
          <w:shd w:val="clear" w:color="auto" w:fill="FFFFFF"/>
        </w:rPr>
        <w:t>支出221，6013万元，占8.7%；</w:t>
      </w:r>
      <w:r>
        <w:rPr>
          <w:rStyle w:val="5"/>
          <w:rFonts w:hint="eastAsia" w:asciiTheme="minorEastAsia" w:hAnsiTheme="minorEastAsia" w:cstheme="minorEastAsia"/>
          <w:color w:val="373737"/>
          <w:sz w:val="28"/>
          <w:szCs w:val="28"/>
          <w:shd w:val="clear" w:color="auto" w:fill="FFFFFF"/>
        </w:rPr>
        <w:t>农林水（类）</w:t>
      </w:r>
      <w:r>
        <w:rPr>
          <w:rFonts w:hint="eastAsia" w:asciiTheme="minorEastAsia" w:hAnsiTheme="minorEastAsia" w:cstheme="minorEastAsia"/>
          <w:color w:val="373737"/>
          <w:sz w:val="28"/>
          <w:szCs w:val="28"/>
          <w:shd w:val="clear" w:color="auto" w:fill="FFFFFF"/>
        </w:rPr>
        <w:t>支出1964，181万元，占77%；</w:t>
      </w:r>
      <w:r>
        <w:rPr>
          <w:rStyle w:val="5"/>
          <w:rFonts w:hint="eastAsia" w:asciiTheme="minorEastAsia" w:hAnsiTheme="minorEastAsia" w:cstheme="minorEastAsia"/>
          <w:color w:val="373737"/>
          <w:sz w:val="28"/>
          <w:szCs w:val="28"/>
          <w:shd w:val="clear" w:color="auto" w:fill="FFFFFF"/>
        </w:rPr>
        <w:t>住房保障（类）</w:t>
      </w:r>
      <w:r>
        <w:rPr>
          <w:rFonts w:hint="eastAsia" w:asciiTheme="minorEastAsia" w:hAnsiTheme="minorEastAsia" w:cstheme="minorEastAsia"/>
          <w:color w:val="373737"/>
          <w:sz w:val="28"/>
          <w:szCs w:val="28"/>
          <w:shd w:val="clear" w:color="auto" w:fill="FFFFFF"/>
        </w:rPr>
        <w:t>支出 41，9371万元，占1.6%。城乡社区支出307，8233，占12%。</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（三）财政拨款支出决算具体情况。（根据单位实际科目）</w:t>
      </w:r>
    </w:p>
    <w:p>
      <w:pPr>
        <w:pStyle w:val="2"/>
        <w:widowControl/>
        <w:shd w:val="clear" w:color="auto" w:fill="FFFFFF"/>
        <w:spacing w:beforeAutospacing="0" w:after="225" w:afterAutospacing="0"/>
        <w:ind w:firstLine="99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支出年初预算为853，7393万元，支出决算为2535，5427万元，完成年初预算的296%。决算数大于预算数的主要原因：一是2018年在职、离退休职工工资增长了和由于工资的增长相应的医疗保险、住房公积金、住房提租补贴相应的缴交比例也随之增加，所以决算数大于预算数；二是2018年增加了行政管理事务等项目资金。其中：</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1. 社会保障和就业（类）行政事业单位离退休（款）未归口管理的行政单位离退休（项）。</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年初预算为258，9398万元，支出决算为221，6012万元，完成年初预算的 85.6%。决算数大于预算数的主要原因是2018年离退休职工工资增长了。</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2. 医疗卫生和计划生育（类）医疗保障（款）行政单位医疗（项）。</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无</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3. 农林水（类）农业（款）行政运行（项）。</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w:t>
      </w:r>
      <w:r>
        <w:rPr>
          <w:rStyle w:val="5"/>
          <w:rFonts w:hint="eastAsia" w:asciiTheme="minorEastAsia" w:hAnsiTheme="minorEastAsia" w:cstheme="minorEastAsia"/>
          <w:color w:val="373737"/>
          <w:sz w:val="28"/>
          <w:szCs w:val="28"/>
          <w:shd w:val="clear" w:color="auto" w:fill="FFFFFF"/>
        </w:rPr>
        <w:t>552，1945</w:t>
      </w:r>
      <w:r>
        <w:rPr>
          <w:rFonts w:hint="eastAsia" w:asciiTheme="minorEastAsia" w:hAnsiTheme="minorEastAsia" w:cstheme="minorEastAsia"/>
          <w:color w:val="373737"/>
          <w:sz w:val="28"/>
          <w:szCs w:val="28"/>
          <w:shd w:val="clear" w:color="auto" w:fill="FFFFFF"/>
        </w:rPr>
        <w:t>万元，支出决算为</w:t>
      </w:r>
      <w:r>
        <w:rPr>
          <w:rStyle w:val="5"/>
          <w:rFonts w:hint="eastAsia" w:asciiTheme="minorEastAsia" w:hAnsiTheme="minorEastAsia" w:cstheme="minorEastAsia"/>
          <w:color w:val="373737"/>
          <w:sz w:val="28"/>
          <w:szCs w:val="28"/>
          <w:shd w:val="clear" w:color="auto" w:fill="FFFFFF"/>
        </w:rPr>
        <w:t>1964，181</w:t>
      </w:r>
      <w:r>
        <w:rPr>
          <w:rFonts w:hint="eastAsia" w:asciiTheme="minorEastAsia" w:hAnsiTheme="minorEastAsia" w:cstheme="minorEastAsia"/>
          <w:color w:val="373737"/>
          <w:sz w:val="28"/>
          <w:szCs w:val="28"/>
          <w:shd w:val="clear" w:color="auto" w:fill="FFFFFF"/>
        </w:rPr>
        <w:t>万元，完成年初预算的</w:t>
      </w:r>
      <w:r>
        <w:rPr>
          <w:rStyle w:val="5"/>
          <w:rFonts w:hint="eastAsia" w:asciiTheme="minorEastAsia" w:hAnsiTheme="minorEastAsia" w:cstheme="minorEastAsia"/>
          <w:color w:val="373737"/>
          <w:sz w:val="28"/>
          <w:szCs w:val="28"/>
          <w:shd w:val="clear" w:color="auto" w:fill="FFFFFF"/>
        </w:rPr>
        <w:t xml:space="preserve"> 356</w:t>
      </w:r>
      <w:r>
        <w:rPr>
          <w:rFonts w:hint="eastAsia" w:asciiTheme="minorEastAsia" w:hAnsiTheme="minorEastAsia" w:cstheme="minorEastAsia"/>
          <w:color w:val="373737"/>
          <w:sz w:val="28"/>
          <w:szCs w:val="28"/>
          <w:shd w:val="clear" w:color="auto" w:fill="FFFFFF"/>
        </w:rPr>
        <w:t>%。决算数大于预算数的主要原因是2018年增加了行政管理事务等项目资金。</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4. 住房保障（类）住房改革支出（款）住房公积金（项）。</w:t>
      </w:r>
    </w:p>
    <w:p>
      <w:pPr>
        <w:pStyle w:val="2"/>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年初预算为42,6050万元，支出决算为41,9371万元，完成年初预算的98%。决算数小于预算数的主要原因是2018年在职职工人员退休及调动，使住房公积金的缴交比例减少了。</w:t>
      </w:r>
    </w:p>
    <w:p>
      <w:pPr>
        <w:pStyle w:val="2"/>
        <w:widowControl/>
        <w:shd w:val="clear" w:color="auto" w:fill="FFFFFF"/>
        <w:spacing w:beforeAutospacing="0" w:after="225" w:afterAutospacing="0"/>
        <w:ind w:right="270" w:firstLine="562" w:firstLineChars="2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六、2018年度一般公共预算财政拨款基本支出决算情况说明。</w:t>
      </w:r>
    </w:p>
    <w:p>
      <w:pPr>
        <w:pStyle w:val="2"/>
        <w:widowControl/>
        <w:shd w:val="clear" w:color="auto" w:fill="FFFFFF"/>
        <w:spacing w:beforeAutospacing="0" w:after="225" w:afterAutospacing="0"/>
        <w:ind w:right="105" w:rightChars="50"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2018年度财政拨款基本支出</w:t>
      </w:r>
      <w:r>
        <w:rPr>
          <w:rFonts w:hint="eastAsia" w:asciiTheme="minorEastAsia" w:hAnsiTheme="minorEastAsia" w:cstheme="minorEastAsia"/>
          <w:color w:val="373737"/>
          <w:sz w:val="28"/>
          <w:szCs w:val="28"/>
          <w:highlight w:val="none"/>
          <w:shd w:val="clear" w:color="auto" w:fill="FFFFFF"/>
        </w:rPr>
        <w:t>931</w:t>
      </w:r>
      <w:r>
        <w:rPr>
          <w:rFonts w:hint="eastAsia" w:asciiTheme="minorEastAsia" w:hAnsiTheme="minorEastAsia" w:cstheme="minorEastAsia"/>
          <w:color w:val="373737"/>
          <w:sz w:val="28"/>
          <w:szCs w:val="28"/>
          <w:highlight w:val="none"/>
          <w:shd w:val="clear" w:color="auto" w:fill="FFFFFF"/>
          <w:lang w:val="en-US" w:eastAsia="zh-CN"/>
        </w:rPr>
        <w:t>,</w:t>
      </w:r>
      <w:r>
        <w:rPr>
          <w:rFonts w:hint="eastAsia" w:asciiTheme="minorEastAsia" w:hAnsiTheme="minorEastAsia" w:cstheme="minorEastAsia"/>
          <w:color w:val="373737"/>
          <w:sz w:val="28"/>
          <w:szCs w:val="28"/>
          <w:highlight w:val="none"/>
          <w:shd w:val="clear" w:color="auto" w:fill="FFFFFF"/>
        </w:rPr>
        <w:t>373805</w:t>
      </w:r>
      <w:r>
        <w:rPr>
          <w:rFonts w:hint="eastAsia" w:asciiTheme="minorEastAsia" w:hAnsiTheme="minorEastAsia" w:cstheme="minorEastAsia"/>
          <w:color w:val="373737"/>
          <w:sz w:val="28"/>
          <w:szCs w:val="28"/>
          <w:shd w:val="clear" w:color="auto" w:fill="FFFFFF"/>
        </w:rPr>
        <w:t>万元，其中：人员经费 847</w:t>
      </w:r>
      <w:r>
        <w:rPr>
          <w:rFonts w:hint="eastAsia" w:asciiTheme="minorEastAsia" w:hAnsiTheme="minorEastAsia" w:cstheme="minorEastAsia"/>
          <w:color w:val="373737"/>
          <w:sz w:val="28"/>
          <w:szCs w:val="28"/>
          <w:shd w:val="clear" w:color="auto" w:fill="FFFFFF"/>
          <w:lang w:val="en-US" w:eastAsia="zh-CN"/>
        </w:rPr>
        <w:t>,</w:t>
      </w:r>
      <w:r>
        <w:rPr>
          <w:rFonts w:hint="eastAsia" w:asciiTheme="minorEastAsia" w:hAnsiTheme="minorEastAsia" w:cstheme="minorEastAsia"/>
          <w:color w:val="373737"/>
          <w:sz w:val="28"/>
          <w:szCs w:val="28"/>
          <w:shd w:val="clear" w:color="auto" w:fill="FFFFFF"/>
        </w:rPr>
        <w:t>404455万元，主要包括：基本工资、津贴补贴、奖金、其他社会保障缴费、伙食补助费、其他工资福利支出、离休费、退休费、医疗费、奖励金、</w:t>
      </w:r>
      <w:bookmarkStart w:id="0" w:name="_GoBack"/>
      <w:bookmarkEnd w:id="0"/>
      <w:r>
        <w:rPr>
          <w:rFonts w:hint="eastAsia" w:asciiTheme="minorEastAsia" w:hAnsiTheme="minorEastAsia" w:cstheme="minorEastAsia"/>
          <w:color w:val="373737"/>
          <w:sz w:val="28"/>
          <w:szCs w:val="28"/>
          <w:shd w:val="clear" w:color="auto" w:fill="FFFFFF"/>
        </w:rPr>
        <w:t>住房公积金、提租补贴、采暖补贴、其他对个人和家庭的补助支出；公用经费83，9694万元，主要包括：办公费、印刷费、水费、电费、邮电费、取暖费、物业费、差旅费、维修（护）费、专用材料费、劳务费、工会经费、福利费、其他交通费用、办公设备购置。</w:t>
      </w:r>
    </w:p>
    <w:p>
      <w:pPr>
        <w:pStyle w:val="2"/>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七、2018年度一般公共预算财政拨款“三公”经费支出决算情况说明</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（一）“三公”经费财政拨款支出决算总体情况说明。</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2018年度“三公”经费财政拨款支出预算为</w:t>
      </w:r>
      <w:r>
        <w:rPr>
          <w:rStyle w:val="5"/>
          <w:rFonts w:hint="eastAsia" w:asciiTheme="minorEastAsia" w:hAnsiTheme="minorEastAsia" w:cstheme="minorEastAsia"/>
          <w:color w:val="373737"/>
          <w:sz w:val="28"/>
          <w:szCs w:val="28"/>
          <w:shd w:val="clear" w:color="auto" w:fill="FFFFFF"/>
        </w:rPr>
        <w:t>10.12</w:t>
      </w:r>
      <w:r>
        <w:rPr>
          <w:rFonts w:hint="eastAsia" w:asciiTheme="minorEastAsia" w:hAnsiTheme="minorEastAsia" w:cstheme="minorEastAsia"/>
          <w:color w:val="373737"/>
          <w:sz w:val="28"/>
          <w:szCs w:val="28"/>
          <w:shd w:val="clear" w:color="auto" w:fill="FFFFFF"/>
        </w:rPr>
        <w:t>万元，支出决算9，7万元，完成预算的</w:t>
      </w:r>
      <w:r>
        <w:rPr>
          <w:rStyle w:val="5"/>
          <w:rFonts w:hint="eastAsia" w:asciiTheme="minorEastAsia" w:hAnsiTheme="minorEastAsia" w:cstheme="minorEastAsia"/>
          <w:color w:val="373737"/>
          <w:sz w:val="28"/>
          <w:szCs w:val="28"/>
          <w:shd w:val="clear" w:color="auto" w:fill="FFFFFF"/>
        </w:rPr>
        <w:t>96</w:t>
      </w:r>
      <w:r>
        <w:rPr>
          <w:rFonts w:hint="eastAsia" w:asciiTheme="minorEastAsia" w:hAnsiTheme="minorEastAsia" w:cstheme="minorEastAsia"/>
          <w:color w:val="373737"/>
          <w:sz w:val="28"/>
          <w:szCs w:val="28"/>
          <w:shd w:val="clear" w:color="auto" w:fill="FFFFFF"/>
        </w:rPr>
        <w:t>%，其中：因公出国（境）费支出决算为</w:t>
      </w:r>
      <w:r>
        <w:rPr>
          <w:rStyle w:val="5"/>
          <w:rFonts w:hint="eastAsia" w:asciiTheme="minorEastAsia" w:hAnsiTheme="minorEastAsia" w:cstheme="minorEastAsia"/>
          <w:color w:val="373737"/>
          <w:sz w:val="28"/>
          <w:szCs w:val="28"/>
          <w:shd w:val="clear" w:color="auto" w:fill="FFFFFF"/>
        </w:rPr>
        <w:t xml:space="preserve"> 0</w:t>
      </w:r>
      <w:r>
        <w:rPr>
          <w:rFonts w:hint="eastAsia" w:asciiTheme="minorEastAsia" w:hAnsiTheme="minorEastAsia" w:cstheme="minorEastAsia"/>
          <w:color w:val="373737"/>
          <w:sz w:val="28"/>
          <w:szCs w:val="28"/>
          <w:shd w:val="clear" w:color="auto" w:fill="FFFFFF"/>
        </w:rPr>
        <w:t>万元，完成预算的</w:t>
      </w:r>
      <w:r>
        <w:rPr>
          <w:rStyle w:val="5"/>
          <w:rFonts w:hint="eastAsia" w:asciiTheme="minorEastAsia" w:hAnsiTheme="minorEastAsia" w:cstheme="minorEastAsia"/>
          <w:color w:val="373737"/>
          <w:sz w:val="28"/>
          <w:szCs w:val="28"/>
          <w:shd w:val="clear" w:color="auto" w:fill="FFFFFF"/>
        </w:rPr>
        <w:t xml:space="preserve"> 0</w:t>
      </w:r>
      <w:r>
        <w:rPr>
          <w:rFonts w:hint="eastAsia" w:asciiTheme="minorEastAsia" w:hAnsiTheme="minorEastAsia" w:cstheme="minorEastAsia"/>
          <w:color w:val="373737"/>
          <w:sz w:val="28"/>
          <w:szCs w:val="28"/>
          <w:shd w:val="clear" w:color="auto" w:fill="FFFFFF"/>
        </w:rPr>
        <w:t>%；公务用车购置及运行费支出决算为</w:t>
      </w:r>
      <w:r>
        <w:rPr>
          <w:rStyle w:val="5"/>
          <w:rFonts w:hint="eastAsia" w:asciiTheme="minorEastAsia" w:hAnsiTheme="minorEastAsia" w:cstheme="minorEastAsia"/>
          <w:color w:val="373737"/>
          <w:sz w:val="28"/>
          <w:szCs w:val="28"/>
          <w:shd w:val="clear" w:color="auto" w:fill="FFFFFF"/>
        </w:rPr>
        <w:t>9.7</w:t>
      </w:r>
      <w:r>
        <w:rPr>
          <w:rFonts w:hint="eastAsia" w:asciiTheme="minorEastAsia" w:hAnsiTheme="minorEastAsia" w:cstheme="minorEastAsia"/>
          <w:color w:val="373737"/>
          <w:sz w:val="28"/>
          <w:szCs w:val="28"/>
          <w:shd w:val="clear" w:color="auto" w:fill="FFFFFF"/>
        </w:rPr>
        <w:t>万元，完成预算的0%；公务接待费支出决算为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万元，完成预算的0%。2018年度“三公”经费支出决算数与预算数减少，原因为严格按照上级标准，缩减公务接待开支。</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决算数比上年增减少0.42万元，减少4%，公务用车购置及运行费支出决算9.7万元，减少0 %，原因为：部门严格执行三公经费缩减，公务接待费支出决算0万元，增长0%，原因为：严格按照上级标准，缩减公务接待开支。</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（二）“三公”经费财政拨款支出决算具体情况说明。</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2018年度“三公”经费财政拨款支出决算中，因公出国（境）费支出决算</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万元，占</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%；公务用车购置及运行费支出决算</w:t>
      </w:r>
      <w:r>
        <w:rPr>
          <w:rStyle w:val="5"/>
          <w:rFonts w:hint="eastAsia" w:asciiTheme="minorEastAsia" w:hAnsiTheme="minorEastAsia" w:cstheme="minorEastAsia"/>
          <w:color w:val="373737"/>
          <w:sz w:val="28"/>
          <w:szCs w:val="28"/>
          <w:shd w:val="clear" w:color="auto" w:fill="FFFFFF"/>
        </w:rPr>
        <w:t>9.7</w:t>
      </w:r>
      <w:r>
        <w:rPr>
          <w:rFonts w:hint="eastAsia" w:asciiTheme="minorEastAsia" w:hAnsiTheme="minorEastAsia" w:cstheme="minorEastAsia"/>
          <w:color w:val="373737"/>
          <w:sz w:val="28"/>
          <w:szCs w:val="28"/>
          <w:shd w:val="clear" w:color="auto" w:fill="FFFFFF"/>
        </w:rPr>
        <w:t>万元，占0；公务接待费支出决算</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万元，占0%。</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1.因公出国（境）费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万元。全年安排因公出国</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（境）团组0个，累计0人次。开支内容包括：出国人员差旅费0万元。</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2.公务用车购置及运行费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9.7</w:t>
      </w:r>
      <w:r>
        <w:rPr>
          <w:rFonts w:hint="eastAsia" w:asciiTheme="minorEastAsia" w:hAnsiTheme="minorEastAsia" w:cstheme="minorEastAsia"/>
          <w:color w:val="373737"/>
          <w:sz w:val="28"/>
          <w:szCs w:val="28"/>
          <w:shd w:val="clear" w:color="auto" w:fill="FFFFFF"/>
        </w:rPr>
        <w:t>万元。其中：</w:t>
      </w:r>
      <w:r>
        <w:rPr>
          <w:rStyle w:val="5"/>
          <w:rFonts w:hint="eastAsia" w:asciiTheme="minorEastAsia" w:hAnsiTheme="minorEastAsia" w:cstheme="minorEastAsia"/>
          <w:color w:val="373737"/>
          <w:sz w:val="28"/>
          <w:szCs w:val="28"/>
          <w:shd w:val="clear" w:color="auto" w:fill="FFFFFF"/>
        </w:rPr>
        <w:t>公务用车购置</w:t>
      </w:r>
      <w:r>
        <w:rPr>
          <w:rFonts w:hint="eastAsia" w:asciiTheme="minorEastAsia" w:hAnsiTheme="minorEastAsia" w:cstheme="minorEastAsia"/>
          <w:color w:val="373737"/>
          <w:sz w:val="28"/>
          <w:szCs w:val="28"/>
          <w:shd w:val="clear" w:color="auto" w:fill="FFFFFF"/>
        </w:rPr>
        <w:t>支出为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w:t>
      </w:r>
      <w:r>
        <w:rPr>
          <w:rStyle w:val="5"/>
          <w:rFonts w:hint="eastAsia" w:asciiTheme="minorEastAsia" w:hAnsiTheme="minorEastAsia" w:cstheme="minorEastAsia"/>
          <w:color w:val="373737"/>
          <w:sz w:val="28"/>
          <w:szCs w:val="28"/>
          <w:shd w:val="clear" w:color="auto" w:fill="FFFFFF"/>
        </w:rPr>
        <w:t>公务用车运行</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9.7</w:t>
      </w:r>
      <w:r>
        <w:rPr>
          <w:rFonts w:hint="eastAsia" w:asciiTheme="minorEastAsia" w:hAnsiTheme="minorEastAsia" w:cstheme="minorEastAsia"/>
          <w:color w:val="373737"/>
          <w:sz w:val="28"/>
          <w:szCs w:val="28"/>
          <w:shd w:val="clear" w:color="auto" w:fill="FFFFFF"/>
        </w:rPr>
        <w:t>万元。</w:t>
      </w:r>
      <w:r>
        <w:rPr>
          <w:rStyle w:val="5"/>
          <w:rFonts w:hint="eastAsia" w:asciiTheme="minorEastAsia" w:hAnsiTheme="minorEastAsia" w:cstheme="minorEastAsia"/>
          <w:color w:val="373737"/>
          <w:sz w:val="28"/>
          <w:szCs w:val="28"/>
          <w:shd w:val="clear" w:color="auto" w:fill="FFFFFF"/>
        </w:rPr>
        <w:t>公务用车保有量0</w:t>
      </w:r>
      <w:r>
        <w:rPr>
          <w:rFonts w:hint="eastAsia" w:asciiTheme="minorEastAsia" w:hAnsiTheme="minorEastAsia" w:cstheme="minorEastAsia"/>
          <w:color w:val="373737"/>
          <w:sz w:val="28"/>
          <w:szCs w:val="28"/>
          <w:shd w:val="clear" w:color="auto" w:fill="FFFFFF"/>
        </w:rPr>
        <w:t>台。</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3.公务接待费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万元。其中：国内公务接待</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万元，国内公务接待批次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个，国内公务接待人次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人；国（境）外公务接待</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万元，国（境）外公务接待批次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个，国（境）外公务接待人次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w:t>
      </w:r>
    </w:p>
    <w:p>
      <w:pPr>
        <w:pStyle w:val="2"/>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八、其他重要事项的情况说明</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（一）机关运行经费支出情况。</w:t>
      </w:r>
    </w:p>
    <w:p>
      <w:pPr>
        <w:pStyle w:val="2"/>
        <w:widowControl/>
        <w:spacing w:before="180" w:beforeAutospacing="0" w:after="360" w:afterAutospacing="0" w:line="450" w:lineRule="atLeast"/>
        <w:ind w:firstLine="848"/>
        <w:rPr>
          <w:rFonts w:asciiTheme="minorEastAsia" w:hAnsiTheme="minorEastAsia" w:cstheme="minorEastAsia"/>
          <w:sz w:val="28"/>
          <w:szCs w:val="28"/>
        </w:rPr>
      </w:pPr>
      <w:r>
        <w:rPr>
          <w:rFonts w:hint="eastAsia" w:asciiTheme="minorEastAsia" w:hAnsiTheme="minorEastAsia" w:cstheme="minorEastAsia"/>
          <w:color w:val="333333"/>
          <w:sz w:val="28"/>
          <w:szCs w:val="28"/>
        </w:rPr>
        <w:t>本部门 2018年度机关运行经费支出41，99万元（与部门决算中行政单位和参照公务员法管理事业单位一般公共预算财政拨款基本支出中公用经费之和保持一致），比上年增加1.62 万元，增长4%。主要原因是：事业运行费用增加（具体增减原因由部门根据实际情况填列）。</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（二）政府采购支出情况。</w:t>
      </w:r>
    </w:p>
    <w:p>
      <w:pPr>
        <w:pStyle w:val="2"/>
        <w:widowControl/>
        <w:spacing w:before="180" w:beforeAutospacing="0" w:after="360" w:afterAutospacing="0" w:line="450" w:lineRule="atLeast"/>
        <w:ind w:firstLine="800"/>
        <w:rPr>
          <w:rFonts w:asciiTheme="minorEastAsia" w:hAnsiTheme="minorEastAsia" w:cstheme="minorEastAsia"/>
          <w:sz w:val="28"/>
          <w:szCs w:val="28"/>
        </w:rPr>
      </w:pPr>
      <w:r>
        <w:rPr>
          <w:rFonts w:hint="eastAsia" w:asciiTheme="minorEastAsia" w:hAnsiTheme="minorEastAsia" w:cstheme="minorEastAsia"/>
          <w:color w:val="333333"/>
          <w:sz w:val="28"/>
          <w:szCs w:val="28"/>
        </w:rPr>
        <w:t>2018年度政府采购支出总额0万元，其中：政府采购货物支出  0万元、政府采购工程支出 0万元、政府采购服务支出 0万元。</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（三）国有资产占用情况。</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截至 2018年 12 月 31 日，本部门共有车辆 1辆，其中，一般公务用车 1 辆、一般执法执勤用  辆、特种专业技术用车 0辆、其他用车 0辆，其他用车主要是办案用车；单位价值 50 万万元以上通用设备 0台（套），单价100 万万元以上专用设备 0台（套）。</w:t>
      </w:r>
    </w:p>
    <w:p>
      <w:pPr>
        <w:pStyle w:val="2"/>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（四）2018年度预算绩效情况说明</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根据财政预算管理要求和年初设定的绩效目标，我单位组织对 2018年度项目支出全面开展绩效自评。共涉及资金300万元，自评覆盖率达到100%。共组织对“两牛一猪”等 3个项目进行了绩效评价，共涉及资金300万元。从评价情况来看，本部门共开展了职工评分进行了绩效考核。</w:t>
      </w:r>
    </w:p>
    <w:p>
      <w:pPr>
        <w:pStyle w:val="2"/>
        <w:widowControl/>
        <w:spacing w:before="180" w:beforeAutospacing="0" w:after="360" w:afterAutospacing="0" w:line="457" w:lineRule="atLeast"/>
        <w:ind w:firstLine="422" w:firstLineChars="150"/>
        <w:rPr>
          <w:rFonts w:asciiTheme="minorEastAsia" w:hAnsiTheme="minorEastAsia" w:cstheme="minorEastAsia"/>
          <w:sz w:val="28"/>
          <w:szCs w:val="28"/>
        </w:rPr>
      </w:pPr>
      <w:r>
        <w:rPr>
          <w:rFonts w:hint="eastAsia" w:asciiTheme="minorEastAsia" w:hAnsiTheme="minorEastAsia" w:cstheme="minorEastAsia"/>
          <w:b/>
          <w:color w:val="333333"/>
          <w:sz w:val="28"/>
          <w:szCs w:val="28"/>
        </w:rPr>
        <w:t>第三部分 名词解释</w:t>
      </w:r>
    </w:p>
    <w:p>
      <w:pPr>
        <w:pStyle w:val="2"/>
        <w:widowControl/>
        <w:spacing w:before="180" w:beforeAutospacing="0" w:after="360" w:afterAutospacing="0" w:line="450" w:lineRule="atLeast"/>
        <w:ind w:firstLine="422" w:firstLineChars="150"/>
        <w:rPr>
          <w:rFonts w:asciiTheme="minorEastAsia" w:hAnsiTheme="minorEastAsia" w:cstheme="minorEastAsia"/>
          <w:sz w:val="28"/>
          <w:szCs w:val="28"/>
        </w:rPr>
      </w:pPr>
      <w:r>
        <w:rPr>
          <w:rFonts w:hint="eastAsia" w:asciiTheme="minorEastAsia" w:hAnsiTheme="minorEastAsia" w:cstheme="minorEastAsia"/>
          <w:b/>
          <w:color w:val="333333"/>
          <w:sz w:val="28"/>
          <w:szCs w:val="28"/>
        </w:rPr>
        <w:t>一、财政拨款收入</w:t>
      </w:r>
      <w:r>
        <w:rPr>
          <w:rFonts w:hint="eastAsia" w:asciiTheme="minorEastAsia" w:hAnsiTheme="minorEastAsia" w:cstheme="minorEastAsia"/>
          <w:color w:val="333333"/>
          <w:sz w:val="28"/>
          <w:szCs w:val="28"/>
        </w:rPr>
        <w:t>：指县级财政当年拨付的资金。</w:t>
      </w:r>
    </w:p>
    <w:p>
      <w:pPr>
        <w:pStyle w:val="2"/>
        <w:widowControl/>
        <w:spacing w:before="180" w:beforeAutospacing="0" w:after="360" w:afterAutospacing="0" w:line="450" w:lineRule="atLeast"/>
        <w:ind w:firstLine="422" w:firstLineChars="150"/>
        <w:rPr>
          <w:rFonts w:asciiTheme="minorEastAsia" w:hAnsiTheme="minorEastAsia" w:cstheme="minorEastAsia"/>
          <w:sz w:val="28"/>
          <w:szCs w:val="28"/>
        </w:rPr>
      </w:pPr>
      <w:r>
        <w:rPr>
          <w:rFonts w:hint="eastAsia" w:asciiTheme="minorEastAsia" w:hAnsiTheme="minorEastAsia" w:cstheme="minorEastAsia"/>
          <w:b/>
          <w:color w:val="333333"/>
          <w:sz w:val="28"/>
          <w:szCs w:val="28"/>
        </w:rPr>
        <w:t>二、事业收入</w:t>
      </w:r>
      <w:r>
        <w:rPr>
          <w:rFonts w:hint="eastAsia" w:asciiTheme="minorEastAsia" w:hAnsiTheme="minorEastAsia" w:cstheme="minorEastAsia"/>
          <w:color w:val="333333"/>
          <w:sz w:val="28"/>
          <w:szCs w:val="28"/>
        </w:rPr>
        <w:t>：指事业单位开展专业业务活动及辅助活动所取得的收入。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三、经营收入</w:t>
      </w:r>
      <w:r>
        <w:rPr>
          <w:rFonts w:hint="eastAsia" w:asciiTheme="minorEastAsia" w:hAnsiTheme="minorEastAsia" w:cstheme="minorEastAsia"/>
          <w:color w:val="333333"/>
          <w:sz w:val="28"/>
          <w:szCs w:val="28"/>
        </w:rPr>
        <w:t>：指事业单位在专业业务活动及其辅助活动之外开展非独立核算经营活动取得的收入。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四、其他收入</w:t>
      </w:r>
      <w:r>
        <w:rPr>
          <w:rFonts w:hint="eastAsia" w:asciiTheme="minorEastAsia" w:hAnsiTheme="minorEastAsia" w:cstheme="minorEastAsia"/>
          <w:color w:val="333333"/>
          <w:sz w:val="28"/>
          <w:szCs w:val="28"/>
        </w:rPr>
        <w:t>：指除上述“财政拨款收入”、“事业收入”、“经营收入”等以外的收入。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五、用事业基金弥补收支差额</w:t>
      </w:r>
      <w:r>
        <w:rPr>
          <w:rFonts w:hint="eastAsia" w:asciiTheme="minorEastAsia" w:hAnsi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六、年初结转和结余</w:t>
      </w:r>
      <w:r>
        <w:rPr>
          <w:rFonts w:hint="eastAsia" w:asciiTheme="minorEastAsia" w:hAnsiTheme="minorEastAsia" w:cstheme="minorEastAsia"/>
          <w:color w:val="333333"/>
          <w:sz w:val="28"/>
          <w:szCs w:val="28"/>
        </w:rPr>
        <w:t>：指以前年度尚未完成、结转到本年按有关规定继续使用的资金。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七、结余分配</w:t>
      </w:r>
      <w:r>
        <w:rPr>
          <w:rFonts w:hint="eastAsia" w:asciiTheme="minorEastAsia" w:hAnsi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八、年末结转和结余</w:t>
      </w:r>
      <w:r>
        <w:rPr>
          <w:rFonts w:hint="eastAsia" w:asciiTheme="minorEastAsia" w:hAnsiTheme="minorEastAsia" w:cstheme="minorEastAsia"/>
          <w:color w:val="333333"/>
          <w:sz w:val="28"/>
          <w:szCs w:val="28"/>
        </w:rPr>
        <w:t>：指本年度或以前年度预算安排、因客观条件发生变化无法按原计划实施，需延迟到以后年度按有关规定继续使用的资金。</w:t>
      </w:r>
    </w:p>
    <w:p>
      <w:pPr>
        <w:pStyle w:val="2"/>
        <w:widowControl/>
        <w:spacing w:before="180" w:beforeAutospacing="0" w:after="360" w:afterAutospacing="0" w:line="450" w:lineRule="atLeast"/>
        <w:ind w:firstLine="899"/>
        <w:rPr>
          <w:rFonts w:asciiTheme="minorEastAsia" w:hAnsiTheme="minorEastAsia" w:cstheme="minorEastAsia"/>
          <w:sz w:val="28"/>
          <w:szCs w:val="28"/>
        </w:rPr>
      </w:pPr>
      <w:r>
        <w:rPr>
          <w:rFonts w:hint="eastAsia" w:asciiTheme="minorEastAsia" w:hAnsiTheme="minorEastAsia" w:cstheme="minorEastAsia"/>
          <w:b/>
          <w:color w:val="333333"/>
          <w:sz w:val="28"/>
          <w:szCs w:val="28"/>
        </w:rPr>
        <w:t>九、基本支出</w:t>
      </w:r>
      <w:r>
        <w:rPr>
          <w:rFonts w:hint="eastAsia" w:asciiTheme="minorEastAsia" w:hAnsiTheme="minorEastAsia" w:cstheme="minorEastAsia"/>
          <w:color w:val="333333"/>
          <w:sz w:val="28"/>
          <w:szCs w:val="28"/>
        </w:rPr>
        <w:t>：指为保障机构正常运转、完成日常工作任务而发生的人员支出和公用支出。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十、项目支出</w:t>
      </w:r>
      <w:r>
        <w:rPr>
          <w:rFonts w:hint="eastAsia" w:asciiTheme="minorEastAsia" w:hAnsiTheme="minorEastAsia" w:cstheme="minorEastAsia"/>
          <w:color w:val="333333"/>
          <w:sz w:val="28"/>
          <w:szCs w:val="28"/>
        </w:rPr>
        <w:t>：指在基本支出之外为完成特定行政任务和事业发展目标所发生的支出。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十一、经营支出</w:t>
      </w:r>
      <w:r>
        <w:rPr>
          <w:rFonts w:hint="eastAsia" w:asciiTheme="minorEastAsia" w:hAnsiTheme="minorEastAsia" w:cstheme="minorEastAsia"/>
          <w:color w:val="333333"/>
          <w:sz w:val="28"/>
          <w:szCs w:val="28"/>
        </w:rPr>
        <w:t>：指事业单位在专业业务活动及其辅助活动之外开展非独立核算经营活动发生的支出。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十二、“三公”经费</w:t>
      </w:r>
      <w:r>
        <w:rPr>
          <w:rFonts w:hint="eastAsia" w:asciiTheme="minorEastAsia" w:hAnsiTheme="minorEastAsia" w:cstheme="minor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widowControl/>
        <w:spacing w:before="180" w:beforeAutospacing="0" w:after="360" w:afterAutospacing="0" w:line="450" w:lineRule="atLeast"/>
        <w:ind w:firstLine="729"/>
        <w:rPr>
          <w:rFonts w:asciiTheme="minorEastAsia" w:hAnsiTheme="minorEastAsia" w:cstheme="minorEastAsia"/>
          <w:sz w:val="28"/>
          <w:szCs w:val="28"/>
        </w:rPr>
      </w:pPr>
      <w:r>
        <w:rPr>
          <w:rFonts w:hint="eastAsia" w:asciiTheme="minorEastAsia" w:hAnsiTheme="minorEastAsia" w:cstheme="minorEastAsia"/>
          <w:b/>
          <w:color w:val="333333"/>
          <w:sz w:val="28"/>
          <w:szCs w:val="28"/>
        </w:rPr>
        <w:t>十三、机关运行经费</w:t>
      </w:r>
      <w:r>
        <w:rPr>
          <w:rFonts w:hint="eastAsia" w:asciiTheme="minorEastAsia" w:hAnsi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DE7389C"/>
    <w:rsid w:val="000360AD"/>
    <w:rsid w:val="00071402"/>
    <w:rsid w:val="00093E24"/>
    <w:rsid w:val="001B4981"/>
    <w:rsid w:val="0022130B"/>
    <w:rsid w:val="002A332C"/>
    <w:rsid w:val="002D6E15"/>
    <w:rsid w:val="0033283F"/>
    <w:rsid w:val="00357026"/>
    <w:rsid w:val="003D227D"/>
    <w:rsid w:val="003E3E9A"/>
    <w:rsid w:val="0046077F"/>
    <w:rsid w:val="00600D70"/>
    <w:rsid w:val="006B06E1"/>
    <w:rsid w:val="006F29AF"/>
    <w:rsid w:val="00795D71"/>
    <w:rsid w:val="00823FEF"/>
    <w:rsid w:val="0086200A"/>
    <w:rsid w:val="008A6E3E"/>
    <w:rsid w:val="008D3AF5"/>
    <w:rsid w:val="00914775"/>
    <w:rsid w:val="009B6EE1"/>
    <w:rsid w:val="00A251C9"/>
    <w:rsid w:val="00AF71A0"/>
    <w:rsid w:val="00C869EC"/>
    <w:rsid w:val="00CA1D0B"/>
    <w:rsid w:val="00CA21A5"/>
    <w:rsid w:val="00D37D07"/>
    <w:rsid w:val="00D42C5B"/>
    <w:rsid w:val="00D6179D"/>
    <w:rsid w:val="00DC470F"/>
    <w:rsid w:val="00E473A3"/>
    <w:rsid w:val="00FC7659"/>
    <w:rsid w:val="01340F75"/>
    <w:rsid w:val="03FE7F0E"/>
    <w:rsid w:val="05FF0A8F"/>
    <w:rsid w:val="084904F8"/>
    <w:rsid w:val="098217C0"/>
    <w:rsid w:val="0E980DC7"/>
    <w:rsid w:val="179B676B"/>
    <w:rsid w:val="1CB12ADD"/>
    <w:rsid w:val="1CFB22BC"/>
    <w:rsid w:val="206944BE"/>
    <w:rsid w:val="26207D8E"/>
    <w:rsid w:val="2A054FEB"/>
    <w:rsid w:val="2DE7389C"/>
    <w:rsid w:val="310A3453"/>
    <w:rsid w:val="34C248BB"/>
    <w:rsid w:val="3DDC6AB6"/>
    <w:rsid w:val="419008B3"/>
    <w:rsid w:val="468C6F26"/>
    <w:rsid w:val="4EBA455D"/>
    <w:rsid w:val="4F503FEF"/>
    <w:rsid w:val="51E41737"/>
    <w:rsid w:val="5C2E59F9"/>
    <w:rsid w:val="62763A6A"/>
    <w:rsid w:val="6B6E45D7"/>
    <w:rsid w:val="6BC52739"/>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uiPriority w:val="0"/>
  </w:style>
  <w:style w:type="character" w:customStyle="1" w:styleId="15">
    <w:name w:val="td32"/>
    <w:basedOn w:val="4"/>
    <w:uiPriority w:val="0"/>
  </w:style>
  <w:style w:type="character" w:customStyle="1" w:styleId="16">
    <w:name w:val="home"/>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632</Words>
  <Characters>3603</Characters>
  <Lines>30</Lines>
  <Paragraphs>8</Paragraphs>
  <TotalTime>508</TotalTime>
  <ScaleCrop>false</ScaleCrop>
  <LinksUpToDate>false</LinksUpToDate>
  <CharactersWithSpaces>4227</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2019-09-19T08:40:00Z</dcterms:created>
  <dc:creator>tianlinyu</dc:creator>
  <cp:lastModifiedBy>jianhua</cp:lastModifiedBy>
  <cp:lastPrinted>2019-09-25T06:58:00Z</cp:lastPrinted>
  <dcterms:modified xsi:type="dcterms:W3CDTF">2019-09-26T02:00:32Z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