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r>
        <w:rPr>
          <w:rFonts w:hint="eastAsia" w:asciiTheme="minorEastAsia" w:hAnsiTheme="minorEastAsia" w:cstheme="minorEastAsia"/>
          <w:b/>
          <w:color w:val="333333"/>
          <w:sz w:val="28"/>
          <w:szCs w:val="28"/>
        </w:rPr>
        <w:t xml:space="preserve">        2018年度</w:t>
      </w:r>
      <w:r>
        <w:rPr>
          <w:rFonts w:hint="eastAsia" w:asciiTheme="minorEastAsia" w:hAnsiTheme="minorEastAsia" w:cstheme="minorEastAsia"/>
          <w:b/>
          <w:color w:val="333333"/>
          <w:sz w:val="28"/>
          <w:szCs w:val="28"/>
          <w:lang w:eastAsia="zh-CN"/>
        </w:rPr>
        <w:t>绥滨县幼儿教育中心</w:t>
      </w:r>
      <w:r>
        <w:rPr>
          <w:rFonts w:hint="eastAsia" w:asciiTheme="minorEastAsia" w:hAnsiTheme="minorEastAsia" w:cstheme="minorEastAsia"/>
          <w:b/>
          <w:color w:val="333333"/>
          <w:sz w:val="28"/>
          <w:szCs w:val="28"/>
        </w:rPr>
        <w:t>决算文字说明</w:t>
      </w:r>
    </w:p>
    <w:p>
      <w:pPr>
        <w:pStyle w:val="4"/>
        <w:widowControl/>
        <w:spacing w:before="180" w:beforeAutospacing="0" w:after="360" w:afterAutospacing="0" w:line="450" w:lineRule="atLeast"/>
        <w:ind w:left="260"/>
        <w:rPr>
          <w:rFonts w:asciiTheme="minorEastAsia" w:hAnsiTheme="minorEastAsia" w:cstheme="minorEastAsia"/>
          <w:b/>
          <w:color w:val="333333"/>
          <w:sz w:val="28"/>
          <w:szCs w:val="28"/>
        </w:rPr>
      </w:pP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b/>
          <w:color w:val="333333"/>
          <w:sz w:val="28"/>
          <w:szCs w:val="28"/>
        </w:rPr>
        <w:t>第一部分 部门概况</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numPr>
          <w:ilvl w:val="0"/>
          <w:numId w:val="1"/>
        </w:numPr>
        <w:spacing w:before="180" w:beforeAutospacing="0" w:after="360" w:afterAutospacing="0" w:line="450" w:lineRule="atLeast"/>
        <w:ind w:left="980" w:leftChars="0" w:firstLine="0" w:firstLineChars="0"/>
        <w:rPr>
          <w:rFonts w:hint="eastAsia" w:asciiTheme="minorEastAsia" w:hAnsiTheme="minorEastAsia" w:cstheme="minorEastAsia"/>
          <w:color w:val="333333"/>
          <w:sz w:val="28"/>
          <w:szCs w:val="28"/>
        </w:rPr>
      </w:pPr>
      <w:r>
        <w:rPr>
          <w:rFonts w:hint="eastAsia" w:asciiTheme="minorEastAsia" w:hAnsiTheme="minorEastAsia" w:cstheme="minorEastAsia"/>
          <w:color w:val="333333"/>
          <w:sz w:val="28"/>
          <w:szCs w:val="28"/>
        </w:rPr>
        <w:t>主要职能</w:t>
      </w:r>
    </w:p>
    <w:p>
      <w:pPr>
        <w:shd w:val="clear" w:color="auto" w:fill="FFFFFF"/>
        <w:kinsoku w:val="0"/>
        <w:overflowPunct w:val="0"/>
        <w:autoSpaceDE w:val="0"/>
        <w:autoSpaceDN w:val="0"/>
        <w:adjustRightInd w:val="0"/>
        <w:snapToGrid w:val="0"/>
        <w:spacing w:line="600" w:lineRule="exact"/>
        <w:ind w:firstLine="560" w:firstLineChars="200"/>
        <w:rPr>
          <w:rFonts w:ascii="仿宋_GB2312" w:cs="仿宋_GB2312"/>
          <w:sz w:val="24"/>
          <w:szCs w:val="24"/>
        </w:rPr>
      </w:pPr>
      <w:r>
        <w:rPr>
          <w:rFonts w:hint="eastAsia" w:asciiTheme="minorEastAsia" w:hAnsiTheme="minorEastAsia" w:eastAsiaTheme="minorEastAsia" w:cstheme="minorEastAsia"/>
          <w:color w:val="333333"/>
          <w:sz w:val="28"/>
          <w:szCs w:val="28"/>
          <w:shd w:val="clear" w:fill="FFFFFF"/>
        </w:rPr>
        <w:t>（</w:t>
      </w:r>
      <w:r>
        <w:rPr>
          <w:rFonts w:hint="eastAsia" w:asciiTheme="minorEastAsia" w:hAnsiTheme="minorEastAsia" w:eastAsiaTheme="minorEastAsia" w:cstheme="minorEastAsia"/>
          <w:color w:val="333333"/>
          <w:sz w:val="24"/>
          <w:szCs w:val="24"/>
          <w:shd w:val="clear" w:fill="FFFFFF"/>
        </w:rPr>
        <w:t>一）</w:t>
      </w:r>
      <w:r>
        <w:rPr>
          <w:rFonts w:hint="eastAsia" w:ascii="仿宋_GB2312" w:hAnsi="仿宋_GB2312" w:cs="仿宋_GB2312"/>
          <w:kern w:val="0"/>
          <w:sz w:val="24"/>
          <w:szCs w:val="24"/>
          <w:shd w:val="clear" w:color="auto" w:fill="FFFFFF"/>
        </w:rPr>
        <w:t>认真贯彻执行党和国家的有关法律法规、方针、政策，</w:t>
      </w:r>
      <w:r>
        <w:rPr>
          <w:rFonts w:hint="eastAsia" w:ascii="仿宋_GB2312" w:hAnsi="仿宋_GB2312" w:cs="仿宋_GB2312"/>
          <w:spacing w:val="15"/>
          <w:kern w:val="0"/>
          <w:sz w:val="24"/>
          <w:szCs w:val="24"/>
          <w:shd w:val="clear" w:color="auto" w:fill="FFFFFF"/>
        </w:rPr>
        <w:t>坚持民主管理，依法办园，</w:t>
      </w:r>
      <w:r>
        <w:rPr>
          <w:rFonts w:hint="eastAsia" w:ascii="仿宋_GB2312" w:hAnsi="仿宋_GB2312" w:cs="仿宋_GB2312"/>
          <w:kern w:val="0"/>
          <w:sz w:val="24"/>
          <w:szCs w:val="24"/>
          <w:shd w:val="clear" w:color="auto" w:fill="FFFFFF"/>
        </w:rPr>
        <w:t>执行上级主管部门的指示和决定</w:t>
      </w:r>
      <w:r>
        <w:rPr>
          <w:rFonts w:hint="eastAsia" w:asciiTheme="minorEastAsia" w:hAnsiTheme="minorEastAsia" w:eastAsiaTheme="minorEastAsia" w:cstheme="minorEastAsia"/>
          <w:color w:val="333333"/>
          <w:sz w:val="24"/>
          <w:szCs w:val="24"/>
          <w:shd w:val="clear" w:fill="FFFFFF"/>
          <w:lang w:val="en-US" w:eastAsia="zh-CN"/>
        </w:rPr>
        <w:t xml:space="preserve"> </w:t>
      </w:r>
      <w:r>
        <w:rPr>
          <w:rFonts w:hint="eastAsia" w:asciiTheme="minorEastAsia" w:hAnsiTheme="minorEastAsia" w:eastAsiaTheme="minorEastAsia" w:cstheme="minorEastAsia"/>
          <w:color w:val="333333"/>
          <w:sz w:val="24"/>
          <w:szCs w:val="24"/>
          <w:shd w:val="clear" w:fill="FFFFFF"/>
        </w:rPr>
        <w:t>；</w:t>
      </w:r>
    </w:p>
    <w:p>
      <w:pPr>
        <w:shd w:val="clear" w:color="auto" w:fill="FFFFFF"/>
        <w:kinsoku w:val="0"/>
        <w:overflowPunct w:val="0"/>
        <w:autoSpaceDE w:val="0"/>
        <w:autoSpaceDN w:val="0"/>
        <w:adjustRightInd w:val="0"/>
        <w:snapToGrid w:val="0"/>
        <w:spacing w:line="6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shd w:val="clear" w:fill="FFFFFF"/>
        </w:rPr>
        <w:t>（二）</w:t>
      </w:r>
      <w:r>
        <w:rPr>
          <w:rFonts w:hint="eastAsia" w:ascii="仿宋_GB2312" w:hAnsi="仿宋_GB2312" w:cs="仿宋_GB2312"/>
          <w:kern w:val="0"/>
          <w:sz w:val="24"/>
          <w:szCs w:val="24"/>
          <w:shd w:val="clear" w:color="auto" w:fill="FFFFFF"/>
        </w:rPr>
        <w:t>实行保育和教育相结合的原则，</w:t>
      </w:r>
      <w:r>
        <w:rPr>
          <w:rFonts w:hint="eastAsia" w:ascii="仿宋_GB2312" w:hAnsi="仿宋_GB2312" w:cs="仿宋_GB2312"/>
          <w:spacing w:val="15"/>
          <w:kern w:val="0"/>
          <w:sz w:val="24"/>
          <w:szCs w:val="24"/>
          <w:shd w:val="clear" w:color="auto" w:fill="FFFFFF"/>
        </w:rPr>
        <w:t>对幼儿实施体、智、德、美诸方面全面发展的教育，促进其身心和谐发展。</w:t>
      </w:r>
      <w:r>
        <w:rPr>
          <w:rFonts w:hint="eastAsia" w:ascii="仿宋_GB2312" w:hAnsi="仿宋_GB2312" w:cs="仿宋_GB2312"/>
          <w:kern w:val="0"/>
          <w:sz w:val="24"/>
          <w:szCs w:val="24"/>
          <w:shd w:val="clear" w:color="auto" w:fill="FFFFFF"/>
        </w:rPr>
        <w:t>为家长解除后顾之忧，热忱为家长服务</w:t>
      </w:r>
      <w:r>
        <w:rPr>
          <w:rFonts w:hint="eastAsia" w:asciiTheme="minorEastAsia" w:hAnsiTheme="minorEastAsia" w:eastAsiaTheme="minorEastAsia" w:cstheme="minorEastAsia"/>
          <w:color w:val="333333"/>
          <w:sz w:val="24"/>
          <w:szCs w:val="24"/>
          <w:shd w:val="clear" w:fill="FFFFFF"/>
          <w:lang w:val="en-US" w:eastAsia="zh-CN"/>
        </w:rPr>
        <w:t xml:space="preserve"> </w:t>
      </w:r>
      <w:r>
        <w:rPr>
          <w:rFonts w:hint="eastAsia" w:asciiTheme="minorEastAsia" w:hAnsiTheme="minorEastAsia" w:eastAsiaTheme="minorEastAsia" w:cstheme="minorEastAsia"/>
          <w:color w:val="333333"/>
          <w:sz w:val="24"/>
          <w:szCs w:val="24"/>
          <w:shd w:val="clear" w:fill="FFFFFF"/>
        </w:rPr>
        <w:t>；</w:t>
      </w:r>
      <w:r>
        <w:rPr>
          <w:rFonts w:hint="eastAsia" w:asciiTheme="minorEastAsia" w:hAnsiTheme="minorEastAsia" w:eastAsiaTheme="minorEastAsia" w:cstheme="minorEastAsia"/>
          <w:color w:val="333333"/>
          <w:sz w:val="24"/>
          <w:szCs w:val="24"/>
          <w:shd w:val="clear" w:fill="FFFFFF"/>
        </w:rPr>
        <w:br w:type="textWrapping"/>
      </w:r>
      <w:r>
        <w:rPr>
          <w:rFonts w:hint="eastAsia" w:asciiTheme="minorEastAsia" w:hAnsiTheme="minorEastAsia" w:eastAsiaTheme="minorEastAsia" w:cstheme="minorEastAsia"/>
          <w:color w:val="333333"/>
          <w:sz w:val="24"/>
          <w:szCs w:val="24"/>
          <w:shd w:val="clear" w:fill="FFFFFF"/>
        </w:rPr>
        <w:t>  （三）</w:t>
      </w:r>
      <w:r>
        <w:rPr>
          <w:rFonts w:hint="eastAsia" w:ascii="仿宋_GB2312" w:hAnsi="仿宋_GB2312" w:cs="仿宋_GB2312"/>
          <w:kern w:val="0"/>
          <w:sz w:val="24"/>
          <w:szCs w:val="24"/>
          <w:shd w:val="clear" w:color="auto" w:fill="FFFFFF"/>
        </w:rPr>
        <w:t>尊重儿童的人格尊严和基本权利，尊重儿童身心发展的特点和规律，为儿童提供健康、丰富的生活和活动环境。合理组织幼儿一日生活活动和其它活动，促进幼儿体智德美等和谐发展，全面实施素质教育</w:t>
      </w:r>
      <w:r>
        <w:rPr>
          <w:rFonts w:hint="eastAsia" w:asciiTheme="minorEastAsia" w:hAnsiTheme="minorEastAsia" w:eastAsiaTheme="minorEastAsia" w:cstheme="minorEastAsia"/>
          <w:color w:val="333333"/>
          <w:sz w:val="24"/>
          <w:szCs w:val="24"/>
          <w:shd w:val="clear" w:fill="FFFFFF"/>
          <w:lang w:val="en-US" w:eastAsia="zh-CN"/>
        </w:rPr>
        <w:t xml:space="preserve"> </w:t>
      </w:r>
      <w:r>
        <w:rPr>
          <w:rFonts w:hint="eastAsia" w:asciiTheme="minorEastAsia" w:hAnsiTheme="minorEastAsia" w:eastAsiaTheme="minorEastAsia" w:cstheme="minorEastAsia"/>
          <w:color w:val="333333"/>
          <w:sz w:val="24"/>
          <w:szCs w:val="24"/>
          <w:shd w:val="clear" w:fill="FFFFFF"/>
        </w:rPr>
        <w:t>；</w:t>
      </w:r>
    </w:p>
    <w:p>
      <w:pPr>
        <w:shd w:val="clear" w:color="auto" w:fill="FFFFFF"/>
        <w:kinsoku w:val="0"/>
        <w:overflowPunct w:val="0"/>
        <w:autoSpaceDE w:val="0"/>
        <w:autoSpaceDN w:val="0"/>
        <w:adjustRightInd w:val="0"/>
        <w:snapToGrid w:val="0"/>
        <w:spacing w:line="600" w:lineRule="exact"/>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333333"/>
          <w:sz w:val="24"/>
          <w:szCs w:val="24"/>
          <w:shd w:val="clear" w:fill="FFFFFF"/>
        </w:rPr>
        <w:t>（四）</w:t>
      </w:r>
      <w:r>
        <w:rPr>
          <w:rFonts w:hint="eastAsia" w:ascii="仿宋_GB2312" w:hAnsi="仿宋_GB2312" w:cs="仿宋_GB2312"/>
          <w:kern w:val="0"/>
          <w:sz w:val="24"/>
          <w:szCs w:val="24"/>
          <w:shd w:val="clear" w:color="auto" w:fill="FFFFFF"/>
        </w:rPr>
        <w:t>充分利用幼儿和社区的资源优势，面向家长开展多种形式的早期教育宣传、指导等服务，促进家庭教育质量的不断提高。贯彻幼儿教育法规、传播科学教育理念、开展教育科学研究、培训师资，发挥市示范性幼儿园的示范、辐射作用。</w:t>
      </w:r>
      <w:r>
        <w:rPr>
          <w:rFonts w:hint="eastAsia" w:asciiTheme="minorEastAsia" w:hAnsiTheme="minorEastAsia" w:eastAsiaTheme="minorEastAsia" w:cstheme="minorEastAsia"/>
          <w:color w:val="333333"/>
          <w:sz w:val="24"/>
          <w:szCs w:val="24"/>
          <w:shd w:val="clear" w:fill="FFFFFF"/>
        </w:rPr>
        <w:t> </w:t>
      </w:r>
    </w:p>
    <w:p>
      <w:pPr>
        <w:pStyle w:val="4"/>
        <w:widowControl/>
        <w:numPr>
          <w:ilvl w:val="0"/>
          <w:numId w:val="0"/>
        </w:numPr>
        <w:spacing w:before="180" w:beforeAutospacing="0" w:after="360" w:afterAutospacing="0" w:line="450" w:lineRule="atLeast"/>
        <w:ind w:left="980" w:leftChars="0"/>
        <w:rPr>
          <w:rFonts w:hint="eastAsia" w:asciiTheme="minorEastAsia" w:hAnsiTheme="minorEastAsia" w:cstheme="minorEastAsia"/>
          <w:color w:val="333333"/>
          <w:sz w:val="28"/>
          <w:szCs w:val="28"/>
        </w:rPr>
      </w:pPr>
    </w:p>
    <w:p>
      <w:pPr>
        <w:pStyle w:val="4"/>
        <w:widowControl/>
        <w:shd w:val="clear" w:color="auto" w:fill="FFFFFF"/>
        <w:spacing w:before="180" w:beforeAutospacing="0" w:after="360" w:afterAutospacing="0" w:line="360" w:lineRule="atLeast"/>
        <w:ind w:firstLine="640"/>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  </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二、机构设置及部门决算单位构成</w:t>
      </w:r>
    </w:p>
    <w:p>
      <w:pPr>
        <w:kinsoku w:val="0"/>
        <w:overflowPunct w:val="0"/>
        <w:autoSpaceDE w:val="0"/>
        <w:autoSpaceDN w:val="0"/>
        <w:adjustRightInd w:val="0"/>
        <w:snapToGrid w:val="0"/>
        <w:spacing w:line="600"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w:t>
      </w:r>
      <w:r>
        <w:rPr>
          <w:rFonts w:hint="eastAsia" w:asciiTheme="minorEastAsia" w:hAnsiTheme="minorEastAsia" w:cstheme="minorEastAsia"/>
          <w:color w:val="333333"/>
          <w:sz w:val="28"/>
          <w:szCs w:val="28"/>
          <w:lang w:eastAsia="zh-CN"/>
        </w:rPr>
        <w:t>财政补助事业</w:t>
      </w:r>
      <w:r>
        <w:rPr>
          <w:rFonts w:hint="eastAsia" w:asciiTheme="minorEastAsia" w:hAnsiTheme="minorEastAsia" w:eastAsiaTheme="minorEastAsia" w:cstheme="minorEastAsia"/>
          <w:color w:val="333333"/>
          <w:sz w:val="28"/>
          <w:szCs w:val="28"/>
        </w:rPr>
        <w:t>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3</w:t>
      </w:r>
      <w:r>
        <w:rPr>
          <w:rFonts w:hint="eastAsia" w:asciiTheme="minorEastAsia" w:hAnsiTheme="minorEastAsia" w:eastAsiaTheme="minorEastAsia" w:cstheme="minorEastAsia"/>
          <w:color w:val="333333"/>
          <w:sz w:val="28"/>
          <w:szCs w:val="28"/>
        </w:rPr>
        <w:t>个内设机构，</w:t>
      </w:r>
      <w:r>
        <w:rPr>
          <w:rFonts w:hint="eastAsia" w:ascii="仿宋_GB2312" w:hAnsi="仿宋_GB2312" w:cs="仿宋_GB2312"/>
          <w:sz w:val="28"/>
          <w:szCs w:val="28"/>
        </w:rPr>
        <w:t>园长室一个，副园长室两个。财政供养人员</w:t>
      </w:r>
      <w:r>
        <w:rPr>
          <w:rFonts w:hint="eastAsia" w:ascii="仿宋_GB2312" w:hAnsi="仿宋_GB2312" w:cs="仿宋_GB2312"/>
          <w:sz w:val="28"/>
          <w:szCs w:val="28"/>
          <w:lang w:val="en-US" w:eastAsia="zh-CN"/>
        </w:rPr>
        <w:t>30</w:t>
      </w:r>
      <w:r>
        <w:rPr>
          <w:rFonts w:hint="eastAsia" w:ascii="仿宋_GB2312" w:hAnsi="仿宋_GB2312" w:cs="仿宋_GB2312"/>
          <w:sz w:val="28"/>
          <w:szCs w:val="28"/>
        </w:rPr>
        <w:t>人，在职</w:t>
      </w:r>
      <w:r>
        <w:rPr>
          <w:rFonts w:hint="eastAsia" w:ascii="仿宋_GB2312" w:hAnsi="仿宋_GB2312" w:cs="仿宋_GB2312"/>
          <w:sz w:val="28"/>
          <w:szCs w:val="28"/>
          <w:lang w:val="en-US" w:eastAsia="zh-CN"/>
        </w:rPr>
        <w:t>25</w:t>
      </w:r>
      <w:r>
        <w:rPr>
          <w:rFonts w:hint="eastAsia" w:ascii="仿宋_GB2312" w:hAnsi="仿宋_GB2312" w:cs="仿宋_GB2312"/>
          <w:sz w:val="28"/>
          <w:szCs w:val="28"/>
        </w:rPr>
        <w:t>人，退休</w:t>
      </w:r>
      <w:r>
        <w:rPr>
          <w:rFonts w:hint="eastAsia" w:ascii="仿宋_GB2312" w:hAnsi="仿宋_GB2312" w:cs="仿宋_GB2312"/>
          <w:sz w:val="28"/>
          <w:szCs w:val="28"/>
          <w:lang w:val="en-US" w:eastAsia="zh-CN"/>
        </w:rPr>
        <w:t>5</w:t>
      </w:r>
      <w:r>
        <w:rPr>
          <w:rFonts w:hint="eastAsia" w:ascii="仿宋_GB2312" w:hAnsi="仿宋_GB2312" w:cs="仿宋_GB2312"/>
          <w:sz w:val="28"/>
          <w:szCs w:val="28"/>
        </w:rPr>
        <w:t>人。</w:t>
      </w:r>
      <w:r>
        <w:rPr>
          <w:rFonts w:hint="eastAsia" w:asciiTheme="minorEastAsia" w:hAnsiTheme="minorEastAsia" w:eastAsiaTheme="minorEastAsia" w:cstheme="minorEastAsia"/>
          <w:color w:val="333333"/>
          <w:sz w:val="28"/>
          <w:szCs w:val="28"/>
        </w:rPr>
        <w:t>为一级预算单位。</w:t>
      </w:r>
    </w:p>
    <w:p>
      <w:pPr>
        <w:pStyle w:val="4"/>
        <w:widowControl/>
        <w:spacing w:before="180" w:beforeAutospacing="0" w:after="360" w:afterAutospacing="0" w:line="450" w:lineRule="atLeast"/>
        <w:ind w:left="260" w:firstLine="733"/>
        <w:rPr>
          <w:rFonts w:asciiTheme="minorEastAsia" w:hAnsiTheme="minorEastAsia" w:cstheme="minorEastAsia"/>
          <w:sz w:val="28"/>
          <w:szCs w:val="28"/>
        </w:rPr>
      </w:pPr>
      <w:r>
        <w:rPr>
          <w:rFonts w:hint="eastAsia" w:asciiTheme="minorEastAsia" w:hAnsiTheme="minorEastAsia" w:cstheme="minorEastAsia"/>
          <w:color w:val="333333"/>
          <w:sz w:val="28"/>
          <w:szCs w:val="28"/>
        </w:rPr>
        <w:t>三、人员构成</w:t>
      </w:r>
    </w:p>
    <w:p>
      <w:pPr>
        <w:pStyle w:val="4"/>
        <w:widowControl/>
        <w:spacing w:before="180" w:beforeAutospacing="0" w:after="360" w:afterAutospacing="0" w:line="450" w:lineRule="atLeast"/>
        <w:ind w:left="458"/>
        <w:rPr>
          <w:rFonts w:asciiTheme="minorEastAsia" w:hAnsiTheme="minorEastAsia" w:cstheme="minorEastAsia"/>
          <w:sz w:val="28"/>
          <w:szCs w:val="28"/>
        </w:rPr>
      </w:pPr>
      <w:r>
        <w:rPr>
          <w:rFonts w:hint="eastAsia" w:asciiTheme="minorEastAsia" w:hAnsiTheme="minorEastAsia" w:cstheme="minorEastAsia"/>
          <w:color w:val="333333"/>
          <w:sz w:val="28"/>
          <w:szCs w:val="28"/>
        </w:rPr>
        <w:t>    行政单位编制数个，其中行政编制，在职人，退休人，离休人；事业编制</w:t>
      </w:r>
      <w:r>
        <w:rPr>
          <w:rFonts w:hint="eastAsia" w:asciiTheme="minorEastAsia" w:hAnsiTheme="minorEastAsia" w:cstheme="minorEastAsia"/>
          <w:color w:val="333333"/>
          <w:sz w:val="28"/>
          <w:szCs w:val="28"/>
          <w:lang w:val="en-US" w:eastAsia="zh-CN"/>
        </w:rPr>
        <w:t>30</w:t>
      </w:r>
      <w:r>
        <w:rPr>
          <w:rFonts w:hint="eastAsia" w:asciiTheme="minorEastAsia" w:hAnsiTheme="minorEastAsia" w:cstheme="minorEastAsia"/>
          <w:color w:val="333333"/>
          <w:sz w:val="28"/>
          <w:szCs w:val="28"/>
        </w:rPr>
        <w:t>个，在职</w:t>
      </w:r>
      <w:r>
        <w:rPr>
          <w:rFonts w:hint="eastAsia" w:asciiTheme="minorEastAsia" w:hAnsiTheme="minorEastAsia" w:cstheme="minorEastAsia"/>
          <w:color w:val="333333"/>
          <w:sz w:val="28"/>
          <w:szCs w:val="28"/>
          <w:lang w:val="en-US" w:eastAsia="zh-CN"/>
        </w:rPr>
        <w:t>25</w:t>
      </w:r>
      <w:r>
        <w:rPr>
          <w:rFonts w:hint="eastAsia" w:asciiTheme="minorEastAsia" w:hAnsiTheme="minorEastAsia" w:cstheme="minorEastAsia"/>
          <w:color w:val="333333"/>
          <w:sz w:val="28"/>
          <w:szCs w:val="28"/>
        </w:rPr>
        <w:t>人，退休</w:t>
      </w:r>
      <w:r>
        <w:rPr>
          <w:rFonts w:hint="eastAsia" w:asciiTheme="minorEastAsia" w:hAnsiTheme="minorEastAsia" w:cstheme="minorEastAsia"/>
          <w:color w:val="333333"/>
          <w:sz w:val="28"/>
          <w:szCs w:val="28"/>
          <w:lang w:val="en-US" w:eastAsia="zh-CN"/>
        </w:rPr>
        <w:t>5</w:t>
      </w:r>
      <w:r>
        <w:rPr>
          <w:rFonts w:hint="eastAsia" w:asciiTheme="minorEastAsia" w:hAnsiTheme="minorEastAsia" w:cstheme="minorEastAsia"/>
          <w:color w:val="333333"/>
          <w:sz w:val="28"/>
          <w:szCs w:val="28"/>
        </w:rPr>
        <w:t>人。</w:t>
      </w:r>
    </w:p>
    <w:p>
      <w:pPr>
        <w:pStyle w:val="4"/>
        <w:widowControl/>
        <w:spacing w:before="180" w:beforeAutospacing="0" w:after="360" w:afterAutospacing="0" w:line="450" w:lineRule="atLeast"/>
        <w:ind w:left="260"/>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492" w:beforeAutospacing="0" w:after="672" w:afterAutospacing="0" w:line="450" w:lineRule="atLeast"/>
        <w:ind w:left="262"/>
        <w:rPr>
          <w:rFonts w:asciiTheme="minorEastAsia" w:hAnsiTheme="minorEastAsia" w:cstheme="minorEastAsia"/>
          <w:sz w:val="28"/>
          <w:szCs w:val="28"/>
        </w:rPr>
      </w:pPr>
      <w:r>
        <w:rPr>
          <w:rFonts w:hint="eastAsia" w:asciiTheme="minorEastAsia" w:hAnsiTheme="minorEastAsia" w:cstheme="minorEastAsia"/>
          <w:b/>
          <w:color w:val="333333"/>
          <w:sz w:val="28"/>
          <w:szCs w:val="28"/>
        </w:rPr>
        <w:t>第二部分2018年度部门决算情况说明</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一、2018年度收入支出决算总体情况说明</w:t>
      </w:r>
    </w:p>
    <w:p>
      <w:pPr>
        <w:pStyle w:val="4"/>
        <w:widowControl/>
        <w:shd w:val="clear" w:color="auto" w:fill="FFFFFF"/>
        <w:spacing w:beforeAutospacing="0" w:after="225" w:afterAutospacing="0"/>
        <w:ind w:firstLine="79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2018年度收入总计</w:t>
      </w:r>
      <w:r>
        <w:rPr>
          <w:rFonts w:hint="eastAsia" w:asciiTheme="minorEastAsia" w:hAnsiTheme="minorEastAsia" w:cstheme="minorEastAsia"/>
          <w:color w:val="373737"/>
          <w:sz w:val="28"/>
          <w:szCs w:val="28"/>
          <w:shd w:val="clear" w:color="auto" w:fill="FFFFFF"/>
          <w:lang w:val="en-US" w:eastAsia="zh-CN"/>
        </w:rPr>
        <w:t>343.19</w:t>
      </w:r>
      <w:r>
        <w:rPr>
          <w:rFonts w:hint="eastAsia" w:asciiTheme="minorEastAsia" w:hAnsiTheme="minorEastAsia" w:cstheme="minorEastAsia"/>
          <w:color w:val="373737"/>
          <w:sz w:val="28"/>
          <w:szCs w:val="28"/>
          <w:shd w:val="clear" w:color="auto" w:fill="FFFFFF"/>
        </w:rPr>
        <w:t>万元，支出总计</w:t>
      </w:r>
      <w:r>
        <w:rPr>
          <w:rFonts w:hint="eastAsia" w:asciiTheme="minorEastAsia" w:hAnsiTheme="minorEastAsia" w:cstheme="minorEastAsia"/>
          <w:color w:val="373737"/>
          <w:sz w:val="28"/>
          <w:szCs w:val="28"/>
          <w:shd w:val="clear" w:color="auto" w:fill="FFFFFF"/>
          <w:lang w:val="en-US" w:eastAsia="zh-CN"/>
        </w:rPr>
        <w:t>340.83</w:t>
      </w:r>
      <w:r>
        <w:rPr>
          <w:rFonts w:hint="eastAsia" w:asciiTheme="minorEastAsia" w:hAnsiTheme="minorEastAsia" w:cstheme="minorEastAsia"/>
          <w:color w:val="373737"/>
          <w:sz w:val="28"/>
          <w:szCs w:val="28"/>
          <w:shd w:val="clear" w:color="auto" w:fill="FFFFFF"/>
        </w:rPr>
        <w:t>万元，与上年相比，收入总计增加</w:t>
      </w:r>
      <w:r>
        <w:rPr>
          <w:rFonts w:hint="eastAsia" w:asciiTheme="minorEastAsia" w:hAnsiTheme="minorEastAsia" w:cstheme="minorEastAsia"/>
          <w:color w:val="373737"/>
          <w:sz w:val="28"/>
          <w:szCs w:val="28"/>
          <w:shd w:val="clear" w:color="auto" w:fill="FFFFFF"/>
          <w:lang w:val="en-US" w:eastAsia="zh-CN"/>
        </w:rPr>
        <w:t>27.46</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0.09</w:t>
      </w:r>
      <w:r>
        <w:rPr>
          <w:rFonts w:hint="eastAsia" w:asciiTheme="minorEastAsia" w:hAnsiTheme="minorEastAsia" w:cstheme="minorEastAsia"/>
          <w:color w:val="373737"/>
          <w:sz w:val="28"/>
          <w:szCs w:val="28"/>
          <w:shd w:val="clear" w:color="auto" w:fill="FFFFFF"/>
        </w:rPr>
        <w:t>%；支出总计增加万元，增长</w:t>
      </w:r>
      <w:r>
        <w:rPr>
          <w:rFonts w:hint="eastAsia" w:asciiTheme="minorEastAsia" w:hAnsiTheme="minorEastAsia" w:cstheme="minorEastAsia"/>
          <w:color w:val="373737"/>
          <w:sz w:val="28"/>
          <w:szCs w:val="28"/>
          <w:shd w:val="clear" w:color="auto" w:fill="FFFFFF"/>
          <w:lang w:val="en-US" w:eastAsia="zh-CN"/>
        </w:rPr>
        <w:t>0.09</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二、 2018年度收入决算情况说明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本年收入合计</w:t>
      </w:r>
      <w:r>
        <w:rPr>
          <w:rFonts w:hint="eastAsia" w:asciiTheme="minorEastAsia" w:hAnsiTheme="minorEastAsia" w:cstheme="minorEastAsia"/>
          <w:color w:val="373737"/>
          <w:sz w:val="28"/>
          <w:szCs w:val="28"/>
          <w:shd w:val="clear" w:color="auto" w:fill="FFFFFF"/>
          <w:lang w:val="en-US" w:eastAsia="zh-CN"/>
        </w:rPr>
        <w:t>343.19</w:t>
      </w:r>
      <w:r>
        <w:rPr>
          <w:rFonts w:hint="eastAsia" w:asciiTheme="minorEastAsia" w:hAnsiTheme="minorEastAsia" w:cstheme="minorEastAsia"/>
          <w:color w:val="373737"/>
          <w:sz w:val="28"/>
          <w:szCs w:val="28"/>
          <w:shd w:val="clear" w:color="auto" w:fill="FFFFFF"/>
        </w:rPr>
        <w:t>万元，其中：财政拨款收入</w:t>
      </w:r>
      <w:bookmarkStart w:id="0" w:name="_GoBack"/>
      <w:r>
        <w:rPr>
          <w:rFonts w:hint="eastAsia" w:asciiTheme="minorEastAsia" w:hAnsiTheme="minorEastAsia" w:cstheme="minorEastAsia"/>
          <w:color w:val="373737"/>
          <w:sz w:val="28"/>
          <w:szCs w:val="28"/>
          <w:shd w:val="clear" w:color="auto" w:fill="FFFFFF"/>
          <w:lang w:val="en-US" w:eastAsia="zh-CN"/>
        </w:rPr>
        <w:t>234.56</w:t>
      </w:r>
      <w:bookmarkEnd w:id="0"/>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68</w:t>
      </w:r>
      <w:r>
        <w:rPr>
          <w:rFonts w:hint="eastAsia" w:asciiTheme="minorEastAsia" w:hAnsiTheme="minorEastAsia" w:cstheme="minorEastAsia"/>
          <w:color w:val="373737"/>
          <w:sz w:val="28"/>
          <w:szCs w:val="28"/>
          <w:shd w:val="clear" w:color="auto" w:fill="FFFFFF"/>
        </w:rPr>
        <w:t>%；其他收入</w:t>
      </w:r>
      <w:r>
        <w:rPr>
          <w:rFonts w:hint="eastAsia" w:asciiTheme="minorEastAsia" w:hAnsiTheme="minorEastAsia" w:cstheme="minorEastAsia"/>
          <w:color w:val="373737"/>
          <w:sz w:val="28"/>
          <w:szCs w:val="28"/>
          <w:shd w:val="clear" w:color="auto" w:fill="FFFFFF"/>
          <w:lang w:val="en-US" w:eastAsia="zh-CN"/>
        </w:rPr>
        <w:t>109.63</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32</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三、2018年度支出决算情况说明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本年支出合计</w:t>
      </w:r>
      <w:r>
        <w:rPr>
          <w:rFonts w:hint="eastAsia" w:asciiTheme="minorEastAsia" w:hAnsiTheme="minorEastAsia" w:cstheme="minorEastAsia"/>
          <w:color w:val="373737"/>
          <w:sz w:val="28"/>
          <w:szCs w:val="28"/>
          <w:shd w:val="clear" w:color="auto" w:fill="FFFFFF"/>
          <w:lang w:val="en-US" w:eastAsia="zh-CN"/>
        </w:rPr>
        <w:t>340.83</w:t>
      </w:r>
      <w:r>
        <w:rPr>
          <w:rFonts w:hint="eastAsia" w:asciiTheme="minorEastAsia" w:hAnsiTheme="minorEastAsia" w:cstheme="minorEastAsia"/>
          <w:color w:val="373737"/>
          <w:sz w:val="28"/>
          <w:szCs w:val="28"/>
          <w:shd w:val="clear" w:color="auto" w:fill="FFFFFF"/>
        </w:rPr>
        <w:t>万元，其中：基本支出</w:t>
      </w:r>
      <w:r>
        <w:rPr>
          <w:rFonts w:hint="eastAsia" w:asciiTheme="minorEastAsia" w:hAnsiTheme="minorEastAsia" w:cstheme="minorEastAsia"/>
          <w:color w:val="373737"/>
          <w:sz w:val="28"/>
          <w:szCs w:val="28"/>
          <w:shd w:val="clear" w:color="auto" w:fill="FFFFFF"/>
          <w:lang w:val="en-US" w:eastAsia="zh-CN"/>
        </w:rPr>
        <w:t>339.16</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99.5</w:t>
      </w:r>
      <w:r>
        <w:rPr>
          <w:rFonts w:hint="eastAsia" w:asciiTheme="minorEastAsia" w:hAnsiTheme="minorEastAsia" w:cstheme="minorEastAsia"/>
          <w:color w:val="373737"/>
          <w:sz w:val="28"/>
          <w:szCs w:val="28"/>
          <w:shd w:val="clear" w:color="auto" w:fill="FFFFFF"/>
        </w:rPr>
        <w:t>%；项目支出</w:t>
      </w:r>
      <w:r>
        <w:rPr>
          <w:rFonts w:hint="eastAsia" w:asciiTheme="minorEastAsia" w:hAnsiTheme="minorEastAsia" w:cstheme="minorEastAsia"/>
          <w:color w:val="373737"/>
          <w:sz w:val="28"/>
          <w:szCs w:val="28"/>
          <w:shd w:val="clear" w:color="auto" w:fill="FFFFFF"/>
          <w:lang w:val="en-US" w:eastAsia="zh-CN"/>
        </w:rPr>
        <w:t>1.67</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0.5</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四、2018年度财政拨款收入支出决算总体情况说明</w:t>
      </w:r>
    </w:p>
    <w:p>
      <w:pPr>
        <w:pStyle w:val="4"/>
        <w:widowControl/>
        <w:shd w:val="clear" w:color="auto" w:fill="FFFFFF"/>
        <w:spacing w:beforeAutospacing="0" w:afterAutospacing="0"/>
        <w:ind w:left="135" w:right="270" w:firstLine="705"/>
        <w:jc w:val="both"/>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2018年度财政拨款收入</w:t>
      </w:r>
      <w:r>
        <w:rPr>
          <w:rFonts w:hint="eastAsia" w:asciiTheme="minorEastAsia" w:hAnsiTheme="minorEastAsia" w:cstheme="minorEastAsia"/>
          <w:color w:val="373737"/>
          <w:sz w:val="28"/>
          <w:szCs w:val="28"/>
          <w:shd w:val="clear" w:color="auto" w:fill="FFFFFF"/>
          <w:lang w:val="en-US" w:eastAsia="zh-CN"/>
        </w:rPr>
        <w:t>234.56</w:t>
      </w:r>
      <w:r>
        <w:rPr>
          <w:rFonts w:hint="eastAsia" w:asciiTheme="minorEastAsia" w:hAnsiTheme="minorEastAsia" w:cstheme="minorEastAsia"/>
          <w:color w:val="373737"/>
          <w:sz w:val="28"/>
          <w:szCs w:val="28"/>
          <w:shd w:val="clear" w:color="auto" w:fill="FFFFFF"/>
        </w:rPr>
        <w:t>万元，与上年相比，增加</w:t>
      </w:r>
      <w:r>
        <w:rPr>
          <w:rFonts w:hint="eastAsia" w:asciiTheme="minorEastAsia" w:hAnsiTheme="minorEastAsia" w:cstheme="minorEastAsia"/>
          <w:color w:val="373737"/>
          <w:sz w:val="28"/>
          <w:szCs w:val="28"/>
          <w:shd w:val="clear" w:color="auto" w:fill="FFFFFF"/>
          <w:lang w:val="en-US" w:eastAsia="zh-CN"/>
        </w:rPr>
        <w:t>0.13</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0.01</w:t>
      </w: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230.35</w:t>
      </w:r>
      <w:r>
        <w:rPr>
          <w:rFonts w:hint="eastAsia" w:asciiTheme="minorEastAsia" w:hAnsiTheme="minorEastAsia" w:cstheme="minorEastAsia"/>
          <w:color w:val="373737"/>
          <w:sz w:val="28"/>
          <w:szCs w:val="28"/>
          <w:shd w:val="clear" w:color="auto" w:fill="FFFFFF"/>
        </w:rPr>
        <w:t>万元，与上年相比，增加</w:t>
      </w:r>
      <w:r>
        <w:rPr>
          <w:rFonts w:hint="eastAsia" w:asciiTheme="minorEastAsia" w:hAnsiTheme="minorEastAsia" w:cstheme="minorEastAsia"/>
          <w:color w:val="373737"/>
          <w:sz w:val="28"/>
          <w:szCs w:val="28"/>
          <w:shd w:val="clear" w:color="auto" w:fill="FFFFFF"/>
          <w:lang w:val="en-US" w:eastAsia="zh-CN"/>
        </w:rPr>
        <w:t>4.08</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0.02</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Autospacing="0"/>
        <w:ind w:left="135" w:right="270" w:firstLine="70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五、2018年度一般公共预算财政拨款支出决算情况说明</w:t>
      </w:r>
    </w:p>
    <w:p>
      <w:pPr>
        <w:pStyle w:val="4"/>
        <w:widowControl/>
        <w:shd w:val="clear" w:color="auto" w:fill="FFFFFF"/>
        <w:spacing w:beforeAutospacing="0" w:after="225" w:afterAutospacing="0"/>
        <w:ind w:left="135" w:firstLine="70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（一）财政拨款支出决算总体情况。</w:t>
      </w:r>
    </w:p>
    <w:p>
      <w:pPr>
        <w:pStyle w:val="4"/>
        <w:widowControl/>
        <w:shd w:val="clear" w:color="auto" w:fill="FFFFFF"/>
        <w:spacing w:beforeAutospacing="0" w:after="225" w:afterAutospacing="0"/>
        <w:ind w:left="135" w:firstLine="73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w:t>
      </w:r>
      <w:r>
        <w:rPr>
          <w:rFonts w:hint="eastAsia" w:asciiTheme="minorEastAsia" w:hAnsiTheme="minorEastAsia" w:cstheme="minorEastAsia"/>
          <w:color w:val="373737"/>
          <w:sz w:val="28"/>
          <w:szCs w:val="28"/>
          <w:shd w:val="clear" w:color="auto" w:fill="FFFFFF"/>
          <w:lang w:val="en-US" w:eastAsia="zh-CN"/>
        </w:rPr>
        <w:t>234.56</w:t>
      </w:r>
      <w:r>
        <w:rPr>
          <w:rFonts w:hint="eastAsia" w:asciiTheme="minorEastAsia" w:hAnsiTheme="minorEastAsia" w:cstheme="minorEastAsia"/>
          <w:color w:val="373737"/>
          <w:sz w:val="28"/>
          <w:szCs w:val="28"/>
          <w:shd w:val="clear" w:color="auto" w:fill="FFFFFF"/>
        </w:rPr>
        <w:t>万元，占本年支出合计的</w:t>
      </w:r>
      <w:r>
        <w:rPr>
          <w:rFonts w:hint="eastAsia" w:asciiTheme="minorEastAsia" w:hAnsiTheme="minorEastAsia" w:cstheme="minorEastAsia"/>
          <w:color w:val="373737"/>
          <w:sz w:val="28"/>
          <w:szCs w:val="28"/>
          <w:shd w:val="clear" w:color="auto" w:fill="FFFFFF"/>
          <w:lang w:val="en-US" w:eastAsia="zh-CN"/>
        </w:rPr>
        <w:t>230.35</w:t>
      </w:r>
      <w:r>
        <w:rPr>
          <w:rFonts w:hint="eastAsia" w:asciiTheme="minorEastAsia" w:hAnsiTheme="minorEastAsia" w:cstheme="minorEastAsia"/>
          <w:color w:val="373737"/>
          <w:sz w:val="28"/>
          <w:szCs w:val="28"/>
          <w:shd w:val="clear" w:color="auto" w:fill="FFFFFF"/>
        </w:rPr>
        <w:t>%。与上年相比，财政拨款支出增加</w:t>
      </w:r>
      <w:r>
        <w:rPr>
          <w:rFonts w:hint="eastAsia" w:asciiTheme="minorEastAsia" w:hAnsiTheme="minorEastAsia" w:cstheme="minorEastAsia"/>
          <w:color w:val="373737"/>
          <w:sz w:val="28"/>
          <w:szCs w:val="28"/>
          <w:shd w:val="clear" w:color="auto" w:fill="FFFFFF"/>
          <w:lang w:val="en-US" w:eastAsia="zh-CN"/>
        </w:rPr>
        <w:t>4.08</w:t>
      </w:r>
      <w:r>
        <w:rPr>
          <w:rFonts w:hint="eastAsia" w:asciiTheme="minorEastAsia" w:hAnsiTheme="minorEastAsia" w:cstheme="minorEastAsia"/>
          <w:color w:val="373737"/>
          <w:sz w:val="28"/>
          <w:szCs w:val="28"/>
          <w:shd w:val="clear" w:color="auto" w:fill="FFFFFF"/>
        </w:rPr>
        <w:t>万元，增长</w:t>
      </w:r>
      <w:r>
        <w:rPr>
          <w:rFonts w:hint="eastAsia" w:asciiTheme="minorEastAsia" w:hAnsiTheme="minorEastAsia" w:cstheme="minorEastAsia"/>
          <w:color w:val="373737"/>
          <w:sz w:val="28"/>
          <w:szCs w:val="28"/>
          <w:shd w:val="clear" w:color="auto" w:fill="FFFFFF"/>
          <w:lang w:val="en-US" w:eastAsia="zh-CN"/>
        </w:rPr>
        <w:t>0.02</w:t>
      </w:r>
      <w:r>
        <w:rPr>
          <w:rFonts w:hint="eastAsia" w:asciiTheme="minorEastAsia" w:hAnsiTheme="minorEastAsia" w:cstheme="minorEastAsia"/>
          <w:color w:val="373737"/>
          <w:sz w:val="28"/>
          <w:szCs w:val="28"/>
          <w:shd w:val="clear" w:color="auto" w:fill="FFFFFF"/>
        </w:rPr>
        <w:t>%。</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（二）财政拨款支出决算结构情况。</w:t>
      </w:r>
    </w:p>
    <w:p>
      <w:pPr>
        <w:pStyle w:val="4"/>
        <w:widowControl/>
        <w:shd w:val="clear" w:color="auto" w:fill="FFFFFF"/>
        <w:spacing w:beforeAutospacing="0" w:after="225" w:afterAutospacing="0"/>
        <w:ind w:firstLine="102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2018年度财政拨款支出万元，主要用于以下方面：</w:t>
      </w:r>
      <w:r>
        <w:rPr>
          <w:rStyle w:val="6"/>
          <w:rFonts w:hint="eastAsia" w:asciiTheme="minorEastAsia" w:hAnsiTheme="minorEastAsia" w:cstheme="minorEastAsia"/>
          <w:color w:val="373737"/>
          <w:sz w:val="28"/>
          <w:szCs w:val="28"/>
          <w:shd w:val="clear" w:color="auto" w:fill="FFFFFF"/>
        </w:rPr>
        <w:t>社会保障和就业（类）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9.66</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4.12</w:t>
      </w:r>
      <w:r>
        <w:rPr>
          <w:rFonts w:hint="eastAsia" w:asciiTheme="minorEastAsia" w:hAnsiTheme="minorEastAsia" w:cstheme="minorEastAsia"/>
          <w:color w:val="373737"/>
          <w:sz w:val="28"/>
          <w:szCs w:val="28"/>
          <w:shd w:val="clear" w:color="auto" w:fill="FFFFFF"/>
        </w:rPr>
        <w:t>%；</w:t>
      </w:r>
      <w:r>
        <w:rPr>
          <w:rStyle w:val="6"/>
          <w:rFonts w:hint="eastAsia" w:asciiTheme="minorEastAsia" w:hAnsiTheme="minorEastAsia" w:cstheme="minorEastAsia"/>
          <w:color w:val="373737"/>
          <w:sz w:val="28"/>
          <w:szCs w:val="28"/>
          <w:shd w:val="clear" w:color="auto" w:fill="FFFFFF"/>
        </w:rPr>
        <w:t>医疗卫生与计划生育（类）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8.87</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3.78</w:t>
      </w:r>
      <w:r>
        <w:rPr>
          <w:rFonts w:hint="eastAsia" w:asciiTheme="minorEastAsia" w:hAnsiTheme="minorEastAsia" w:cstheme="minorEastAsia"/>
          <w:color w:val="373737"/>
          <w:sz w:val="28"/>
          <w:szCs w:val="28"/>
          <w:shd w:val="clear" w:color="auto" w:fill="FFFFFF"/>
        </w:rPr>
        <w:t>%；</w:t>
      </w:r>
      <w:r>
        <w:rPr>
          <w:rStyle w:val="6"/>
          <w:rFonts w:hint="eastAsia" w:asciiTheme="minorEastAsia" w:hAnsiTheme="minorEastAsia" w:cstheme="minorEastAsia"/>
          <w:color w:val="373737"/>
          <w:sz w:val="28"/>
          <w:szCs w:val="28"/>
          <w:shd w:val="clear" w:color="auto" w:fill="FFFFFF"/>
        </w:rPr>
        <w:t>农林水（类）</w:t>
      </w:r>
      <w:r>
        <w:rPr>
          <w:rFonts w:hint="eastAsia" w:asciiTheme="minorEastAsia" w:hAnsiTheme="minorEastAsia" w:cstheme="minorEastAsia"/>
          <w:color w:val="373737"/>
          <w:sz w:val="28"/>
          <w:szCs w:val="28"/>
          <w:shd w:val="clear" w:color="auto" w:fill="FFFFFF"/>
        </w:rPr>
        <w:t>支出万元，占%；</w:t>
      </w:r>
      <w:r>
        <w:rPr>
          <w:rStyle w:val="6"/>
          <w:rFonts w:hint="eastAsia" w:asciiTheme="minorEastAsia" w:hAnsiTheme="minorEastAsia" w:cstheme="minorEastAsia"/>
          <w:color w:val="373737"/>
          <w:sz w:val="28"/>
          <w:szCs w:val="28"/>
          <w:shd w:val="clear" w:color="auto" w:fill="FFFFFF"/>
        </w:rPr>
        <w:t>住房保障（类）</w:t>
      </w:r>
      <w:r>
        <w:rPr>
          <w:rFonts w:hint="eastAsia" w:asciiTheme="minorEastAsia" w:hAnsiTheme="minorEastAsia" w:cstheme="minorEastAsia"/>
          <w:color w:val="373737"/>
          <w:sz w:val="28"/>
          <w:szCs w:val="28"/>
          <w:shd w:val="clear" w:color="auto" w:fill="FFFFFF"/>
        </w:rPr>
        <w:t>支出</w:t>
      </w:r>
      <w:r>
        <w:rPr>
          <w:rFonts w:hint="eastAsia" w:asciiTheme="minorEastAsia" w:hAnsiTheme="minorEastAsia" w:cstheme="minorEastAsia"/>
          <w:color w:val="373737"/>
          <w:sz w:val="28"/>
          <w:szCs w:val="28"/>
          <w:shd w:val="clear" w:color="auto" w:fill="FFFFFF"/>
          <w:lang w:val="en-US" w:eastAsia="zh-CN"/>
        </w:rPr>
        <w:t>11.50</w:t>
      </w:r>
      <w:r>
        <w:rPr>
          <w:rFonts w:hint="eastAsia" w:asciiTheme="minorEastAsia" w:hAnsiTheme="minorEastAsia" w:cstheme="minorEastAsia"/>
          <w:color w:val="373737"/>
          <w:sz w:val="28"/>
          <w:szCs w:val="28"/>
          <w:shd w:val="clear" w:color="auto" w:fill="FFFFFF"/>
        </w:rPr>
        <w:t>万元，占</w:t>
      </w:r>
      <w:r>
        <w:rPr>
          <w:rFonts w:hint="eastAsia" w:asciiTheme="minorEastAsia" w:hAnsiTheme="minorEastAsia" w:cstheme="minorEastAsia"/>
          <w:color w:val="373737"/>
          <w:sz w:val="28"/>
          <w:szCs w:val="28"/>
          <w:shd w:val="clear" w:color="auto" w:fill="FFFFFF"/>
          <w:lang w:val="en-US" w:eastAsia="zh-CN"/>
        </w:rPr>
        <w:t>4.90</w:t>
      </w:r>
      <w:r>
        <w:rPr>
          <w:rFonts w:hint="eastAsia" w:asciiTheme="minorEastAsia" w:hAnsiTheme="minorEastAsia" w:cstheme="minorEastAsia"/>
          <w:color w:val="373737"/>
          <w:sz w:val="28"/>
          <w:szCs w:val="28"/>
          <w:shd w:val="clear" w:color="auto" w:fill="FFFFFF"/>
        </w:rPr>
        <w:t>%。（根据单位实际科目）</w:t>
      </w:r>
    </w:p>
    <w:p>
      <w:pPr>
        <w:pStyle w:val="4"/>
        <w:widowControl/>
        <w:shd w:val="clear" w:color="auto" w:fill="FFFFFF"/>
        <w:spacing w:beforeAutospacing="0" w:after="225" w:afterAutospacing="0"/>
        <w:ind w:left="90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（三）财政拨款支出决算具体情况。（根据单位实际科目）</w:t>
      </w:r>
    </w:p>
    <w:p>
      <w:pPr>
        <w:pStyle w:val="4"/>
        <w:widowControl/>
        <w:shd w:val="clear" w:color="auto" w:fill="FFFFFF"/>
        <w:spacing w:beforeAutospacing="0" w:after="225" w:afterAutospacing="0"/>
        <w:ind w:firstLine="99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2018年度财政拨款支出年初预算为</w:t>
      </w:r>
      <w:r>
        <w:rPr>
          <w:rFonts w:hint="eastAsia" w:asciiTheme="minorEastAsia" w:hAnsiTheme="minorEastAsia" w:cstheme="minorEastAsia"/>
          <w:color w:val="373737"/>
          <w:sz w:val="28"/>
          <w:szCs w:val="28"/>
          <w:shd w:val="clear" w:color="auto" w:fill="FFFFFF"/>
          <w:lang w:val="en-US" w:eastAsia="zh-CN"/>
        </w:rPr>
        <w:t>219.69</w:t>
      </w:r>
      <w:r>
        <w:rPr>
          <w:rFonts w:hint="eastAsia" w:asciiTheme="minorEastAsia" w:hAnsiTheme="minorEastAsia" w:cstheme="minorEastAsia"/>
          <w:color w:val="373737"/>
          <w:sz w:val="28"/>
          <w:szCs w:val="28"/>
          <w:shd w:val="clear" w:color="auto" w:fill="FFFFFF"/>
        </w:rPr>
        <w:t>万元，支出决算为</w:t>
      </w:r>
      <w:r>
        <w:rPr>
          <w:rFonts w:hint="eastAsia" w:asciiTheme="minorEastAsia" w:hAnsiTheme="minorEastAsia" w:cstheme="minorEastAsia"/>
          <w:color w:val="373737"/>
          <w:sz w:val="28"/>
          <w:szCs w:val="28"/>
          <w:shd w:val="clear" w:color="auto" w:fill="FFFFFF"/>
          <w:lang w:val="en-US" w:eastAsia="zh-CN"/>
        </w:rPr>
        <w:t>234.56</w:t>
      </w:r>
      <w:r>
        <w:rPr>
          <w:rFonts w:hint="eastAsia" w:asciiTheme="minorEastAsia" w:hAnsiTheme="minorEastAsia" w:cstheme="minorEastAsia"/>
          <w:color w:val="373737"/>
          <w:sz w:val="28"/>
          <w:szCs w:val="28"/>
          <w:shd w:val="clear" w:color="auto" w:fill="FFFFFF"/>
        </w:rPr>
        <w:t>万元，完成年初预算的</w:t>
      </w:r>
      <w:r>
        <w:rPr>
          <w:rFonts w:hint="eastAsia" w:asciiTheme="minorEastAsia" w:hAnsiTheme="minorEastAsia" w:cstheme="minorEastAsia"/>
          <w:color w:val="373737"/>
          <w:sz w:val="28"/>
          <w:szCs w:val="28"/>
          <w:shd w:val="clear" w:color="auto" w:fill="FFFFFF"/>
          <w:lang w:val="en-US" w:eastAsia="zh-CN"/>
        </w:rPr>
        <w:t>106.77</w:t>
      </w:r>
      <w:r>
        <w:rPr>
          <w:rFonts w:hint="eastAsia" w:asciiTheme="minorEastAsia" w:hAnsiTheme="minorEastAsia" w:cstheme="minorEastAsia"/>
          <w:color w:val="373737"/>
          <w:sz w:val="28"/>
          <w:szCs w:val="28"/>
          <w:shd w:val="clear" w:color="auto" w:fill="FFFFFF"/>
        </w:rPr>
        <w:t>%。决算数大于预算数的主要原因：一是2018年在职、离退休职工工资增长了和由于工资的增长相应的医疗保险、住房公积金、住房提租补贴相应的缴交比例也随之增加，所以决算数大于预算数；二是2017年增加了行政管理事务等项目资金。其中：</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1. 社会保障和就业（类）行政事业单位离退休（款）未归口管理的行政单位离退休（项）。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年初预算为万元，支出决算为万元，完成年初预算的%。决算数大于预算数的主要原因是2018年离退休职工工资增长了。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2. 医疗卫生和计划生育（类）医疗保障（款）行政单位医疗（项）。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年初预算为万元，支出决算为万元，完成年初预算的%。决算数大于预算数的主要原因在职职工增长了工资，使医疗保险的缴交比例增加了。</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3. 农林水（类）农业（款）行政运行（项）。</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年初预算为万元，支出决算为万元，完成年初预算的%。决算数大于预算数的主要原因是2018年增加了行政管理事务等项目资金。</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4. 住房保障（类）住房改革支出（款）住房公积金（项）。</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年初预算为万元，支出决算为万元，完成年初预算的%。决算数大于预算数的主要原因是2018年在职职工增长了工资，使住房公积金的缴交比例增加了。</w:t>
      </w:r>
    </w:p>
    <w:p>
      <w:pPr>
        <w:pStyle w:val="4"/>
        <w:widowControl/>
        <w:shd w:val="clear" w:color="auto" w:fill="FFFFFF"/>
        <w:spacing w:beforeAutospacing="0" w:after="225" w:afterAutospacing="0"/>
        <w:ind w:left="165" w:firstLine="480"/>
        <w:textAlignment w:val="baseline"/>
        <w:rPr>
          <w:rFonts w:asciiTheme="minorEastAsia" w:hAnsiTheme="minorEastAsia" w:cstheme="minorEastAsia"/>
          <w:color w:val="333333"/>
          <w:sz w:val="28"/>
          <w:szCs w:val="28"/>
        </w:rPr>
      </w:pPr>
    </w:p>
    <w:p>
      <w:pPr>
        <w:pStyle w:val="4"/>
        <w:widowControl/>
        <w:shd w:val="clear" w:color="auto" w:fill="FFFFFF"/>
        <w:spacing w:beforeAutospacing="0" w:after="225" w:afterAutospacing="0"/>
        <w:ind w:right="270" w:firstLine="31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六、2018年度一般公共预算财政拨款基本支出决算情况说明。</w:t>
      </w:r>
    </w:p>
    <w:p>
      <w:pPr>
        <w:pStyle w:val="4"/>
        <w:widowControl/>
        <w:shd w:val="clear" w:color="auto" w:fill="FFFFFF"/>
        <w:spacing w:beforeAutospacing="0" w:after="225" w:afterAutospacing="0"/>
        <w:ind w:right="105"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w:t>
      </w:r>
      <w:r>
        <w:rPr>
          <w:rFonts w:hint="eastAsia" w:asciiTheme="minorEastAsia" w:hAnsiTheme="minorEastAsia" w:cstheme="minorEastAsia"/>
          <w:color w:val="373737"/>
          <w:sz w:val="28"/>
          <w:szCs w:val="28"/>
          <w:shd w:val="clear" w:color="auto" w:fill="FFFFFF"/>
          <w:lang w:val="en-US" w:eastAsia="zh-CN"/>
        </w:rPr>
        <w:t>8</w:t>
      </w:r>
      <w:r>
        <w:rPr>
          <w:rFonts w:hint="eastAsia" w:asciiTheme="minorEastAsia" w:hAnsiTheme="minorEastAsia" w:cstheme="minorEastAsia"/>
          <w:color w:val="373737"/>
          <w:sz w:val="28"/>
          <w:szCs w:val="28"/>
          <w:shd w:val="clear" w:color="auto" w:fill="FFFFFF"/>
        </w:rPr>
        <w:t>年度财政拨款基本支出万元，其中：人员经费</w:t>
      </w:r>
      <w:r>
        <w:rPr>
          <w:rFonts w:hint="eastAsia" w:asciiTheme="minorEastAsia" w:hAnsiTheme="minorEastAsia" w:cstheme="minorEastAsia"/>
          <w:color w:val="373737"/>
          <w:sz w:val="28"/>
          <w:szCs w:val="28"/>
          <w:shd w:val="clear" w:color="auto" w:fill="FFFFFF"/>
          <w:lang w:val="en-US" w:eastAsia="zh-CN"/>
        </w:rPr>
        <w:t>198.53</w:t>
      </w:r>
      <w:r>
        <w:rPr>
          <w:rFonts w:hint="eastAsia" w:asciiTheme="minorEastAsia" w:hAnsiTheme="minorEastAsia" w:cstheme="minorEastAsia"/>
          <w:color w:val="373737"/>
          <w:sz w:val="28"/>
          <w:szCs w:val="28"/>
          <w:shd w:val="clear" w:color="auto" w:fill="FFFFFF"/>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color w:val="373737"/>
          <w:sz w:val="28"/>
          <w:szCs w:val="28"/>
          <w:shd w:val="clear" w:color="auto" w:fill="FFFFFF"/>
          <w:lang w:val="en-US" w:eastAsia="zh-CN"/>
        </w:rPr>
        <w:t>31.82</w:t>
      </w:r>
      <w:r>
        <w:rPr>
          <w:rFonts w:hint="eastAsia" w:asciiTheme="minorEastAsia" w:hAnsiTheme="minorEastAsia" w:cstheme="minorEastAsia"/>
          <w:color w:val="373737"/>
          <w:sz w:val="28"/>
          <w:szCs w:val="28"/>
          <w:shd w:val="clear" w:color="auto" w:fill="FFFFFF"/>
        </w:rPr>
        <w:t>万元，主要包括：办公费、印刷费、水费、电费、邮电费、取暖费、物业费、差旅费、维修（护）费、专用材料费、劳务费、工会经费、福利费、其他交通费用、办公设备购置。</w:t>
      </w:r>
    </w:p>
    <w:p>
      <w:pPr>
        <w:pStyle w:val="4"/>
        <w:widowControl/>
        <w:shd w:val="clear" w:color="auto" w:fill="FFFFFF"/>
        <w:spacing w:beforeAutospacing="0" w:afterAutospacing="0"/>
        <w:ind w:left="255" w:right="270"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七、2018年度一般公共预算财政拨款“三公”经费支出决算情况说明</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（一）“三公”经费财政拨款支出决算总体情况说明。</w:t>
      </w:r>
    </w:p>
    <w:p>
      <w:pPr>
        <w:pStyle w:val="4"/>
        <w:widowControl/>
        <w:shd w:val="clear" w:color="auto" w:fill="FFFFFF"/>
        <w:spacing w:beforeAutospacing="0" w:after="225" w:afterAutospacing="0"/>
        <w:ind w:left="279" w:leftChars="133" w:firstLine="579" w:firstLineChars="207"/>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预算为万元，支出决算为万元，完成预算的%，其中：因公出国（境）费支出决算为万元，完成预算的%；公务用车购置及运行费支出决算为万元，完成预算的%；公务接待费支出决算为万元，完成预算的%。2018年度“三公”经费支出决算数与预算数持平。</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数比上年增减少万元，减少%，公务用车购置及运行费支出决算0万元，减少%，原因为：部门严格执行三公经费缩减，车改后车辆上交；公务接待费支出决算0万元，增长%，原因为：严格按照上级标准，缩减公务接待开支。</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（二）“三公”经费财政拨款支出决算具体情况说明。</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2018年度“三公”经费财政拨款支出决算中，因公出国（境）费支出决算万元，占%；公务用车购置及运行费支出决算万元，占%；公务接待费支出决算万元，占%。</w:t>
      </w:r>
    </w:p>
    <w:p>
      <w:pPr>
        <w:pStyle w:val="4"/>
        <w:widowControl/>
        <w:shd w:val="clear" w:color="auto" w:fill="FFFFFF"/>
        <w:spacing w:beforeAutospacing="0" w:after="225" w:afterAutospacing="0"/>
        <w:ind w:firstLine="855"/>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1.因公出国（境）费</w:t>
      </w:r>
      <w:r>
        <w:rPr>
          <w:rFonts w:hint="eastAsia" w:asciiTheme="minorEastAsia" w:hAnsiTheme="minorEastAsia" w:cstheme="minorEastAsia"/>
          <w:color w:val="373737"/>
          <w:sz w:val="28"/>
          <w:szCs w:val="28"/>
          <w:shd w:val="clear" w:color="auto" w:fill="FFFFFF"/>
        </w:rPr>
        <w:t>支出</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万元。全年安排因公出国</w:t>
      </w:r>
    </w:p>
    <w:p>
      <w:pPr>
        <w:pStyle w:val="4"/>
        <w:widowControl/>
        <w:shd w:val="clear" w:color="auto" w:fill="FFFFFF"/>
        <w:spacing w:beforeAutospacing="0" w:after="225" w:afterAutospacing="0"/>
        <w:ind w:firstLine="645"/>
        <w:textAlignment w:val="baseline"/>
        <w:rPr>
          <w:rFonts w:asciiTheme="minorEastAsia" w:hAnsiTheme="minorEastAsia" w:cstheme="minorEastAsia"/>
          <w:color w:val="333333"/>
          <w:sz w:val="28"/>
          <w:szCs w:val="28"/>
        </w:rPr>
      </w:pPr>
      <w:r>
        <w:rPr>
          <w:rFonts w:hint="eastAsia" w:asciiTheme="minorEastAsia" w:hAnsiTheme="minorEastAsia" w:cstheme="minorEastAsia"/>
          <w:color w:val="373737"/>
          <w:sz w:val="28"/>
          <w:szCs w:val="28"/>
          <w:shd w:val="clear" w:color="auto" w:fill="FFFFFF"/>
        </w:rPr>
        <w:t>（境）团组0个，累计0人次。开支内容包括：出国人员差旅费0万元。</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2.公务用车购置及运行费</w:t>
      </w:r>
      <w:r>
        <w:rPr>
          <w:rFonts w:hint="eastAsia" w:asciiTheme="minorEastAsia" w:hAnsiTheme="minorEastAsia" w:cstheme="minorEastAsia"/>
          <w:color w:val="373737"/>
          <w:sz w:val="28"/>
          <w:szCs w:val="28"/>
          <w:shd w:val="clear" w:color="auto" w:fill="FFFFFF"/>
        </w:rPr>
        <w:t>支出</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w:t>
      </w:r>
      <w:r>
        <w:rPr>
          <w:rStyle w:val="6"/>
          <w:rFonts w:hint="eastAsia" w:asciiTheme="minorEastAsia" w:hAnsiTheme="minorEastAsia" w:cstheme="minorEastAsia"/>
          <w:color w:val="373737"/>
          <w:sz w:val="28"/>
          <w:szCs w:val="28"/>
          <w:shd w:val="clear" w:color="auto" w:fill="FFFFFF"/>
        </w:rPr>
        <w:t>公务用车购置</w:t>
      </w:r>
      <w:r>
        <w:rPr>
          <w:rFonts w:hint="eastAsia" w:asciiTheme="minorEastAsia" w:hAnsiTheme="minorEastAsia" w:cstheme="minorEastAsia"/>
          <w:color w:val="373737"/>
          <w:sz w:val="28"/>
          <w:szCs w:val="28"/>
          <w:shd w:val="clear" w:color="auto" w:fill="FFFFFF"/>
        </w:rPr>
        <w:t>支出为</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6"/>
          <w:rFonts w:hint="eastAsia" w:asciiTheme="minorEastAsia" w:hAnsiTheme="minorEastAsia" w:cstheme="minorEastAsia"/>
          <w:color w:val="373737"/>
          <w:sz w:val="28"/>
          <w:szCs w:val="28"/>
          <w:shd w:val="clear" w:color="auto" w:fill="FFFFFF"/>
        </w:rPr>
        <w:t>公务用车运行</w:t>
      </w:r>
      <w:r>
        <w:rPr>
          <w:rFonts w:hint="eastAsia" w:asciiTheme="minorEastAsia" w:hAnsiTheme="minorEastAsia" w:cstheme="minorEastAsia"/>
          <w:color w:val="373737"/>
          <w:sz w:val="28"/>
          <w:szCs w:val="28"/>
          <w:shd w:val="clear" w:color="auto" w:fill="FFFFFF"/>
        </w:rPr>
        <w:t>支出</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w:t>
      </w:r>
      <w:r>
        <w:rPr>
          <w:rStyle w:val="6"/>
          <w:rFonts w:hint="eastAsia" w:asciiTheme="minorEastAsia" w:hAnsiTheme="minorEastAsia" w:cstheme="minorEastAsia"/>
          <w:color w:val="373737"/>
          <w:sz w:val="28"/>
          <w:szCs w:val="28"/>
          <w:shd w:val="clear" w:color="auto" w:fill="FFFFFF"/>
        </w:rPr>
        <w:t>公务用车保有量0</w:t>
      </w:r>
      <w:r>
        <w:rPr>
          <w:rFonts w:hint="eastAsia" w:asciiTheme="minorEastAsia" w:hAnsiTheme="minorEastAsia" w:cstheme="minorEastAsia"/>
          <w:color w:val="373737"/>
          <w:sz w:val="28"/>
          <w:szCs w:val="28"/>
          <w:shd w:val="clear" w:color="auto" w:fill="FFFFFF"/>
        </w:rPr>
        <w:t>台。</w:t>
      </w:r>
    </w:p>
    <w:p>
      <w:pPr>
        <w:pStyle w:val="4"/>
        <w:widowControl/>
        <w:shd w:val="clear" w:color="auto" w:fill="FFFFFF"/>
        <w:spacing w:beforeAutospacing="0" w:after="225" w:afterAutospacing="0"/>
        <w:ind w:firstLine="630"/>
        <w:textAlignment w:val="baseline"/>
        <w:rPr>
          <w:rFonts w:asciiTheme="minorEastAsia" w:hAnsiTheme="minorEastAsia" w:cstheme="minorEastAsia"/>
          <w:color w:val="333333"/>
          <w:sz w:val="28"/>
          <w:szCs w:val="28"/>
        </w:rPr>
      </w:pPr>
      <w:r>
        <w:rPr>
          <w:rStyle w:val="6"/>
          <w:rFonts w:hint="eastAsia" w:asciiTheme="minorEastAsia" w:hAnsiTheme="minorEastAsia" w:cstheme="minorEastAsia"/>
          <w:color w:val="373737"/>
          <w:sz w:val="28"/>
          <w:szCs w:val="28"/>
          <w:shd w:val="clear" w:color="auto" w:fill="FFFFFF"/>
        </w:rPr>
        <w:t>3.公务接待费</w:t>
      </w:r>
      <w:r>
        <w:rPr>
          <w:rFonts w:hint="eastAsia" w:asciiTheme="minorEastAsia" w:hAnsiTheme="minorEastAsia" w:cstheme="minorEastAsia"/>
          <w:color w:val="373737"/>
          <w:sz w:val="28"/>
          <w:szCs w:val="28"/>
          <w:shd w:val="clear" w:color="auto" w:fill="FFFFFF"/>
        </w:rPr>
        <w:t>支出</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万元。其中：国内公务接待</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万元，国内公务接待批次</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个，国内公务接待人次</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人；国（境）外公务接待</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万元，国（境）外公务接待批次</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个，国（境）外公务接待人次</w:t>
      </w:r>
      <w:r>
        <w:rPr>
          <w:rStyle w:val="6"/>
          <w:rFonts w:hint="eastAsia" w:asciiTheme="minorEastAsia" w:hAnsiTheme="minorEastAsia" w:cstheme="minorEastAsia"/>
          <w:color w:val="373737"/>
          <w:sz w:val="28"/>
          <w:szCs w:val="28"/>
          <w:shd w:val="clear" w:color="auto" w:fill="FFFFFF"/>
        </w:rPr>
        <w:t>0</w:t>
      </w:r>
      <w:r>
        <w:rPr>
          <w:rFonts w:hint="eastAsia" w:asciiTheme="minorEastAsia" w:hAnsiTheme="minorEastAsia" w:cstheme="minorEastAsia"/>
          <w:color w:val="373737"/>
          <w:sz w:val="28"/>
          <w:szCs w:val="28"/>
          <w:shd w:val="clear" w:color="auto" w:fill="FFFFFF"/>
        </w:rPr>
        <w:t>人。</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八、其他重要事项的情况说明</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（一）机关运行经费支出情况。</w:t>
      </w:r>
    </w:p>
    <w:p>
      <w:pPr>
        <w:pStyle w:val="4"/>
        <w:widowControl/>
        <w:spacing w:before="180" w:beforeAutospacing="0" w:after="360" w:afterAutospacing="0" w:line="450" w:lineRule="atLeast"/>
        <w:ind w:firstLine="848"/>
        <w:rPr>
          <w:rFonts w:asciiTheme="minorEastAsia" w:hAnsiTheme="minorEastAsia" w:cstheme="minorEastAsia"/>
          <w:sz w:val="28"/>
          <w:szCs w:val="28"/>
        </w:rPr>
      </w:pPr>
      <w:r>
        <w:rPr>
          <w:rFonts w:hint="eastAsia" w:asciiTheme="minorEastAsia" w:hAnsiTheme="minorEastAsia" w:cstheme="minorEastAsia"/>
          <w:color w:val="333333"/>
          <w:sz w:val="28"/>
          <w:szCs w:val="28"/>
        </w:rPr>
        <w:t>本部门 2018年度机关运行经费支出 XX 万元（与部门决算中行政单位和参照公务员法管理事业单位一般公共预算财政拨款基本支出中公用经费之和保持一致），比上年增加（减少）XX 万元，增长（降低）XX%。主要原因是：……（具体增减原因由部门根据实际情况填列）。</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（二）政府采购支出情况。</w:t>
      </w:r>
    </w:p>
    <w:p>
      <w:pPr>
        <w:pStyle w:val="4"/>
        <w:widowControl/>
        <w:spacing w:before="180" w:beforeAutospacing="0" w:after="360" w:afterAutospacing="0" w:line="450" w:lineRule="atLeast"/>
        <w:ind w:firstLine="800"/>
        <w:rPr>
          <w:rFonts w:asciiTheme="minorEastAsia" w:hAnsiTheme="minorEastAsia" w:cstheme="minorEastAsia"/>
          <w:sz w:val="28"/>
          <w:szCs w:val="28"/>
        </w:rPr>
      </w:pPr>
      <w:r>
        <w:rPr>
          <w:rFonts w:hint="eastAsia" w:asciiTheme="minorEastAsia" w:hAnsiTheme="minorEastAsia" w:cstheme="minorEastAsia"/>
          <w:color w:val="333333"/>
          <w:sz w:val="28"/>
          <w:szCs w:val="28"/>
        </w:rPr>
        <w:t>2017年度政府采购支出总额 万元，其中：政府采购货物支出万元、政府采购工程支出 万元、政府采购服务支出万元。</w:t>
      </w:r>
    </w:p>
    <w:p>
      <w:pPr>
        <w:pStyle w:val="4"/>
        <w:widowControl/>
        <w:spacing w:before="180" w:beforeAutospacing="0" w:after="360" w:afterAutospacing="0" w:line="450" w:lineRule="atLeast"/>
        <w:ind w:firstLine="630"/>
        <w:rPr>
          <w:rFonts w:asciiTheme="minorEastAsia" w:hAnsiTheme="minorEastAsia" w:cstheme="minorEastAsia"/>
          <w:sz w:val="28"/>
          <w:szCs w:val="28"/>
        </w:rPr>
      </w:pPr>
      <w:r>
        <w:rPr>
          <w:rFonts w:hint="eastAsia" w:asciiTheme="minorEastAsia" w:hAnsiTheme="minorEastAsia" w:cstheme="minorEastAsia"/>
          <w:b/>
          <w:color w:val="333333"/>
          <w:sz w:val="28"/>
          <w:szCs w:val="28"/>
        </w:rPr>
        <w:t>（三）国有资产占用情况。</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截至 2018年 12 月 31 日，本部门共有车辆辆，其中，一般公务用车 0 辆、一般执法执勤用辆、特种专业技术用车辆、其他用车辆，其他用车主要是办案用车；单位价值 50 万万元以上通用设备台（套），单价100 万万元以上专用设备 台（套）。</w:t>
      </w:r>
    </w:p>
    <w:p>
      <w:pPr>
        <w:pStyle w:val="4"/>
        <w:widowControl/>
        <w:spacing w:before="180" w:beforeAutospacing="0" w:after="360" w:afterAutospacing="0" w:line="450" w:lineRule="atLeast"/>
        <w:ind w:left="900"/>
        <w:rPr>
          <w:rFonts w:asciiTheme="minorEastAsia" w:hAnsiTheme="minorEastAsia" w:cstheme="minorEastAsia"/>
          <w:sz w:val="28"/>
          <w:szCs w:val="28"/>
        </w:rPr>
      </w:pPr>
      <w:r>
        <w:rPr>
          <w:rFonts w:hint="eastAsia" w:asciiTheme="minorEastAsia" w:hAnsiTheme="minorEastAsia" w:cstheme="minorEastAsia"/>
          <w:b/>
          <w:color w:val="333333"/>
          <w:sz w:val="28"/>
          <w:szCs w:val="28"/>
        </w:rPr>
        <w:t>（四）2018年度预算绩效情况说明</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color w:val="333333"/>
          <w:sz w:val="28"/>
          <w:szCs w:val="28"/>
        </w:rPr>
        <w:t>根据财政预算管理要求和年初设定的绩效目标，我单位组织对 2018年度项目支出全面开展绩效自评。共涉及资金万元，自评覆盖率达到100%。共组织对“xxx”等 7 个项目进行了绩效评价，共涉及资金万元。从评价情况来看，本部门共开展了XXXXXX进行了绩效考核。</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color w:val="333333"/>
          <w:sz w:val="28"/>
          <w:szCs w:val="28"/>
        </w:rPr>
        <w:t> </w:t>
      </w:r>
    </w:p>
    <w:p>
      <w:pPr>
        <w:pStyle w:val="4"/>
        <w:widowControl/>
        <w:spacing w:before="180" w:beforeAutospacing="0" w:after="360" w:afterAutospacing="0" w:line="457"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第三部分 名词解释</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一、财政拨款收入</w:t>
      </w:r>
      <w:r>
        <w:rPr>
          <w:rFonts w:hint="eastAsia" w:asciiTheme="minorEastAsia" w:hAnsiTheme="minorEastAsia" w:cstheme="minorEastAsia"/>
          <w:color w:val="333333"/>
          <w:sz w:val="28"/>
          <w:szCs w:val="28"/>
        </w:rPr>
        <w:t>：指县级财政当年拨付的资金。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二、事业收入</w:t>
      </w:r>
      <w:r>
        <w:rPr>
          <w:rFonts w:hint="eastAsia" w:asciiTheme="minorEastAsia" w:hAnsiTheme="minorEastAsia" w:cstheme="minorEastAsia"/>
          <w:color w:val="333333"/>
          <w:sz w:val="28"/>
          <w:szCs w:val="28"/>
        </w:rPr>
        <w:t>：指事业单位开展专业业务活动及辅助活动所取得的收入。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三、经营收入</w:t>
      </w:r>
      <w:r>
        <w:rPr>
          <w:rFonts w:hint="eastAsia" w:asciiTheme="minorEastAsia" w:hAnsiTheme="minorEastAsia" w:cstheme="minorEastAsia"/>
          <w:color w:val="333333"/>
          <w:sz w:val="28"/>
          <w:szCs w:val="28"/>
        </w:rPr>
        <w:t>：指事业单位在专业业务活动及其辅助活动之外开展非独立核算经营活动取得的收入。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四、其他收入</w:t>
      </w:r>
      <w:r>
        <w:rPr>
          <w:rFonts w:hint="eastAsia" w:asciiTheme="minorEastAsia" w:hAnsiTheme="minorEastAsia" w:cstheme="minorEastAsia"/>
          <w:color w:val="333333"/>
          <w:sz w:val="28"/>
          <w:szCs w:val="28"/>
        </w:rPr>
        <w:t>：指除上述“财政拨款收入”、“事业收入”、“经营收入”等以外的收入。</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五、用事业基金弥补收支差额</w:t>
      </w:r>
      <w:r>
        <w:rPr>
          <w:rFonts w:hint="eastAsia" w:asciiTheme="minorEastAsia" w:hAnsi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六、年初结转和结余</w:t>
      </w:r>
      <w:r>
        <w:rPr>
          <w:rFonts w:hint="eastAsia" w:asciiTheme="minorEastAsia" w:hAnsiTheme="minorEastAsia" w:cstheme="minorEastAsia"/>
          <w:color w:val="333333"/>
          <w:sz w:val="28"/>
          <w:szCs w:val="28"/>
        </w:rPr>
        <w:t>：指以前年度尚未完成、结转到本年按有关规定继续使用的资金。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七、结余分配</w:t>
      </w:r>
      <w:r>
        <w:rPr>
          <w:rFonts w:hint="eastAsia" w:asciiTheme="minorEastAsia" w:hAnsiTheme="minorEastAsia" w:cstheme="minorEastAsia"/>
          <w:color w:val="333333"/>
          <w:sz w:val="28"/>
          <w:szCs w:val="28"/>
        </w:rPr>
        <w:t>：指事业单位按规定提取的职工福利基金、事业基金和缴纳的所得税，以及建设单位按规定应交回的基本建设竣工项目结余资金。</w:t>
      </w:r>
    </w:p>
    <w:p>
      <w:pPr>
        <w:pStyle w:val="4"/>
        <w:widowControl/>
        <w:spacing w:before="180" w:beforeAutospacing="0" w:after="360" w:afterAutospacing="0" w:line="450" w:lineRule="atLeast"/>
        <w:ind w:firstLine="851"/>
        <w:rPr>
          <w:rFonts w:asciiTheme="minorEastAsia" w:hAnsiTheme="minorEastAsia" w:cstheme="minorEastAsia"/>
          <w:sz w:val="28"/>
          <w:szCs w:val="28"/>
        </w:rPr>
      </w:pPr>
      <w:r>
        <w:rPr>
          <w:rFonts w:hint="eastAsia" w:asciiTheme="minorEastAsia" w:hAnsiTheme="minorEastAsia" w:cstheme="minorEastAsia"/>
          <w:b/>
          <w:color w:val="333333"/>
          <w:sz w:val="28"/>
          <w:szCs w:val="28"/>
        </w:rPr>
        <w:t>八、年末结转和结余</w:t>
      </w:r>
      <w:r>
        <w:rPr>
          <w:rFonts w:hint="eastAsia" w:asciiTheme="minorEastAsia" w:hAnsiTheme="minorEastAsia" w:cstheme="minorEastAsia"/>
          <w:color w:val="333333"/>
          <w:sz w:val="28"/>
          <w:szCs w:val="28"/>
        </w:rPr>
        <w:t>：指本年度或以前年度预算安排、因客观条件发生变化无法按原计划实施，需延迟到以后年度按有关规定继续使用的资金。</w:t>
      </w:r>
    </w:p>
    <w:p>
      <w:pPr>
        <w:pStyle w:val="4"/>
        <w:widowControl/>
        <w:spacing w:before="180" w:beforeAutospacing="0" w:after="360" w:afterAutospacing="0" w:line="450" w:lineRule="atLeast"/>
        <w:ind w:firstLine="899"/>
        <w:rPr>
          <w:rFonts w:asciiTheme="minorEastAsia" w:hAnsiTheme="minorEastAsia" w:cstheme="minorEastAsia"/>
          <w:sz w:val="28"/>
          <w:szCs w:val="28"/>
        </w:rPr>
      </w:pPr>
      <w:r>
        <w:rPr>
          <w:rFonts w:hint="eastAsia" w:asciiTheme="minorEastAsia" w:hAnsiTheme="minorEastAsia" w:cstheme="minorEastAsia"/>
          <w:b/>
          <w:color w:val="333333"/>
          <w:sz w:val="28"/>
          <w:szCs w:val="28"/>
        </w:rPr>
        <w:t>九、基本支出</w:t>
      </w:r>
      <w:r>
        <w:rPr>
          <w:rFonts w:hint="eastAsia" w:asciiTheme="minorEastAsia" w:hAnsiTheme="minorEastAsia" w:cstheme="minorEastAsia"/>
          <w:color w:val="333333"/>
          <w:sz w:val="28"/>
          <w:szCs w:val="28"/>
        </w:rPr>
        <w:t>：指为保障机构正常运转、完成日常工作任务而发生的人员支出和公用支出。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十、项目支出</w:t>
      </w:r>
      <w:r>
        <w:rPr>
          <w:rFonts w:hint="eastAsia" w:asciiTheme="minorEastAsia" w:hAnsiTheme="minorEastAsia" w:cstheme="minorEastAsia"/>
          <w:color w:val="333333"/>
          <w:sz w:val="28"/>
          <w:szCs w:val="28"/>
        </w:rPr>
        <w:t>：指在基本支出之外为完成特定行政任务和事业发展目标所发生的支出。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十一、经营支出</w:t>
      </w:r>
      <w:r>
        <w:rPr>
          <w:rFonts w:hint="eastAsia" w:asciiTheme="minorEastAsia" w:hAnsiTheme="minorEastAsia" w:cstheme="minorEastAsia"/>
          <w:color w:val="333333"/>
          <w:sz w:val="28"/>
          <w:szCs w:val="28"/>
        </w:rPr>
        <w:t>：指事业单位在专业业务活动及其辅助活动之外开展非独立核算经营活动发生的支出。</w:t>
      </w:r>
    </w:p>
    <w:p>
      <w:pPr>
        <w:pStyle w:val="4"/>
        <w:widowControl/>
        <w:spacing w:before="180" w:beforeAutospacing="0" w:after="360" w:afterAutospacing="0" w:line="450" w:lineRule="atLeast"/>
        <w:ind w:firstLine="707"/>
        <w:rPr>
          <w:rFonts w:asciiTheme="minorEastAsia" w:hAnsiTheme="minorEastAsia" w:cstheme="minorEastAsia"/>
          <w:sz w:val="28"/>
          <w:szCs w:val="28"/>
        </w:rPr>
      </w:pPr>
      <w:r>
        <w:rPr>
          <w:rFonts w:hint="eastAsia" w:asciiTheme="minorEastAsia" w:hAnsiTheme="minorEastAsia" w:cstheme="minorEastAsia"/>
          <w:b/>
          <w:color w:val="333333"/>
          <w:sz w:val="28"/>
          <w:szCs w:val="28"/>
        </w:rPr>
        <w:t>十二、“三公”经费</w:t>
      </w:r>
      <w:r>
        <w:rPr>
          <w:rFonts w:hint="eastAsia" w:asciiTheme="minorEastAsia" w:hAnsiTheme="minorEastAsia" w:cstheme="minorEastAsia"/>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4"/>
        <w:widowControl/>
        <w:spacing w:before="180" w:beforeAutospacing="0" w:after="360" w:afterAutospacing="0" w:line="450" w:lineRule="atLeast"/>
        <w:ind w:firstLine="729"/>
        <w:rPr>
          <w:rFonts w:asciiTheme="minorEastAsia" w:hAnsiTheme="minorEastAsia" w:cstheme="minorEastAsia"/>
          <w:sz w:val="28"/>
          <w:szCs w:val="28"/>
        </w:rPr>
      </w:pPr>
      <w:r>
        <w:rPr>
          <w:rFonts w:hint="eastAsia" w:asciiTheme="minorEastAsia" w:hAnsiTheme="minorEastAsia" w:cstheme="minorEastAsia"/>
          <w:b/>
          <w:color w:val="333333"/>
          <w:sz w:val="28"/>
          <w:szCs w:val="28"/>
        </w:rPr>
        <w:t>十三、机关运行经费</w:t>
      </w:r>
      <w:r>
        <w:rPr>
          <w:rFonts w:hint="eastAsia" w:asciiTheme="minorEastAsia" w:hAnsi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A94AC"/>
    <w:multiLevelType w:val="singleLevel"/>
    <w:tmpl w:val="225A94AC"/>
    <w:lvl w:ilvl="0" w:tentative="0">
      <w:start w:val="1"/>
      <w:numFmt w:val="chineseCounting"/>
      <w:suff w:val="nothing"/>
      <w:lvlText w:val="%1、"/>
      <w:lvlJc w:val="left"/>
      <w:pPr>
        <w:ind w:left="98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04B5236"/>
    <w:rsid w:val="006705BB"/>
    <w:rsid w:val="00760BB8"/>
    <w:rsid w:val="01340F75"/>
    <w:rsid w:val="03FE7F0E"/>
    <w:rsid w:val="098217C0"/>
    <w:rsid w:val="0E980DC7"/>
    <w:rsid w:val="179B676B"/>
    <w:rsid w:val="1A3612C2"/>
    <w:rsid w:val="1A442465"/>
    <w:rsid w:val="1C95233E"/>
    <w:rsid w:val="1CFB22BC"/>
    <w:rsid w:val="21596E50"/>
    <w:rsid w:val="2A054FEB"/>
    <w:rsid w:val="2DE7389C"/>
    <w:rsid w:val="31360C98"/>
    <w:rsid w:val="31A53EED"/>
    <w:rsid w:val="3AE222C5"/>
    <w:rsid w:val="3DDC6AB6"/>
    <w:rsid w:val="419008B3"/>
    <w:rsid w:val="431F2A51"/>
    <w:rsid w:val="45853A10"/>
    <w:rsid w:val="465A6478"/>
    <w:rsid w:val="466469F0"/>
    <w:rsid w:val="49211A48"/>
    <w:rsid w:val="51071F09"/>
    <w:rsid w:val="55F20DD5"/>
    <w:rsid w:val="62763A6A"/>
    <w:rsid w:val="6B6E45D7"/>
    <w:rsid w:val="6BC52739"/>
    <w:rsid w:val="71B05EDF"/>
    <w:rsid w:val="763C3B43"/>
    <w:rsid w:val="768870B2"/>
    <w:rsid w:val="79206087"/>
    <w:rsid w:val="7BC22F3A"/>
    <w:rsid w:val="7CD6436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20"/>
    <w:qFormat/>
    <w:uiPriority w:val="0"/>
    <w:pPr>
      <w:tabs>
        <w:tab w:val="center" w:pos="4153"/>
        <w:tab w:val="right" w:pos="8306"/>
      </w:tabs>
      <w:snapToGrid w:val="0"/>
      <w:jc w:val="left"/>
    </w:pPr>
    <w:rPr>
      <w:sz w:val="18"/>
      <w:szCs w:val="18"/>
    </w:rPr>
  </w:style>
  <w:style w:type="paragraph" w:styleId="3">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 w:type="character" w:styleId="7">
    <w:name w:val="FollowedHyperlink"/>
    <w:basedOn w:val="5"/>
    <w:qFormat/>
    <w:uiPriority w:val="0"/>
    <w:rPr>
      <w:color w:val="333333"/>
      <w:sz w:val="18"/>
      <w:szCs w:val="18"/>
      <w:u w:val="none"/>
    </w:rPr>
  </w:style>
  <w:style w:type="character" w:styleId="8">
    <w:name w:val="Emphasis"/>
    <w:basedOn w:val="5"/>
    <w:qFormat/>
    <w:uiPriority w:val="0"/>
    <w:rPr>
      <w:i/>
    </w:rPr>
  </w:style>
  <w:style w:type="character" w:styleId="9">
    <w:name w:val="Hyperlink"/>
    <w:basedOn w:val="5"/>
    <w:qFormat/>
    <w:uiPriority w:val="0"/>
    <w:rPr>
      <w:color w:val="333333"/>
      <w:sz w:val="18"/>
      <w:szCs w:val="18"/>
      <w:u w:val="none"/>
    </w:rPr>
  </w:style>
  <w:style w:type="character" w:customStyle="1" w:styleId="11">
    <w:name w:val="laiy"/>
    <w:basedOn w:val="5"/>
    <w:qFormat/>
    <w:uiPriority w:val="0"/>
  </w:style>
  <w:style w:type="character" w:customStyle="1" w:styleId="12">
    <w:name w:val="zuoz"/>
    <w:basedOn w:val="5"/>
    <w:qFormat/>
    <w:uiPriority w:val="0"/>
  </w:style>
  <w:style w:type="character" w:customStyle="1" w:styleId="13">
    <w:name w:val="update"/>
    <w:basedOn w:val="5"/>
    <w:qFormat/>
    <w:uiPriority w:val="0"/>
  </w:style>
  <w:style w:type="character" w:customStyle="1" w:styleId="14">
    <w:name w:val="hot1"/>
    <w:basedOn w:val="5"/>
    <w:qFormat/>
    <w:uiPriority w:val="0"/>
  </w:style>
  <w:style w:type="character" w:customStyle="1" w:styleId="15">
    <w:name w:val="td12"/>
    <w:basedOn w:val="5"/>
    <w:qFormat/>
    <w:uiPriority w:val="0"/>
    <w:rPr>
      <w:rFonts w:ascii="Arial" w:hAnsi="Arial" w:cs="Arial"/>
      <w:color w:val="FFFFFF"/>
      <w:sz w:val="16"/>
      <w:szCs w:val="16"/>
    </w:rPr>
  </w:style>
  <w:style w:type="character" w:customStyle="1" w:styleId="16">
    <w:name w:val="td22"/>
    <w:basedOn w:val="5"/>
    <w:qFormat/>
    <w:uiPriority w:val="0"/>
  </w:style>
  <w:style w:type="character" w:customStyle="1" w:styleId="17">
    <w:name w:val="td32"/>
    <w:basedOn w:val="5"/>
    <w:qFormat/>
    <w:uiPriority w:val="0"/>
  </w:style>
  <w:style w:type="character" w:customStyle="1" w:styleId="18">
    <w:name w:val="home"/>
    <w:basedOn w:val="5"/>
    <w:qFormat/>
    <w:uiPriority w:val="0"/>
  </w:style>
  <w:style w:type="character" w:customStyle="1" w:styleId="19">
    <w:name w:val="页眉 Char"/>
    <w:basedOn w:val="5"/>
    <w:link w:val="3"/>
    <w:qFormat/>
    <w:uiPriority w:val="0"/>
    <w:rPr>
      <w:rFonts w:asciiTheme="minorHAnsi" w:hAnsiTheme="minorHAnsi" w:eastAsiaTheme="minorEastAsia" w:cstheme="minorBidi"/>
      <w:kern w:val="2"/>
      <w:sz w:val="18"/>
      <w:szCs w:val="18"/>
    </w:rPr>
  </w:style>
  <w:style w:type="character" w:customStyle="1" w:styleId="20">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524</Words>
  <Characters>2993</Characters>
  <Lines>24</Lines>
  <Paragraphs>7</Paragraphs>
  <TotalTime>318</TotalTime>
  <ScaleCrop>false</ScaleCrop>
  <LinksUpToDate>false</LinksUpToDate>
  <CharactersWithSpaces>3510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2019-08-28T01:05:00Z</dcterms:created>
  <dc:creator>tianlinyu</dc:creator>
  <cp:lastModifiedBy>八月桂花香</cp:lastModifiedBy>
  <dcterms:modified xsi:type="dcterms:W3CDTF">2019-09-19T06:32:08Z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