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lang w:val="en-US" w:eastAsia="zh-CN"/>
        </w:rPr>
        <w:t>201</w:t>
      </w:r>
      <w:r>
        <w:rPr>
          <w:rFonts w:hint="eastAsia" w:asciiTheme="minorEastAsia" w:hAnsi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lang w:val="en-US" w:eastAsia="zh-CN"/>
        </w:rPr>
        <w:t xml:space="preserve">年度 </w:t>
      </w:r>
      <w:r>
        <w:rPr>
          <w:rFonts w:hint="eastAsia" w:asciiTheme="minorEastAsia" w:hAnsiTheme="minorEastAsia" w:cstheme="minorEastAsia"/>
          <w:b/>
          <w:color w:val="auto"/>
          <w:sz w:val="28"/>
          <w:szCs w:val="28"/>
          <w:lang w:val="en-US" w:eastAsia="zh-CN"/>
        </w:rPr>
        <w:t>农研所</w:t>
      </w:r>
      <w:r>
        <w:rPr>
          <w:rFonts w:hint="eastAsia" w:asciiTheme="minorEastAsia" w:hAnsiTheme="minorEastAsia" w:eastAsiaTheme="minorEastAsia" w:cstheme="minorEastAsia"/>
          <w:b/>
          <w:color w:val="auto"/>
          <w:sz w:val="28"/>
          <w:szCs w:val="28"/>
          <w:lang w:val="en-US" w:eastAsia="zh-CN"/>
        </w:rPr>
        <w:t>决算文字说明</w:t>
      </w:r>
    </w:p>
    <w:p>
      <w:pPr>
        <w:pStyle w:val="4"/>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第一部分 部门概况</w:t>
      </w:r>
      <w:r>
        <w:rPr>
          <w:rFonts w:hint="eastAsia" w:asciiTheme="minorEastAsia" w:hAnsiTheme="minorEastAsia" w:eastAsiaTheme="minorEastAsia" w:cstheme="minorEastAsia"/>
          <w:color w:val="auto"/>
          <w:sz w:val="28"/>
          <w:szCs w:val="28"/>
        </w:rPr>
        <w:t> </w:t>
      </w:r>
    </w:p>
    <w:p>
      <w:pPr>
        <w:pStyle w:val="4"/>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一、主要职能</w:t>
      </w:r>
    </w:p>
    <w:p>
      <w:pPr>
        <w:pStyle w:val="4"/>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shd w:val="clear" w:fill="FFFFFF"/>
        </w:rPr>
        <w:t>  （一）</w:t>
      </w: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eastAsiaTheme="minorEastAsia" w:cstheme="minorEastAsia"/>
          <w:color w:val="auto"/>
          <w:sz w:val="28"/>
          <w:szCs w:val="28"/>
        </w:rPr>
        <w:t>围绕全县新型农业现代化建设，面向农业、农村及农民的实际要求，着力突破关键技术和共性技术，加大农业科技服务力度</w:t>
      </w:r>
      <w:r>
        <w:rPr>
          <w:rFonts w:hint="eastAsia" w:asciiTheme="minorEastAsia" w:hAnsiTheme="minorEastAsia" w:eastAsiaTheme="minorEastAsia" w:cstheme="minorEastAsia"/>
          <w:color w:val="auto"/>
          <w:sz w:val="28"/>
          <w:szCs w:val="28"/>
          <w:shd w:val="clear" w:fill="FFFFFF"/>
        </w:rPr>
        <w:t>；</w:t>
      </w:r>
    </w:p>
    <w:p>
      <w:pPr>
        <w:pStyle w:val="4"/>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shd w:val="clear" w:fill="FFFFFF"/>
        </w:rPr>
        <w:t>  （二）</w:t>
      </w:r>
      <w:r>
        <w:rPr>
          <w:rFonts w:hint="eastAsia" w:asciiTheme="minorEastAsia" w:hAnsiTheme="minorEastAsia" w:eastAsiaTheme="minorEastAsia" w:cstheme="minorEastAsia"/>
          <w:color w:val="auto"/>
          <w:sz w:val="28"/>
          <w:szCs w:val="28"/>
        </w:rPr>
        <w:t>通过建立现代化农业科技示范园区，加强优良农药、化肥的田间试验示范和优良农作物新品种培育和推广</w:t>
      </w: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eastAsiaTheme="minorEastAsia" w:cstheme="minorEastAsia"/>
          <w:color w:val="auto"/>
          <w:sz w:val="28"/>
          <w:szCs w:val="28"/>
          <w:shd w:val="clear" w:fill="FFFFFF"/>
        </w:rPr>
        <w:t>；</w:t>
      </w:r>
      <w:r>
        <w:rPr>
          <w:rFonts w:hint="eastAsia" w:asciiTheme="minorEastAsia" w:hAnsiTheme="minorEastAsia" w:eastAsiaTheme="minorEastAsia" w:cstheme="minorEastAsia"/>
          <w:color w:val="auto"/>
          <w:sz w:val="28"/>
          <w:szCs w:val="28"/>
          <w:shd w:val="clear" w:fill="FFFFFF"/>
        </w:rPr>
        <w:br w:type="textWrapping"/>
      </w:r>
      <w:r>
        <w:rPr>
          <w:rFonts w:hint="eastAsia" w:asciiTheme="minorEastAsia" w:hAnsiTheme="minorEastAsia" w:eastAsiaTheme="minorEastAsia" w:cstheme="minorEastAsia"/>
          <w:color w:val="auto"/>
          <w:sz w:val="28"/>
          <w:szCs w:val="28"/>
          <w:shd w:val="clear" w:fill="FFFFFF"/>
        </w:rPr>
        <w:t>  （三）</w:t>
      </w:r>
      <w:r>
        <w:rPr>
          <w:rFonts w:hint="eastAsia" w:asciiTheme="minorEastAsia" w:hAnsiTheme="minorEastAsia" w:eastAsiaTheme="minorEastAsia" w:cstheme="minorEastAsia"/>
          <w:color w:val="auto"/>
          <w:sz w:val="28"/>
          <w:szCs w:val="28"/>
          <w:shd w:val="clear" w:fill="FFFFFF"/>
          <w:lang w:val="en-US" w:eastAsia="zh-CN"/>
        </w:rPr>
        <w:t xml:space="preserve"> </w:t>
      </w:r>
      <w:r>
        <w:rPr>
          <w:rFonts w:hint="eastAsia" w:asciiTheme="minorEastAsia" w:hAnsiTheme="minorEastAsia" w:eastAsiaTheme="minorEastAsia" w:cstheme="minorEastAsia"/>
          <w:color w:val="auto"/>
          <w:sz w:val="28"/>
          <w:szCs w:val="28"/>
        </w:rPr>
        <w:t>大力研究农业生产中急需的先进适用技术，使农业科技与农民紧密衔接，促进农民增收、农业增收</w:t>
      </w:r>
      <w:r>
        <w:rPr>
          <w:rFonts w:hint="eastAsia" w:asciiTheme="minorEastAsia" w:hAnsiTheme="minorEastAsia" w:eastAsiaTheme="minorEastAsia" w:cstheme="minorEastAsia"/>
          <w:color w:val="auto"/>
          <w:sz w:val="28"/>
          <w:szCs w:val="28"/>
          <w:shd w:val="clear" w:fill="FFFFFF"/>
        </w:rPr>
        <w:t>；</w:t>
      </w:r>
    </w:p>
    <w:p>
      <w:pPr>
        <w:pStyle w:val="4"/>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shd w:val="clear" w:fill="FFFFFF"/>
        </w:rPr>
        <w:t>（四） </w:t>
      </w:r>
      <w:r>
        <w:rPr>
          <w:rFonts w:hint="eastAsia" w:asciiTheme="minorEastAsia" w:hAnsiTheme="minorEastAsia" w:cstheme="minorEastAsia"/>
          <w:color w:val="auto"/>
          <w:sz w:val="28"/>
          <w:szCs w:val="28"/>
          <w:shd w:val="clear" w:fill="FFFFFF"/>
          <w:lang w:eastAsia="zh-CN"/>
        </w:rPr>
        <w:t>完成县里和主管局交待的各项事项</w:t>
      </w:r>
      <w:r>
        <w:rPr>
          <w:rFonts w:hint="eastAsia" w:asciiTheme="minorEastAsia" w:hAnsiTheme="minorEastAsia" w:eastAsiaTheme="minorEastAsia" w:cstheme="minorEastAsia"/>
          <w:color w:val="auto"/>
          <w:sz w:val="28"/>
          <w:szCs w:val="28"/>
          <w:shd w:val="clear" w:fill="FFFFFF"/>
          <w:lang w:eastAsia="zh-CN"/>
        </w:rPr>
        <w:t>。</w:t>
      </w:r>
      <w:r>
        <w:rPr>
          <w:rFonts w:hint="eastAsia" w:asciiTheme="minorEastAsia" w:hAnsiTheme="minorEastAsia" w:eastAsiaTheme="minorEastAsia" w:cstheme="minorEastAsia"/>
          <w:color w:val="auto"/>
          <w:sz w:val="28"/>
          <w:szCs w:val="28"/>
          <w:shd w:val="clear" w:fill="FFFFFF"/>
        </w:rPr>
        <w:t> </w:t>
      </w:r>
    </w:p>
    <w:p>
      <w:pPr>
        <w:pStyle w:val="4"/>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二、机构设置及部门决算单位构成</w:t>
      </w:r>
    </w:p>
    <w:p>
      <w:pPr>
        <w:pStyle w:val="4"/>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为</w:t>
      </w:r>
      <w:r>
        <w:rPr>
          <w:rFonts w:hint="eastAsia" w:asciiTheme="minorEastAsia" w:hAnsiTheme="minorEastAsia" w:eastAsiaTheme="minorEastAsia" w:cstheme="minorEastAsia"/>
          <w:color w:val="auto"/>
          <w:sz w:val="28"/>
          <w:szCs w:val="28"/>
          <w:lang w:eastAsia="zh-CN"/>
        </w:rPr>
        <w:t>差额事业</w:t>
      </w:r>
      <w:r>
        <w:rPr>
          <w:rFonts w:hint="eastAsia" w:asciiTheme="minorEastAsia" w:hAnsiTheme="minorEastAsia" w:eastAsiaTheme="minorEastAsia" w:cstheme="minorEastAsia"/>
          <w:color w:val="auto"/>
          <w:sz w:val="28"/>
          <w:szCs w:val="28"/>
        </w:rPr>
        <w:t>单位，</w:t>
      </w:r>
      <w:r>
        <w:rPr>
          <w:rFonts w:hint="eastAsia" w:asciiTheme="minorEastAsia" w:hAnsiTheme="minorEastAsia" w:eastAsiaTheme="minorEastAsia" w:cstheme="minorEastAsia"/>
          <w:color w:val="auto"/>
          <w:sz w:val="28"/>
          <w:szCs w:val="28"/>
        </w:rPr>
        <w:t>我单位</w:t>
      </w:r>
      <w:r>
        <w:rPr>
          <w:rFonts w:hint="eastAsia" w:asciiTheme="minorEastAsia" w:hAnsiTheme="minorEastAsia" w:eastAsiaTheme="minorEastAsia" w:cstheme="minorEastAsia"/>
          <w:color w:val="auto"/>
          <w:sz w:val="28"/>
          <w:szCs w:val="28"/>
          <w:lang w:eastAsia="zh-CN"/>
        </w:rPr>
        <w:t>是差额拨款事业单位，</w:t>
      </w:r>
      <w:r>
        <w:rPr>
          <w:rFonts w:hint="eastAsia" w:asciiTheme="minorEastAsia" w:hAnsiTheme="minorEastAsia" w:eastAsiaTheme="minorEastAsia" w:cstheme="minorEastAsia"/>
          <w:color w:val="auto"/>
          <w:sz w:val="28"/>
          <w:szCs w:val="28"/>
        </w:rPr>
        <w:t>为一级预算单位。</w:t>
      </w:r>
      <w:r>
        <w:rPr>
          <w:rFonts w:hint="eastAsia" w:asciiTheme="minorEastAsia" w:hAnsiTheme="minorEastAsia" w:cstheme="minorEastAsia"/>
          <w:color w:val="auto"/>
          <w:sz w:val="28"/>
          <w:szCs w:val="28"/>
          <w:lang w:eastAsia="zh-CN"/>
        </w:rPr>
        <w:t>内设专业技术室、办公室两个科室。</w:t>
      </w:r>
    </w:p>
    <w:p>
      <w:pPr>
        <w:pStyle w:val="4"/>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三、人员构成</w:t>
      </w:r>
    </w:p>
    <w:p>
      <w:pPr>
        <w:pStyle w:val="4"/>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w:t>
      </w:r>
      <w:r>
        <w:rPr>
          <w:rFonts w:hint="eastAsia" w:ascii="宋体" w:hAnsi="宋体" w:eastAsia="宋体" w:cs="宋体"/>
          <w:color w:val="auto"/>
          <w:sz w:val="28"/>
          <w:szCs w:val="28"/>
          <w:lang w:eastAsia="zh-CN"/>
        </w:rPr>
        <w:t>事业</w:t>
      </w:r>
      <w:r>
        <w:rPr>
          <w:rFonts w:hint="eastAsia" w:ascii="宋体" w:hAnsi="宋体" w:eastAsia="宋体" w:cs="宋体"/>
          <w:color w:val="auto"/>
          <w:sz w:val="28"/>
          <w:szCs w:val="28"/>
        </w:rPr>
        <w:t>单位编制数</w:t>
      </w:r>
      <w:r>
        <w:rPr>
          <w:rFonts w:hint="eastAsia" w:ascii="宋体" w:hAnsi="宋体" w:eastAsia="宋体" w:cs="宋体"/>
          <w:color w:val="auto"/>
          <w:sz w:val="28"/>
          <w:szCs w:val="28"/>
          <w:lang w:val="en-US" w:eastAsia="zh-CN"/>
        </w:rPr>
        <w:t xml:space="preserve"> 14</w:t>
      </w:r>
      <w:r>
        <w:rPr>
          <w:rFonts w:hint="eastAsia" w:ascii="宋体" w:hAnsi="宋体" w:eastAsia="宋体" w:cs="宋体"/>
          <w:color w:val="auto"/>
          <w:sz w:val="28"/>
          <w:szCs w:val="28"/>
        </w:rPr>
        <w:t>个，</w:t>
      </w:r>
      <w:r>
        <w:rPr>
          <w:rFonts w:hint="eastAsia" w:asciiTheme="minorEastAsia" w:hAnsiTheme="minorEastAsia" w:eastAsiaTheme="minorEastAsia" w:cstheme="minorEastAsia"/>
          <w:color w:val="auto"/>
          <w:sz w:val="28"/>
          <w:szCs w:val="28"/>
        </w:rPr>
        <w:t>有差额编制</w:t>
      </w:r>
      <w:r>
        <w:rPr>
          <w:rFonts w:hint="eastAsia" w:asciiTheme="minorEastAsia" w:hAnsiTheme="minorEastAsia" w:cstheme="minorEastAsia"/>
          <w:color w:val="auto"/>
          <w:sz w:val="28"/>
          <w:szCs w:val="28"/>
          <w:lang w:eastAsia="zh-CN"/>
        </w:rPr>
        <w:t>在岗</w:t>
      </w:r>
      <w:r>
        <w:rPr>
          <w:rFonts w:hint="eastAsia" w:asciiTheme="minorEastAsia" w:hAnsiTheme="minorEastAsia" w:eastAsiaTheme="minorEastAsia" w:cstheme="minorEastAsia"/>
          <w:color w:val="auto"/>
          <w:sz w:val="28"/>
          <w:szCs w:val="28"/>
        </w:rPr>
        <w:t>职工1</w:t>
      </w:r>
      <w:r>
        <w:rPr>
          <w:rFonts w:hint="eastAsia" w:asciiTheme="minorEastAsia" w:hAnsi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人，其中：专业技术人员</w:t>
      </w:r>
      <w:r>
        <w:rPr>
          <w:rFonts w:hint="eastAsia" w:asciiTheme="minorEastAsia" w:hAnsi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人（副高级1 人、中级</w:t>
      </w:r>
      <w:r>
        <w:rPr>
          <w:rFonts w:hint="eastAsia" w:asciiTheme="minorEastAsia" w:hAnsi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人），技术工人7人（技师</w:t>
      </w:r>
      <w:r>
        <w:rPr>
          <w:rFonts w:hint="eastAsia" w:asciiTheme="minorEastAsia" w:hAnsiTheme="minorEastAsia" w:cstheme="minorEastAsia"/>
          <w:color w:val="auto"/>
          <w:sz w:val="28"/>
          <w:szCs w:val="28"/>
          <w:lang w:val="en-US" w:eastAsia="zh-CN"/>
        </w:rPr>
        <w:t>6</w:t>
      </w:r>
      <w:r>
        <w:rPr>
          <w:rFonts w:hint="eastAsia" w:asciiTheme="minorEastAsia" w:hAnsiTheme="minorEastAsia" w:eastAsiaTheme="minorEastAsia" w:cstheme="minorEastAsia"/>
          <w:color w:val="auto"/>
          <w:sz w:val="28"/>
          <w:szCs w:val="28"/>
        </w:rPr>
        <w:t>人、高级工</w:t>
      </w:r>
      <w:r>
        <w:rPr>
          <w:rFonts w:hint="eastAsia" w:asciiTheme="minorEastAsia" w:hAnsi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人），普工1人，遗属</w:t>
      </w: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人。</w:t>
      </w:r>
    </w:p>
    <w:p>
      <w:pPr>
        <w:pStyle w:val="4"/>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第</w:t>
      </w:r>
      <w:r>
        <w:rPr>
          <w:rFonts w:hint="eastAsia" w:asciiTheme="minorEastAsia" w:hAnsiTheme="minorEastAsia" w:eastAsiaTheme="minorEastAsia" w:cstheme="minorEastAsia"/>
          <w:b/>
          <w:color w:val="auto"/>
          <w:sz w:val="28"/>
          <w:szCs w:val="28"/>
          <w:lang w:eastAsia="zh-CN"/>
        </w:rPr>
        <w:t>二</w:t>
      </w:r>
      <w:r>
        <w:rPr>
          <w:rFonts w:hint="eastAsia" w:asciiTheme="minorEastAsia" w:hAnsiTheme="minorEastAsia" w:eastAsiaTheme="minorEastAsia" w:cstheme="minorEastAsia"/>
          <w:b/>
          <w:color w:val="auto"/>
          <w:sz w:val="28"/>
          <w:szCs w:val="28"/>
        </w:rPr>
        <w:t>部分201</w:t>
      </w:r>
      <w:r>
        <w:rPr>
          <w:rFonts w:hint="eastAsia" w:asciiTheme="minorEastAsia" w:hAnsi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rPr>
        <w:t>年度部门决算情况说明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一、201</w:t>
      </w: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年度收入支出决算总体情况说明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年度收入总计</w:t>
      </w:r>
      <w:r>
        <w:rPr>
          <w:rFonts w:hint="eastAsia" w:asciiTheme="minorEastAsia" w:hAnsiTheme="minorEastAsia" w:cstheme="minorEastAsia"/>
          <w:i w:val="0"/>
          <w:caps w:val="0"/>
          <w:color w:val="auto"/>
          <w:spacing w:val="0"/>
          <w:sz w:val="28"/>
          <w:szCs w:val="28"/>
          <w:shd w:val="clear" w:fill="FFFFFF"/>
          <w:vertAlign w:val="baseline"/>
          <w:lang w:val="en-US" w:eastAsia="zh-CN"/>
        </w:rPr>
        <w:t>83.52</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万元，支出总计</w:t>
      </w:r>
      <w:r>
        <w:rPr>
          <w:rFonts w:hint="eastAsia" w:asciiTheme="minorEastAsia" w:hAnsiTheme="minorEastAsia" w:cstheme="minorEastAsia"/>
          <w:i w:val="0"/>
          <w:caps w:val="0"/>
          <w:color w:val="auto"/>
          <w:spacing w:val="0"/>
          <w:sz w:val="28"/>
          <w:szCs w:val="28"/>
          <w:shd w:val="clear" w:fill="FFFFFF"/>
          <w:vertAlign w:val="baseline"/>
          <w:lang w:val="en-US" w:eastAsia="zh-CN"/>
        </w:rPr>
        <w:t>83.52</w:t>
      </w:r>
      <w:r>
        <w:rPr>
          <w:rFonts w:hint="eastAsia" w:asciiTheme="minorEastAsia" w:hAnsiTheme="minorEastAsia" w:eastAsiaTheme="minorEastAsia" w:cstheme="minorEastAsia"/>
          <w:i w:val="0"/>
          <w:caps w:val="0"/>
          <w:color w:val="auto"/>
          <w:spacing w:val="0"/>
          <w:sz w:val="28"/>
          <w:szCs w:val="28"/>
          <w:shd w:val="clear" w:fill="FFFFFF"/>
          <w:vertAlign w:val="baseline"/>
        </w:rPr>
        <w:t>万元，与</w:t>
      </w:r>
      <w:r>
        <w:rPr>
          <w:rFonts w:hint="eastAsia" w:asciiTheme="minorEastAsia" w:hAnsiTheme="minorEastAsia" w:cstheme="minorEastAsia"/>
          <w:i w:val="0"/>
          <w:caps w:val="0"/>
          <w:color w:val="auto"/>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auto"/>
          <w:spacing w:val="0"/>
          <w:sz w:val="28"/>
          <w:szCs w:val="28"/>
          <w:shd w:val="clear" w:fill="FFFFFF"/>
          <w:vertAlign w:val="baseline"/>
        </w:rPr>
        <w:t>相比，收入总计增加</w:t>
      </w:r>
      <w:r>
        <w:rPr>
          <w:rFonts w:hint="eastAsia" w:asciiTheme="minorEastAsia" w:hAnsiTheme="minorEastAsia" w:cstheme="minorEastAsia"/>
          <w:i w:val="0"/>
          <w:caps w:val="0"/>
          <w:color w:val="auto"/>
          <w:spacing w:val="0"/>
          <w:sz w:val="28"/>
          <w:szCs w:val="28"/>
          <w:shd w:val="clear" w:fill="FFFFFF"/>
          <w:vertAlign w:val="baseline"/>
          <w:lang w:val="en-US" w:eastAsia="zh-CN"/>
        </w:rPr>
        <w:t>4.83</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5 </w:t>
      </w:r>
      <w:r>
        <w:rPr>
          <w:rFonts w:hint="eastAsia" w:asciiTheme="minorEastAsia" w:hAnsiTheme="minorEastAsia" w:eastAsiaTheme="minorEastAsia" w:cstheme="minorEastAsia"/>
          <w:i w:val="0"/>
          <w:caps w:val="0"/>
          <w:color w:val="auto"/>
          <w:spacing w:val="0"/>
          <w:sz w:val="28"/>
          <w:szCs w:val="28"/>
          <w:shd w:val="clear" w:fill="FFFFFF"/>
          <w:vertAlign w:val="baseline"/>
        </w:rPr>
        <w:t>%；支出总计增加</w:t>
      </w:r>
      <w:r>
        <w:rPr>
          <w:rFonts w:hint="eastAsia" w:asciiTheme="minorEastAsia" w:hAnsiTheme="minorEastAsia" w:cstheme="minorEastAsia"/>
          <w:i w:val="0"/>
          <w:caps w:val="0"/>
          <w:color w:val="auto"/>
          <w:spacing w:val="0"/>
          <w:sz w:val="28"/>
          <w:szCs w:val="28"/>
          <w:shd w:val="clear" w:fill="FFFFFF"/>
          <w:vertAlign w:val="baseline"/>
          <w:lang w:val="en-US" w:eastAsia="zh-CN"/>
        </w:rPr>
        <w:t>4.83</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5 </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二、 201</w:t>
      </w: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年度收入决算情况说明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本年收入合计</w:t>
      </w:r>
      <w:r>
        <w:rPr>
          <w:rFonts w:hint="eastAsia" w:asciiTheme="minorEastAsia" w:hAnsiTheme="minorEastAsia" w:cstheme="minorEastAsia"/>
          <w:i w:val="0"/>
          <w:caps w:val="0"/>
          <w:color w:val="auto"/>
          <w:spacing w:val="0"/>
          <w:sz w:val="28"/>
          <w:szCs w:val="28"/>
          <w:shd w:val="clear" w:fill="FFFFFF"/>
          <w:vertAlign w:val="baseline"/>
          <w:lang w:val="en-US" w:eastAsia="zh-CN"/>
        </w:rPr>
        <w:t>83.52</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万元，其中：财政拨款收入</w:t>
      </w:r>
      <w:r>
        <w:rPr>
          <w:rFonts w:hint="eastAsia" w:asciiTheme="minorEastAsia" w:hAnsiTheme="minorEastAsia" w:cstheme="minorEastAsia"/>
          <w:i w:val="0"/>
          <w:caps w:val="0"/>
          <w:color w:val="auto"/>
          <w:spacing w:val="0"/>
          <w:sz w:val="28"/>
          <w:szCs w:val="28"/>
          <w:shd w:val="clear" w:fill="FFFFFF"/>
          <w:vertAlign w:val="baseline"/>
          <w:lang w:val="en-US" w:eastAsia="zh-CN"/>
        </w:rPr>
        <w:t>83.52</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三、201</w:t>
      </w: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年度支出决算情况说明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Fonts w:hint="eastAsia" w:asciiTheme="minorEastAsia" w:hAnsiTheme="minorEastAsia" w:eastAsiaTheme="minorEastAsia" w:cstheme="minorEastAsia"/>
          <w:i w:val="0"/>
          <w:caps w:val="0"/>
          <w:color w:val="auto"/>
          <w:spacing w:val="0"/>
          <w:sz w:val="28"/>
          <w:szCs w:val="28"/>
          <w:shd w:val="clear" w:fill="FFFFFF"/>
          <w:vertAlign w:val="baseline"/>
        </w:rPr>
        <w:t>本年支出合计</w:t>
      </w:r>
      <w:r>
        <w:rPr>
          <w:rFonts w:hint="eastAsia" w:asciiTheme="minorEastAsia" w:hAnsiTheme="minorEastAsia" w:cstheme="minorEastAsia"/>
          <w:i w:val="0"/>
          <w:caps w:val="0"/>
          <w:color w:val="auto"/>
          <w:spacing w:val="0"/>
          <w:sz w:val="28"/>
          <w:szCs w:val="28"/>
          <w:shd w:val="clear" w:fill="FFFFFF"/>
          <w:vertAlign w:val="baseline"/>
          <w:lang w:val="en-US" w:eastAsia="zh-CN"/>
        </w:rPr>
        <w:t>82.15</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万元，其中：基本支出</w:t>
      </w:r>
      <w:r>
        <w:rPr>
          <w:rFonts w:hint="eastAsia" w:asciiTheme="minorEastAsia" w:hAnsiTheme="minorEastAsia" w:cstheme="minorEastAsia"/>
          <w:i w:val="0"/>
          <w:caps w:val="0"/>
          <w:color w:val="auto"/>
          <w:spacing w:val="0"/>
          <w:sz w:val="28"/>
          <w:szCs w:val="28"/>
          <w:shd w:val="clear" w:fill="FFFFFF"/>
          <w:vertAlign w:val="baseline"/>
          <w:lang w:val="en-US" w:eastAsia="zh-CN"/>
        </w:rPr>
        <w:t>81.79</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99.56</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Fonts w:hint="eastAsia" w:asciiTheme="minorEastAsia" w:hAnsiTheme="minorEastAsia" w:cstheme="minorEastAsia"/>
          <w:i w:val="0"/>
          <w:caps w:val="0"/>
          <w:color w:val="auto"/>
          <w:spacing w:val="0"/>
          <w:sz w:val="28"/>
          <w:szCs w:val="28"/>
          <w:shd w:val="clear" w:fill="FFFFFF"/>
          <w:vertAlign w:val="baseline"/>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四、201</w:t>
      </w: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年度财政拨款收入支出决算总体情况说明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年度财政拨款收入</w:t>
      </w:r>
      <w:r>
        <w:rPr>
          <w:rFonts w:hint="eastAsia" w:asciiTheme="minorEastAsia" w:hAnsiTheme="minorEastAsia" w:cstheme="minorEastAsia"/>
          <w:i w:val="0"/>
          <w:caps w:val="0"/>
          <w:color w:val="auto"/>
          <w:spacing w:val="0"/>
          <w:sz w:val="28"/>
          <w:szCs w:val="28"/>
          <w:shd w:val="clear" w:fill="FFFFFF"/>
          <w:vertAlign w:val="baseline"/>
          <w:lang w:val="en-US" w:eastAsia="zh-CN"/>
        </w:rPr>
        <w:t>83.52</w:t>
      </w:r>
      <w:r>
        <w:rPr>
          <w:rFonts w:hint="eastAsia" w:asciiTheme="minorEastAsia" w:hAnsiTheme="minorEastAsia" w:eastAsiaTheme="minorEastAsia" w:cstheme="minorEastAsia"/>
          <w:i w:val="0"/>
          <w:caps w:val="0"/>
          <w:color w:val="auto"/>
          <w:spacing w:val="0"/>
          <w:sz w:val="28"/>
          <w:szCs w:val="28"/>
          <w:shd w:val="clear" w:fill="FFFFFF"/>
          <w:vertAlign w:val="baseline"/>
        </w:rPr>
        <w:t>万元，与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年相比，增加</w:t>
      </w:r>
      <w:r>
        <w:rPr>
          <w:rFonts w:hint="eastAsia" w:asciiTheme="minorEastAsia" w:hAnsiTheme="minorEastAsia" w:cstheme="minorEastAsia"/>
          <w:i w:val="0"/>
          <w:caps w:val="0"/>
          <w:color w:val="auto"/>
          <w:spacing w:val="0"/>
          <w:sz w:val="28"/>
          <w:szCs w:val="28"/>
          <w:shd w:val="clear" w:fill="FFFFFF"/>
          <w:vertAlign w:val="baseline"/>
          <w:lang w:val="en-US" w:eastAsia="zh-CN"/>
        </w:rPr>
        <w:t>4.83</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83.52</w:t>
      </w:r>
      <w:r>
        <w:rPr>
          <w:rFonts w:hint="eastAsia" w:asciiTheme="minorEastAsia" w:hAnsiTheme="minorEastAsia" w:eastAsiaTheme="minorEastAsia" w:cstheme="minorEastAsia"/>
          <w:i w:val="0"/>
          <w:caps w:val="0"/>
          <w:color w:val="auto"/>
          <w:spacing w:val="0"/>
          <w:sz w:val="28"/>
          <w:szCs w:val="28"/>
          <w:shd w:val="clear" w:fill="FFFFFF"/>
          <w:vertAlign w:val="baseline"/>
        </w:rPr>
        <w:t>万元，与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年相比，增加</w:t>
      </w:r>
      <w:r>
        <w:rPr>
          <w:rFonts w:hint="eastAsia" w:asciiTheme="minorEastAsia" w:hAnsiTheme="minorEastAsia" w:cstheme="minorEastAsia"/>
          <w:i w:val="0"/>
          <w:caps w:val="0"/>
          <w:color w:val="auto"/>
          <w:spacing w:val="0"/>
          <w:sz w:val="28"/>
          <w:szCs w:val="28"/>
          <w:shd w:val="clear" w:fill="FFFFFF"/>
          <w:vertAlign w:val="baseline"/>
          <w:lang w:val="en-US" w:eastAsia="zh-CN"/>
        </w:rPr>
        <w:t>4.83</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5 </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五、201</w:t>
      </w: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（一）财政拨款支出决算总体情况。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82.15</w:t>
      </w:r>
      <w:r>
        <w:rPr>
          <w:rFonts w:hint="eastAsia" w:asciiTheme="minorEastAsia" w:hAnsiTheme="minorEastAsia" w:eastAsiaTheme="minorEastAsia" w:cstheme="minorEastAsia"/>
          <w:i w:val="0"/>
          <w:caps w:val="0"/>
          <w:color w:val="auto"/>
          <w:spacing w:val="0"/>
          <w:sz w:val="28"/>
          <w:szCs w:val="28"/>
          <w:shd w:val="clear" w:fill="FFFFFF"/>
          <w:vertAlign w:val="baseline"/>
        </w:rPr>
        <w:t>万元，占本年支出合计的</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auto"/>
          <w:spacing w:val="0"/>
          <w:sz w:val="28"/>
          <w:szCs w:val="28"/>
          <w:shd w:val="clear" w:fill="FFFFFF"/>
          <w:vertAlign w:val="baseline"/>
        </w:rPr>
        <w:t>%。与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年相比，财政拨款支出增加</w:t>
      </w:r>
      <w:r>
        <w:rPr>
          <w:rFonts w:hint="eastAsia" w:asciiTheme="minorEastAsia" w:hAnsiTheme="minorEastAsia" w:cstheme="minorEastAsia"/>
          <w:i w:val="0"/>
          <w:caps w:val="0"/>
          <w:color w:val="auto"/>
          <w:spacing w:val="0"/>
          <w:sz w:val="28"/>
          <w:szCs w:val="28"/>
          <w:shd w:val="clear" w:fill="FFFFFF"/>
          <w:vertAlign w:val="baseline"/>
          <w:lang w:val="en-US" w:eastAsia="zh-CN"/>
        </w:rPr>
        <w:t>4.83</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5</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（二）财政拨款支出决算结构情况。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82.15 </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万元，主要用于以下方面：</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4.89</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5.95</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农林水（类）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73.65</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89.66</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3.61</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4.39</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Fonts w:hint="eastAsia" w:asciiTheme="minorEastAsia" w:hAnsiTheme="minorEastAsia" w:cstheme="minorEastAsia"/>
          <w:i w:val="0"/>
          <w:caps w:val="0"/>
          <w:color w:val="auto"/>
          <w:spacing w:val="0"/>
          <w:sz w:val="28"/>
          <w:szCs w:val="28"/>
          <w:shd w:val="clear" w:fill="FFFFFF"/>
          <w:vertAlign w:val="baseline"/>
          <w:lang w:eastAsia="zh-CN"/>
        </w:rPr>
        <w:t>（根据单位实际科目）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（三）财政拨款支出决算具体情况。</w:t>
      </w:r>
      <w:r>
        <w:rPr>
          <w:rStyle w:val="7"/>
          <w:rFonts w:hint="eastAsia" w:asciiTheme="minorEastAsia" w:hAnsiTheme="minorEastAsia" w:cstheme="minorEastAsia"/>
          <w:b/>
          <w:i w:val="0"/>
          <w:caps w:val="0"/>
          <w:color w:val="auto"/>
          <w:spacing w:val="0"/>
          <w:sz w:val="28"/>
          <w:szCs w:val="28"/>
          <w:shd w:val="clear" w:fill="FFFFFF"/>
          <w:vertAlign w:val="baseline"/>
          <w:lang w:eastAsia="zh-CN"/>
        </w:rPr>
        <w:t>（根据单位实际科目）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68.12</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auto"/>
          <w:spacing w:val="0"/>
          <w:sz w:val="28"/>
          <w:szCs w:val="28"/>
          <w:shd w:val="clear" w:fill="FFFFFF"/>
          <w:vertAlign w:val="baseline"/>
          <w:lang w:val="en-US" w:eastAsia="zh-CN"/>
        </w:rPr>
        <w:t>82.15</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120.6</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w:t>
      </w:r>
      <w:r>
        <w:rPr>
          <w:rFonts w:hint="eastAsia" w:asciiTheme="minorEastAsia" w:hAnsiTheme="minorEastAsia" w:cstheme="minorEastAsia"/>
          <w:i w:val="0"/>
          <w:caps w:val="0"/>
          <w:color w:val="auto"/>
          <w:spacing w:val="0"/>
          <w:sz w:val="28"/>
          <w:szCs w:val="28"/>
          <w:shd w:val="clear" w:fill="FFFFFF"/>
          <w:vertAlign w:val="baseline"/>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1. 社会保障和就业（类）行政事业单位离退休（款）未归口管理的行政单位离退休（项）。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Style w:val="7"/>
          <w:rFonts w:hint="eastAsia" w:asciiTheme="minorEastAsia" w:hAnsiTheme="minorEastAsia" w:cstheme="minorEastAsia"/>
          <w:b w:val="0"/>
          <w:bCs/>
          <w:i w:val="0"/>
          <w:caps w:val="0"/>
          <w:color w:val="auto"/>
          <w:spacing w:val="0"/>
          <w:sz w:val="28"/>
          <w:szCs w:val="28"/>
          <w:shd w:val="clear" w:fill="FFFFFF"/>
          <w:vertAlign w:val="baseline"/>
          <w:lang w:val="en-US" w:eastAsia="zh-CN"/>
        </w:rPr>
        <w:t>1.3</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Style w:val="7"/>
          <w:rFonts w:hint="eastAsia" w:asciiTheme="minorEastAsia" w:hAnsiTheme="minorEastAsia" w:cstheme="minorEastAsia"/>
          <w:b w:val="0"/>
          <w:bCs/>
          <w:i w:val="0"/>
          <w:caps w:val="0"/>
          <w:color w:val="auto"/>
          <w:spacing w:val="0"/>
          <w:sz w:val="28"/>
          <w:szCs w:val="28"/>
          <w:shd w:val="clear" w:fill="FFFFFF"/>
          <w:vertAlign w:val="baseline"/>
          <w:lang w:val="en-US" w:eastAsia="zh-CN"/>
        </w:rPr>
        <w:t>4.89</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376.15</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年离退休职工工资增长了</w:t>
      </w:r>
      <w:r>
        <w:rPr>
          <w:rFonts w:hint="eastAsia" w:asciiTheme="minorEastAsia" w:hAnsiTheme="minorEastAsia" w:cstheme="minorEastAsia"/>
          <w:i w:val="0"/>
          <w:caps w:val="0"/>
          <w:color w:val="auto"/>
          <w:spacing w:val="0"/>
          <w:sz w:val="28"/>
          <w:szCs w:val="28"/>
          <w:shd w:val="clear" w:fill="FFFFFF"/>
          <w:vertAlign w:val="baseline"/>
          <w:lang w:eastAsia="zh-CN"/>
        </w:rPr>
        <w:t>和社会保障缴费增加</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2</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 农林水（类）农业（款）行政运行（项）。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Style w:val="7"/>
          <w:rFonts w:hint="eastAsia" w:asciiTheme="minorEastAsia" w:hAnsiTheme="minorEastAsia" w:cstheme="minorEastAsia"/>
          <w:b w:val="0"/>
          <w:bCs/>
          <w:i w:val="0"/>
          <w:caps w:val="0"/>
          <w:color w:val="auto"/>
          <w:spacing w:val="0"/>
          <w:sz w:val="28"/>
          <w:szCs w:val="28"/>
          <w:shd w:val="clear" w:fill="FFFFFF"/>
          <w:vertAlign w:val="baseline"/>
          <w:lang w:val="en-US" w:eastAsia="zh-CN"/>
        </w:rPr>
        <w:t>59.92</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w:t>
      </w:r>
      <w:r>
        <w:rPr>
          <w:rFonts w:hint="eastAsia" w:asciiTheme="minorEastAsia" w:hAnsiTheme="minorEastAsia" w:eastAsiaTheme="minorEastAsia" w:cstheme="minorEastAsia"/>
          <w:b w:val="0"/>
          <w:bCs w:val="0"/>
          <w:i w:val="0"/>
          <w:caps w:val="0"/>
          <w:color w:val="auto"/>
          <w:spacing w:val="0"/>
          <w:sz w:val="28"/>
          <w:szCs w:val="28"/>
          <w:shd w:val="clear" w:fill="FFFFFF"/>
          <w:vertAlign w:val="baseline"/>
        </w:rPr>
        <w:t>为</w:t>
      </w:r>
      <w:r>
        <w:rPr>
          <w:rStyle w:val="7"/>
          <w:rFonts w:hint="eastAsia" w:asciiTheme="minorEastAsia" w:hAnsiTheme="minorEastAsia" w:cstheme="minorEastAsia"/>
          <w:b w:val="0"/>
          <w:bCs w:val="0"/>
          <w:i w:val="0"/>
          <w:caps w:val="0"/>
          <w:color w:val="auto"/>
          <w:spacing w:val="0"/>
          <w:sz w:val="28"/>
          <w:szCs w:val="28"/>
          <w:shd w:val="clear" w:fill="FFFFFF"/>
          <w:vertAlign w:val="baseline"/>
          <w:lang w:val="en-US" w:eastAsia="zh-CN"/>
        </w:rPr>
        <w:t>73.65</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Style w:val="7"/>
          <w:rFonts w:hint="eastAsia" w:asciiTheme="minorEastAsia" w:hAnsiTheme="minorEastAsia" w:cstheme="minorEastAsia"/>
          <w:b w:val="0"/>
          <w:bCs/>
          <w:i w:val="0"/>
          <w:caps w:val="0"/>
          <w:color w:val="auto"/>
          <w:spacing w:val="0"/>
          <w:sz w:val="28"/>
          <w:szCs w:val="28"/>
          <w:shd w:val="clear" w:fill="FFFFFF"/>
          <w:vertAlign w:val="baseline"/>
          <w:lang w:val="en-US" w:eastAsia="zh-CN"/>
        </w:rPr>
        <w:t>122.91</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年增加了行政管理事务等项目资金。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3</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 住房保障（类）住房改革支出（款）住房公积金（项）。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4.25</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3.61</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84.94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w:t>
      </w:r>
      <w:r>
        <w:rPr>
          <w:rFonts w:hint="eastAsia" w:asciiTheme="minorEastAsia" w:hAnsiTheme="minorEastAsia" w:cstheme="minorEastAsia"/>
          <w:i w:val="0"/>
          <w:caps w:val="0"/>
          <w:color w:val="auto"/>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auto"/>
          <w:spacing w:val="0"/>
          <w:sz w:val="28"/>
          <w:szCs w:val="28"/>
          <w:shd w:val="clear" w:fill="FFFFFF"/>
          <w:vertAlign w:val="baseline"/>
        </w:rPr>
        <w:t>于预算数的主要原因是201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w:t>
      </w:r>
      <w:r>
        <w:rPr>
          <w:rFonts w:hint="eastAsia" w:asciiTheme="minorEastAsia" w:hAnsiTheme="minorEastAsia" w:cstheme="minorEastAsia"/>
          <w:i w:val="0"/>
          <w:caps w:val="0"/>
          <w:color w:val="auto"/>
          <w:spacing w:val="0"/>
          <w:sz w:val="28"/>
          <w:szCs w:val="28"/>
          <w:shd w:val="clear" w:fill="FFFFFF"/>
          <w:vertAlign w:val="baseline"/>
          <w:lang w:val="en-US" w:eastAsia="zh-CN"/>
        </w:rPr>
        <w:t>5月有一名</w:t>
      </w:r>
      <w:r>
        <w:rPr>
          <w:rFonts w:hint="eastAsia" w:asciiTheme="minorEastAsia" w:hAnsiTheme="minorEastAsia" w:eastAsiaTheme="minorEastAsia" w:cstheme="minorEastAsia"/>
          <w:i w:val="0"/>
          <w:caps w:val="0"/>
          <w:color w:val="auto"/>
          <w:spacing w:val="0"/>
          <w:sz w:val="28"/>
          <w:szCs w:val="28"/>
          <w:shd w:val="clear" w:fill="FFFFFF"/>
          <w:vertAlign w:val="baseline"/>
        </w:rPr>
        <w:t>在职职工</w:t>
      </w:r>
      <w:r>
        <w:rPr>
          <w:rFonts w:hint="eastAsia" w:asciiTheme="minorEastAsia" w:hAnsiTheme="minorEastAsia" w:cstheme="minorEastAsia"/>
          <w:i w:val="0"/>
          <w:caps w:val="0"/>
          <w:color w:val="auto"/>
          <w:spacing w:val="0"/>
          <w:sz w:val="28"/>
          <w:szCs w:val="28"/>
          <w:shd w:val="clear" w:fill="FFFFFF"/>
          <w:vertAlign w:val="baseline"/>
          <w:lang w:eastAsia="zh-CN"/>
        </w:rPr>
        <w:t>退休</w:t>
      </w:r>
      <w:r>
        <w:rPr>
          <w:rFonts w:hint="eastAsia" w:asciiTheme="minorEastAsia" w:hAnsiTheme="minorEastAsia" w:eastAsiaTheme="minorEastAsia" w:cstheme="minorEastAsia"/>
          <w:i w:val="0"/>
          <w:caps w:val="0"/>
          <w:color w:val="auto"/>
          <w:spacing w:val="0"/>
          <w:sz w:val="28"/>
          <w:szCs w:val="28"/>
          <w:shd w:val="clear" w:fill="FFFFFF"/>
          <w:vertAlign w:val="baseline"/>
        </w:rPr>
        <w:t>，使住房公积金的缴交比例</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auto"/>
          <w:spacing w:val="0"/>
          <w:sz w:val="28"/>
          <w:szCs w:val="28"/>
          <w:shd w:val="clear" w:fill="FFFFFF"/>
          <w:vertAlign w:val="baseline"/>
        </w:rPr>
        <w:t>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六、201</w:t>
      </w: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年度一般公共预算财政拨款基本支出决算情况说明。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default" w:asciiTheme="minorEastAsia" w:hAnsiTheme="minorEastAsia" w:eastAsiaTheme="minorEastAsia" w:cstheme="minorEastAsia"/>
          <w:i w:val="0"/>
          <w:caps w:val="0"/>
          <w:color w:val="auto"/>
          <w:spacing w:val="0"/>
          <w:sz w:val="28"/>
          <w:szCs w:val="28"/>
          <w:lang w:val="en-US" w:eastAsia="zh-CN"/>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年度财政拨款基本支出</w:t>
      </w:r>
      <w:r>
        <w:rPr>
          <w:rStyle w:val="7"/>
          <w:rFonts w:hint="eastAsia" w:asciiTheme="minorEastAsia" w:hAnsiTheme="minorEastAsia" w:cstheme="minorEastAsia"/>
          <w:b w:val="0"/>
          <w:bCs/>
          <w:i w:val="0"/>
          <w:caps w:val="0"/>
          <w:color w:val="auto"/>
          <w:spacing w:val="0"/>
          <w:sz w:val="28"/>
          <w:szCs w:val="28"/>
          <w:shd w:val="clear" w:fill="FFFFFF"/>
          <w:vertAlign w:val="baseline"/>
          <w:lang w:val="en-US" w:eastAsia="zh-CN"/>
        </w:rPr>
        <w:t>81.79</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万元，其中：人员经费</w:t>
      </w:r>
      <w:r>
        <w:rPr>
          <w:rFonts w:hint="eastAsia" w:asciiTheme="minorEastAsia" w:hAnsiTheme="minorEastAsia" w:cstheme="minorEastAsia"/>
          <w:i w:val="0"/>
          <w:caps w:val="0"/>
          <w:color w:val="auto"/>
          <w:spacing w:val="0"/>
          <w:sz w:val="28"/>
          <w:szCs w:val="28"/>
          <w:shd w:val="clear" w:fill="FFFFFF"/>
          <w:vertAlign w:val="baseline"/>
          <w:lang w:val="en-US" w:eastAsia="zh-CN"/>
        </w:rPr>
        <w:t>81.16</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万元，主要包括：基本工资、津贴补贴、奖金、其他社会保障缴费、其他工资福利支出、退休费、医疗费、奖励金、住房公积金、提租补贴、采暖补贴、其他对个人和家庭的补助支出</w:t>
      </w:r>
      <w:r>
        <w:rPr>
          <w:rFonts w:hint="eastAsia" w:asciiTheme="minorEastAsia" w:hAnsiTheme="minorEastAsia" w:cstheme="minorEastAsia"/>
          <w:i w:val="0"/>
          <w:caps w:val="0"/>
          <w:color w:val="auto"/>
          <w:spacing w:val="0"/>
          <w:sz w:val="28"/>
          <w:szCs w:val="28"/>
          <w:shd w:val="clear" w:fill="FFFFFF"/>
          <w:vertAlign w:val="baseline"/>
          <w:lang w:eastAsia="zh-CN"/>
        </w:rPr>
        <w:t>。日常公用经费</w:t>
      </w:r>
      <w:r>
        <w:rPr>
          <w:rFonts w:hint="eastAsia" w:asciiTheme="minorEastAsia" w:hAnsiTheme="minorEastAsia" w:cstheme="minorEastAsia"/>
          <w:i w:val="0"/>
          <w:caps w:val="0"/>
          <w:color w:val="auto"/>
          <w:spacing w:val="0"/>
          <w:sz w:val="28"/>
          <w:szCs w:val="28"/>
          <w:shd w:val="clear" w:fill="FFFFFF"/>
          <w:vertAlign w:val="baseline"/>
          <w:lang w:val="en-US" w:eastAsia="zh-CN"/>
        </w:rPr>
        <w:t>0.63万元。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七、201</w:t>
      </w: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年度一般公共预算财政拨款“三公”经费支出决算情况说明</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Style w:val="7"/>
          <w:rFonts w:hint="eastAsia" w:asciiTheme="minorEastAsia" w:hAnsiTheme="minorEastAsia" w:eastAsiaTheme="minorEastAsia" w:cstheme="minorEastAsia"/>
          <w:b/>
          <w:i w:val="0"/>
          <w:caps w:val="0"/>
          <w:color w:val="auto"/>
          <w:spacing w:val="0"/>
          <w:sz w:val="28"/>
          <w:szCs w:val="28"/>
          <w:shd w:val="clear" w:fill="FFFFFF"/>
          <w:vertAlign w:val="baseline"/>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“三公”经费财政拨款支出决算总体情况说明。</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30" w:leftChars="0" w:right="0" w:rightChars="0"/>
        <w:jc w:val="left"/>
        <w:textAlignment w:val="baseline"/>
        <w:rPr>
          <w:rStyle w:val="7"/>
          <w:rFonts w:hint="eastAsia" w:asciiTheme="minorEastAsia" w:hAnsiTheme="minorEastAsia" w:eastAsiaTheme="minorEastAsia" w:cstheme="minorEastAsia"/>
          <w:b/>
          <w:i w:val="0"/>
          <w:caps w:val="0"/>
          <w:color w:val="auto"/>
          <w:spacing w:val="0"/>
          <w:sz w:val="28"/>
          <w:szCs w:val="28"/>
          <w:shd w:val="clear" w:fill="FFFFFF"/>
          <w:vertAlign w:val="baseline"/>
          <w:lang w:eastAsia="zh-CN"/>
        </w:rPr>
      </w:pPr>
      <w:r>
        <w:rPr>
          <w:rStyle w:val="7"/>
          <w:rFonts w:hint="eastAsia" w:asciiTheme="minorEastAsia" w:hAnsiTheme="minorEastAsia" w:cstheme="minorEastAsia"/>
          <w:b/>
          <w:i w:val="0"/>
          <w:caps w:val="0"/>
          <w:color w:val="auto"/>
          <w:spacing w:val="0"/>
          <w:sz w:val="28"/>
          <w:szCs w:val="28"/>
          <w:shd w:val="clear" w:fill="FFFFFF"/>
          <w:vertAlign w:val="baseline"/>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（二）“三公”经费财政拨款支出决算具体情况说明。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cstheme="minorEastAsia"/>
          <w:i w:val="0"/>
          <w:caps w:val="0"/>
          <w:color w:val="auto"/>
          <w:spacing w:val="0"/>
          <w:sz w:val="28"/>
          <w:szCs w:val="28"/>
          <w:shd w:val="clear" w:fill="FFFFFF"/>
          <w:vertAlign w:val="baseline"/>
          <w:lang w:eastAsia="zh-CN"/>
        </w:rPr>
      </w:pPr>
      <w:r>
        <w:rPr>
          <w:rFonts w:hint="eastAsia" w:asciiTheme="minorEastAsia" w:hAnsiTheme="minorEastAsia" w:cstheme="minorEastAsia"/>
          <w:i w:val="0"/>
          <w:caps w:val="0"/>
          <w:color w:val="auto"/>
          <w:spacing w:val="0"/>
          <w:sz w:val="28"/>
          <w:szCs w:val="28"/>
          <w:shd w:val="clear" w:fill="FFFFFF"/>
          <w:vertAlign w:val="baseline"/>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7"/>
          <w:rFonts w:hint="eastAsia" w:asciiTheme="minorEastAsia" w:hAnsiTheme="minorEastAsia" w:cstheme="minorEastAsia"/>
          <w:b/>
          <w:i w:val="0"/>
          <w:caps w:val="0"/>
          <w:color w:val="auto"/>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万元。全年安排因公出国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（境）团组</w:t>
      </w:r>
      <w:r>
        <w:rPr>
          <w:rFonts w:hint="eastAsia" w:asciiTheme="minorEastAsia" w:hAnsiTheme="minorEastAsia" w:cstheme="minorEastAsia"/>
          <w:i w:val="0"/>
          <w:caps w:val="0"/>
          <w:color w:val="auto"/>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个，累计</w:t>
      </w:r>
      <w:r>
        <w:rPr>
          <w:rFonts w:hint="eastAsia" w:asciiTheme="minorEastAsia" w:hAnsiTheme="minorEastAsia" w:cstheme="minorEastAsia"/>
          <w:i w:val="0"/>
          <w:caps w:val="0"/>
          <w:color w:val="auto"/>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auto"/>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auto"/>
          <w:spacing w:val="0"/>
          <w:sz w:val="28"/>
          <w:szCs w:val="28"/>
          <w:shd w:val="clear" w:fill="FFFFFF"/>
          <w:vertAlign w:val="baseline"/>
        </w:rPr>
        <w:t>支出为</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auto"/>
          <w:spacing w:val="0"/>
          <w:sz w:val="28"/>
          <w:szCs w:val="28"/>
          <w:shd w:val="clear" w:fill="FFFFFF"/>
          <w:vertAlign w:val="baseline"/>
        </w:rPr>
        <w:t>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万元。其中：国内公务接待</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万元，国内公务接待批次</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个，国内公务接待人次</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人；国（境）外公务接待</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万元，国（境）外公务接待批次</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个，国（境）外公务接待人次</w:t>
      </w:r>
      <w:r>
        <w:rPr>
          <w:rStyle w:val="7"/>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人。</w:t>
      </w:r>
    </w:p>
    <w:p>
      <w:pPr>
        <w:pStyle w:val="4"/>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八、其他重要事项的情况说明</w:t>
      </w:r>
    </w:p>
    <w:p>
      <w:pPr>
        <w:pStyle w:val="4"/>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（一）机关运行经费支出情况。</w:t>
      </w:r>
    </w:p>
    <w:p>
      <w:pPr>
        <w:pStyle w:val="4"/>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本部门 201</w:t>
      </w:r>
      <w:r>
        <w:rPr>
          <w:rFonts w:hint="eastAsia" w:asciiTheme="minorEastAsia" w:hAnsi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 xml:space="preserve">年度机关运行经费支出 </w:t>
      </w:r>
      <w:r>
        <w:rPr>
          <w:rFonts w:hint="eastAsia" w:asciiTheme="minorEastAsia" w:hAnsiTheme="minorEastAsia" w:cstheme="minorEastAsia"/>
          <w:color w:val="auto"/>
          <w:sz w:val="28"/>
          <w:szCs w:val="28"/>
          <w:lang w:val="en-US" w:eastAsia="zh-CN"/>
        </w:rPr>
        <w:t>83.52</w:t>
      </w:r>
      <w:r>
        <w:rPr>
          <w:rFonts w:hint="eastAsia" w:asciiTheme="minorEastAsia" w:hAnsiTheme="minorEastAsia" w:eastAsiaTheme="minorEastAsia" w:cstheme="minorEastAsia"/>
          <w:color w:val="auto"/>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auto"/>
          <w:sz w:val="28"/>
          <w:szCs w:val="28"/>
          <w:lang w:eastAsia="zh-CN"/>
        </w:rPr>
        <w:t>上</w:t>
      </w:r>
      <w:r>
        <w:rPr>
          <w:rFonts w:hint="eastAsia" w:asciiTheme="minorEastAsia" w:hAnsiTheme="minorEastAsia" w:eastAsiaTheme="minorEastAsia" w:cstheme="minorEastAsia"/>
          <w:color w:val="auto"/>
          <w:sz w:val="28"/>
          <w:szCs w:val="28"/>
        </w:rPr>
        <w:t>年增加</w:t>
      </w:r>
      <w:r>
        <w:rPr>
          <w:rFonts w:hint="eastAsia" w:asciiTheme="minorEastAsia" w:hAnsiTheme="minorEastAsia" w:cstheme="minorEastAsia"/>
          <w:color w:val="auto"/>
          <w:sz w:val="28"/>
          <w:szCs w:val="28"/>
          <w:lang w:val="en-US" w:eastAsia="zh-CN"/>
        </w:rPr>
        <w:t>4.83</w:t>
      </w:r>
      <w:r>
        <w:rPr>
          <w:rFonts w:hint="eastAsia" w:asciiTheme="minorEastAsia" w:hAnsiTheme="minorEastAsia" w:eastAsiaTheme="minorEastAsia" w:cstheme="minorEastAsia"/>
          <w:color w:val="auto"/>
          <w:sz w:val="28"/>
          <w:szCs w:val="28"/>
        </w:rPr>
        <w:t>万元，增长</w:t>
      </w:r>
      <w:r>
        <w:rPr>
          <w:rFonts w:hint="eastAsia" w:asciiTheme="minorEastAsia" w:hAnsi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rPr>
        <w:t>%。主要原因是：</w:t>
      </w:r>
      <w:r>
        <w:rPr>
          <w:rFonts w:hint="eastAsia" w:asciiTheme="minorEastAsia" w:hAnsiTheme="minorEastAsia" w:cstheme="minorEastAsia"/>
          <w:color w:val="auto"/>
          <w:sz w:val="28"/>
          <w:szCs w:val="28"/>
          <w:lang w:eastAsia="zh-CN"/>
        </w:rPr>
        <w:t>在职长工资、对个人和家庭的补助支出增加</w:t>
      </w:r>
      <w:r>
        <w:rPr>
          <w:rFonts w:hint="eastAsia" w:asciiTheme="minorEastAsia" w:hAnsiTheme="minorEastAsia" w:eastAsiaTheme="minorEastAsia" w:cstheme="minorEastAsia"/>
          <w:color w:val="auto"/>
          <w:sz w:val="28"/>
          <w:szCs w:val="28"/>
        </w:rPr>
        <w:t>。</w:t>
      </w:r>
    </w:p>
    <w:p>
      <w:pPr>
        <w:pStyle w:val="4"/>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（二）政府采购支出情况。</w:t>
      </w:r>
    </w:p>
    <w:p>
      <w:pPr>
        <w:pStyle w:val="4"/>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lang w:eastAsia="zh-CN"/>
        </w:rPr>
        <w:t>无</w:t>
      </w:r>
    </w:p>
    <w:p>
      <w:pPr>
        <w:pStyle w:val="4"/>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（三）国有资产占用情况。</w:t>
      </w:r>
    </w:p>
    <w:p>
      <w:pPr>
        <w:ind w:firstLine="640"/>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color w:val="auto"/>
          <w:sz w:val="28"/>
          <w:szCs w:val="28"/>
        </w:rPr>
        <w:t>截至 201</w:t>
      </w:r>
      <w:r>
        <w:rPr>
          <w:rFonts w:hint="eastAsia" w:asciiTheme="minorEastAsia" w:hAnsi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年 12 月 31 日，</w:t>
      </w:r>
      <w:r>
        <w:rPr>
          <w:rFonts w:hint="eastAsia" w:asciiTheme="minorEastAsia" w:hAnsiTheme="minorEastAsia" w:eastAsiaTheme="minorEastAsia" w:cstheme="minorEastAsia"/>
          <w:b w:val="0"/>
          <w:bCs w:val="0"/>
          <w:color w:val="auto"/>
          <w:sz w:val="28"/>
          <w:szCs w:val="28"/>
          <w:lang w:val="en-US" w:eastAsia="zh-CN"/>
        </w:rPr>
        <w:t>我单位账面上管理和使用的所有固定资产，包括土地房屋及建筑物、专用设备、通用设备有：房屋581.6平方米，价值763，572.00，其中有办公用房98平方米，价值112，700.00元，其它业务用房483.6平方米价值650，872.00元。土地175000平方米，价值96，203.00元，用于农业科研。其他固定资产有：标志门、节水渠、主渠、支渠、盖板桥、石桌、石凳、电力设施、变压器、线路及线杆、供暖设施、深水井、旋转门、机井配套、晒水池等合计2，571,826.52元，总计：3，431，601.52元。</w:t>
      </w:r>
    </w:p>
    <w:p>
      <w:pPr>
        <w:pStyle w:val="4"/>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p>
    <w:p>
      <w:pPr>
        <w:pStyle w:val="4"/>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（四）201</w:t>
      </w:r>
      <w:r>
        <w:rPr>
          <w:rFonts w:hint="eastAsia" w:asciiTheme="minorEastAsia" w:hAnsi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rPr>
        <w:t>年度预算绩效情况说明</w:t>
      </w:r>
    </w:p>
    <w:p>
      <w:pPr>
        <w:pStyle w:val="4"/>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根据财政预算管理要求和年初设定的绩效目标，我单位组织对 201</w:t>
      </w:r>
      <w:r>
        <w:rPr>
          <w:rFonts w:hint="eastAsia" w:asciiTheme="minorEastAsia" w:hAnsi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年度项目支出全面开展绩效自评。共涉及资金</w:t>
      </w:r>
      <w:r>
        <w:rPr>
          <w:rFonts w:hint="eastAsia" w:asciiTheme="minorEastAsia" w:hAnsiTheme="minorEastAsia" w:cstheme="minorEastAsia"/>
          <w:color w:val="auto"/>
          <w:sz w:val="28"/>
          <w:szCs w:val="28"/>
          <w:lang w:val="en-US" w:eastAsia="zh-CN"/>
        </w:rPr>
        <w:t>83.52</w:t>
      </w:r>
      <w:r>
        <w:rPr>
          <w:rFonts w:hint="eastAsia" w:asciiTheme="minorEastAsia" w:hAnsiTheme="minorEastAsia" w:eastAsiaTheme="minorEastAsia" w:cstheme="minorEastAsia"/>
          <w:color w:val="auto"/>
          <w:sz w:val="28"/>
          <w:szCs w:val="28"/>
        </w:rPr>
        <w:t>万元，自评覆盖率达到100%。共组织对“</w:t>
      </w:r>
      <w:r>
        <w:rPr>
          <w:rFonts w:hint="eastAsia" w:asciiTheme="minorEastAsia" w:hAnsiTheme="minorEastAsia" w:cstheme="minorEastAsia"/>
          <w:color w:val="auto"/>
          <w:sz w:val="28"/>
          <w:szCs w:val="28"/>
          <w:lang w:val="en-US" w:eastAsia="zh-CN"/>
        </w:rPr>
        <w:t>人员经费</w:t>
      </w:r>
      <w:r>
        <w:rPr>
          <w:rFonts w:hint="eastAsia" w:asciiTheme="minorEastAsia" w:hAnsiTheme="minorEastAsia" w:eastAsiaTheme="minorEastAsia" w:cstheme="minorEastAsia"/>
          <w:color w:val="auto"/>
          <w:sz w:val="28"/>
          <w:szCs w:val="28"/>
        </w:rPr>
        <w:t>”等 项目进行了绩效评价，共涉及资金</w:t>
      </w:r>
      <w:r>
        <w:rPr>
          <w:rFonts w:hint="eastAsia" w:asciiTheme="minorEastAsia" w:hAnsiTheme="minorEastAsia" w:cstheme="minorEastAsia"/>
          <w:color w:val="auto"/>
          <w:sz w:val="28"/>
          <w:szCs w:val="28"/>
          <w:lang w:val="en-US" w:eastAsia="zh-CN"/>
        </w:rPr>
        <w:t>83.52</w:t>
      </w:r>
      <w:r>
        <w:rPr>
          <w:rFonts w:hint="eastAsia" w:asciiTheme="minorEastAsia" w:hAnsiTheme="minorEastAsia" w:eastAsiaTheme="minorEastAsia" w:cstheme="minorEastAsia"/>
          <w:color w:val="auto"/>
          <w:sz w:val="28"/>
          <w:szCs w:val="28"/>
        </w:rPr>
        <w:t>万元。从评价情况来看，本部门共开展了</w:t>
      </w:r>
      <w:r>
        <w:rPr>
          <w:rFonts w:hint="eastAsia" w:asciiTheme="minorEastAsia" w:hAnsiTheme="minorEastAsia" w:cstheme="minorEastAsia"/>
          <w:color w:val="auto"/>
          <w:sz w:val="28"/>
          <w:szCs w:val="28"/>
          <w:lang w:val="en-US" w:eastAsia="zh-CN"/>
        </w:rPr>
        <w:t>职工评分</w:t>
      </w:r>
      <w:r>
        <w:rPr>
          <w:rFonts w:hint="eastAsia" w:asciiTheme="minorEastAsia" w:hAnsiTheme="minorEastAsia" w:eastAsiaTheme="minorEastAsia" w:cstheme="minorEastAsia"/>
          <w:color w:val="auto"/>
          <w:sz w:val="28"/>
          <w:szCs w:val="28"/>
        </w:rPr>
        <w:t>进行了绩效考核。</w:t>
      </w:r>
    </w:p>
    <w:p>
      <w:pPr>
        <w:pStyle w:val="4"/>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w:t>
      </w:r>
    </w:p>
    <w:p>
      <w:pPr>
        <w:pStyle w:val="4"/>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第</w:t>
      </w:r>
      <w:r>
        <w:rPr>
          <w:rFonts w:hint="eastAsia" w:asciiTheme="minorEastAsia" w:hAnsiTheme="minorEastAsia" w:eastAsiaTheme="minorEastAsia" w:cstheme="minorEastAsia"/>
          <w:b/>
          <w:color w:val="auto"/>
          <w:sz w:val="28"/>
          <w:szCs w:val="28"/>
          <w:lang w:eastAsia="zh-CN"/>
        </w:rPr>
        <w:t>三</w:t>
      </w:r>
      <w:r>
        <w:rPr>
          <w:rFonts w:hint="eastAsia" w:asciiTheme="minorEastAsia" w:hAnsiTheme="minorEastAsia" w:eastAsiaTheme="minorEastAsia" w:cstheme="minorEastAsia"/>
          <w:b/>
          <w:color w:val="auto"/>
          <w:sz w:val="28"/>
          <w:szCs w:val="28"/>
        </w:rPr>
        <w:t>部分 名词解释</w:t>
      </w:r>
    </w:p>
    <w:p>
      <w:pPr>
        <w:pStyle w:val="4"/>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一、财政拨款收入</w:t>
      </w:r>
      <w:r>
        <w:rPr>
          <w:rFonts w:hint="eastAsia" w:asciiTheme="minorEastAsia" w:hAnsiTheme="minorEastAsia" w:eastAsiaTheme="minorEastAsia" w:cstheme="minorEastAsia"/>
          <w:color w:val="auto"/>
          <w:sz w:val="28"/>
          <w:szCs w:val="28"/>
        </w:rPr>
        <w:t>：指</w:t>
      </w:r>
      <w:r>
        <w:rPr>
          <w:rFonts w:hint="eastAsia" w:asciiTheme="minorEastAsia" w:hAnsiTheme="minorEastAsia" w:eastAsiaTheme="minorEastAsia" w:cstheme="minorEastAsia"/>
          <w:color w:val="auto"/>
          <w:sz w:val="28"/>
          <w:szCs w:val="28"/>
          <w:lang w:eastAsia="zh-CN"/>
        </w:rPr>
        <w:t>县级</w:t>
      </w:r>
      <w:r>
        <w:rPr>
          <w:rFonts w:hint="eastAsia" w:asciiTheme="minorEastAsia" w:hAnsiTheme="minorEastAsia" w:eastAsiaTheme="minorEastAsia" w:cstheme="minorEastAsia"/>
          <w:color w:val="auto"/>
          <w:sz w:val="28"/>
          <w:szCs w:val="28"/>
        </w:rPr>
        <w:t>财政当年拨付的资金。</w:t>
      </w:r>
    </w:p>
    <w:p>
      <w:pPr>
        <w:pStyle w:val="4"/>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二、事业收入</w:t>
      </w:r>
      <w:r>
        <w:rPr>
          <w:rFonts w:hint="eastAsia" w:asciiTheme="minorEastAsia" w:hAnsiTheme="minorEastAsia" w:eastAsiaTheme="minorEastAsia" w:cstheme="minorEastAsia"/>
          <w:color w:val="auto"/>
          <w:sz w:val="28"/>
          <w:szCs w:val="28"/>
        </w:rPr>
        <w:t>：指事业单位开展专业业务活动及辅助活动所取得的收入。</w:t>
      </w:r>
    </w:p>
    <w:p>
      <w:pPr>
        <w:pStyle w:val="4"/>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三、经营收入</w:t>
      </w:r>
      <w:r>
        <w:rPr>
          <w:rFonts w:hint="eastAsia" w:asciiTheme="minorEastAsia" w:hAnsiTheme="minorEastAsia" w:eastAsiaTheme="minorEastAsia" w:cstheme="minorEastAsia"/>
          <w:color w:val="auto"/>
          <w:sz w:val="28"/>
          <w:szCs w:val="28"/>
        </w:rPr>
        <w:t>：指事业单位在专业业务活动及其辅助活动之外开展非独立核算经营活动取得的收入。</w:t>
      </w:r>
    </w:p>
    <w:p>
      <w:pPr>
        <w:pStyle w:val="4"/>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四、其他收入</w:t>
      </w:r>
      <w:r>
        <w:rPr>
          <w:rFonts w:hint="eastAsia" w:asciiTheme="minorEastAsia" w:hAnsiTheme="minorEastAsia" w:eastAsiaTheme="minorEastAsia" w:cstheme="minorEastAsia"/>
          <w:color w:val="auto"/>
          <w:sz w:val="28"/>
          <w:szCs w:val="28"/>
        </w:rPr>
        <w:t>：指除上述“财政拨款收入”、“事业收入”、“经营收入”等以外的收入。</w:t>
      </w:r>
    </w:p>
    <w:p>
      <w:pPr>
        <w:pStyle w:val="4"/>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五、用事业基金弥补收支差额</w:t>
      </w:r>
      <w:r>
        <w:rPr>
          <w:rFonts w:hint="eastAsia" w:asciiTheme="minorEastAsia" w:hAnsiTheme="minorEastAsia" w:eastAsiaTheme="minorEastAsia" w:cstheme="minorEastAsia"/>
          <w:color w:val="auto"/>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4"/>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六、年初结转和结余</w:t>
      </w:r>
      <w:r>
        <w:rPr>
          <w:rFonts w:hint="eastAsia" w:asciiTheme="minorEastAsia" w:hAnsiTheme="minorEastAsia" w:eastAsiaTheme="minorEastAsia" w:cstheme="minorEastAsia"/>
          <w:color w:val="auto"/>
          <w:sz w:val="28"/>
          <w:szCs w:val="28"/>
        </w:rPr>
        <w:t>：指以前年度尚未完成、结转到本年按有关规定继续使用的资金。</w:t>
      </w:r>
    </w:p>
    <w:p>
      <w:pPr>
        <w:pStyle w:val="4"/>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七、结余分配</w:t>
      </w:r>
      <w:r>
        <w:rPr>
          <w:rFonts w:hint="eastAsia" w:asciiTheme="minorEastAsia" w:hAnsiTheme="minorEastAsia" w:eastAsiaTheme="minorEastAsia" w:cstheme="minorEastAsia"/>
          <w:color w:val="auto"/>
          <w:sz w:val="28"/>
          <w:szCs w:val="28"/>
        </w:rPr>
        <w:t>：指事业单位按规定提取的职工福利基金、事业基金和缴纳的所得税，以及建设单位按规定应交回的基本建设竣工项目结余资金。</w:t>
      </w:r>
    </w:p>
    <w:p>
      <w:pPr>
        <w:pStyle w:val="4"/>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八、年末结转和结余</w:t>
      </w:r>
      <w:r>
        <w:rPr>
          <w:rFonts w:hint="eastAsia" w:asciiTheme="minorEastAsia" w:hAnsiTheme="minorEastAsia" w:eastAsiaTheme="minorEastAsia" w:cstheme="minorEastAsia"/>
          <w:color w:val="auto"/>
          <w:sz w:val="28"/>
          <w:szCs w:val="28"/>
        </w:rPr>
        <w:t>：指本年度或以前年度预算安排、因客观条件发生变化无法按原计划实施，需延迟到以后年度按有关规定继续使用的资金。</w:t>
      </w:r>
    </w:p>
    <w:p>
      <w:pPr>
        <w:pStyle w:val="4"/>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九、基本支出</w:t>
      </w:r>
      <w:r>
        <w:rPr>
          <w:rFonts w:hint="eastAsia" w:asciiTheme="minorEastAsia" w:hAnsiTheme="minorEastAsia" w:eastAsiaTheme="minorEastAsia" w:cstheme="minorEastAsia"/>
          <w:color w:val="auto"/>
          <w:sz w:val="28"/>
          <w:szCs w:val="28"/>
        </w:rPr>
        <w:t>：指为保障机构正常运转、完成日常工作任务而发生的人员支出和公用支出。</w:t>
      </w:r>
    </w:p>
    <w:p>
      <w:pPr>
        <w:pStyle w:val="4"/>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十、项目支出</w:t>
      </w:r>
      <w:r>
        <w:rPr>
          <w:rFonts w:hint="eastAsia" w:asciiTheme="minorEastAsia" w:hAnsiTheme="minorEastAsia" w:eastAsiaTheme="minorEastAsia" w:cstheme="minorEastAsia"/>
          <w:color w:val="auto"/>
          <w:sz w:val="28"/>
          <w:szCs w:val="28"/>
        </w:rPr>
        <w:t>：指在基本支出之外为完成特定行政任务和事业发展目标所发生的支出。</w:t>
      </w:r>
    </w:p>
    <w:p>
      <w:pPr>
        <w:pStyle w:val="4"/>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十一、经营支出</w:t>
      </w:r>
      <w:r>
        <w:rPr>
          <w:rFonts w:hint="eastAsia" w:asciiTheme="minorEastAsia" w:hAnsiTheme="minorEastAsia" w:eastAsiaTheme="minorEastAsia" w:cstheme="minorEastAsia"/>
          <w:color w:val="auto"/>
          <w:sz w:val="28"/>
          <w:szCs w:val="28"/>
        </w:rPr>
        <w:t>：指事业单位在专业业务活动及其辅助活动之外开展非独立核算经营活动发生的支出。</w:t>
      </w:r>
    </w:p>
    <w:p>
      <w:pPr>
        <w:pStyle w:val="4"/>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十二、“三公”经费</w:t>
      </w:r>
      <w:r>
        <w:rPr>
          <w:rFonts w:hint="eastAsia" w:asciiTheme="minorEastAsia" w:hAnsiTheme="minorEastAsia" w:eastAsiaTheme="minorEastAsia" w:cstheme="minorEastAsia"/>
          <w:color w:val="auto"/>
          <w:sz w:val="28"/>
          <w:szCs w:val="28"/>
        </w:rPr>
        <w:t>：纳入</w:t>
      </w:r>
      <w:r>
        <w:rPr>
          <w:rFonts w:hint="eastAsia" w:asciiTheme="minorEastAsia" w:hAnsiTheme="minorEastAsia" w:eastAsiaTheme="minorEastAsia" w:cstheme="minorEastAsia"/>
          <w:color w:val="auto"/>
          <w:sz w:val="28"/>
          <w:szCs w:val="28"/>
          <w:lang w:eastAsia="zh-CN"/>
        </w:rPr>
        <w:t>县</w:t>
      </w:r>
      <w:r>
        <w:rPr>
          <w:rFonts w:hint="eastAsia" w:asciiTheme="minorEastAsia" w:hAnsiTheme="minorEastAsia" w:eastAsiaTheme="minorEastAsia" w:cstheme="minorEastAsia"/>
          <w:color w:val="auto"/>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4"/>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十三、机关运行经费</w:t>
      </w:r>
      <w:r>
        <w:rPr>
          <w:rFonts w:hint="eastAsia" w:asciiTheme="minorEastAsia" w:hAnsiTheme="minorEastAsia" w:eastAsiaTheme="minorEastAsia" w:cstheme="minorEastAsia"/>
          <w:color w:val="auto"/>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color w:val="auto"/>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95A143"/>
    <w:multiLevelType w:val="singleLevel"/>
    <w:tmpl w:val="9B95A14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7A5171"/>
    <w:rsid w:val="03FE7F0E"/>
    <w:rsid w:val="098217C0"/>
    <w:rsid w:val="0E980DC7"/>
    <w:rsid w:val="179B676B"/>
    <w:rsid w:val="1CFB22BC"/>
    <w:rsid w:val="1D2E632B"/>
    <w:rsid w:val="23FE7CEF"/>
    <w:rsid w:val="27224EA4"/>
    <w:rsid w:val="2A054FEB"/>
    <w:rsid w:val="2C203541"/>
    <w:rsid w:val="2DE7389C"/>
    <w:rsid w:val="2E9A3DD8"/>
    <w:rsid w:val="32455B65"/>
    <w:rsid w:val="3DDC6AB6"/>
    <w:rsid w:val="41025614"/>
    <w:rsid w:val="419008B3"/>
    <w:rsid w:val="496C7791"/>
    <w:rsid w:val="4BCC7705"/>
    <w:rsid w:val="56FD14F4"/>
    <w:rsid w:val="5E702C1F"/>
    <w:rsid w:val="5F574799"/>
    <w:rsid w:val="62763A6A"/>
    <w:rsid w:val="6B6E45D7"/>
    <w:rsid w:val="6BC52739"/>
    <w:rsid w:val="6D5E0729"/>
    <w:rsid w:val="72DA5D92"/>
    <w:rsid w:val="763C3B43"/>
    <w:rsid w:val="768870B2"/>
    <w:rsid w:val="7AC653BF"/>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333333"/>
      <w:sz w:val="18"/>
      <w:szCs w:val="18"/>
      <w:u w:val="none"/>
    </w:rPr>
  </w:style>
  <w:style w:type="character" w:styleId="9">
    <w:name w:val="Emphasis"/>
    <w:basedOn w:val="6"/>
    <w:qFormat/>
    <w:uiPriority w:val="0"/>
    <w:rPr>
      <w:i/>
    </w:rPr>
  </w:style>
  <w:style w:type="character" w:styleId="10">
    <w:name w:val="Hyperlink"/>
    <w:basedOn w:val="6"/>
    <w:qFormat/>
    <w:uiPriority w:val="0"/>
    <w:rPr>
      <w:color w:val="333333"/>
      <w:sz w:val="18"/>
      <w:szCs w:val="18"/>
      <w:u w:val="none"/>
    </w:rPr>
  </w:style>
  <w:style w:type="character" w:customStyle="1" w:styleId="11">
    <w:name w:val="laiy"/>
    <w:basedOn w:val="6"/>
    <w:qFormat/>
    <w:uiPriority w:val="0"/>
  </w:style>
  <w:style w:type="character" w:customStyle="1" w:styleId="12">
    <w:name w:val="zuoz"/>
    <w:basedOn w:val="6"/>
    <w:qFormat/>
    <w:uiPriority w:val="0"/>
  </w:style>
  <w:style w:type="character" w:customStyle="1" w:styleId="13">
    <w:name w:val="update"/>
    <w:basedOn w:val="6"/>
    <w:qFormat/>
    <w:uiPriority w:val="0"/>
  </w:style>
  <w:style w:type="character" w:customStyle="1" w:styleId="14">
    <w:name w:val="hot1"/>
    <w:basedOn w:val="6"/>
    <w:qFormat/>
    <w:uiPriority w:val="0"/>
  </w:style>
  <w:style w:type="character" w:customStyle="1" w:styleId="15">
    <w:name w:val="td12"/>
    <w:basedOn w:val="6"/>
    <w:qFormat/>
    <w:uiPriority w:val="0"/>
    <w:rPr>
      <w:rFonts w:ascii="Arial" w:hAnsi="Arial" w:cs="Arial"/>
      <w:color w:val="FFFFFF"/>
      <w:sz w:val="16"/>
      <w:szCs w:val="16"/>
    </w:rPr>
  </w:style>
  <w:style w:type="character" w:customStyle="1" w:styleId="16">
    <w:name w:val="td22"/>
    <w:basedOn w:val="6"/>
    <w:qFormat/>
    <w:uiPriority w:val="0"/>
  </w:style>
  <w:style w:type="character" w:customStyle="1" w:styleId="17">
    <w:name w:val="td32"/>
    <w:basedOn w:val="6"/>
    <w:qFormat/>
    <w:uiPriority w:val="0"/>
  </w:style>
  <w:style w:type="character" w:customStyle="1" w:styleId="18">
    <w:name w:val="home"/>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52</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2021-05-20T06:39:42Z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91BC820CE8364D85B9BFF39AFDABFD60</vt:lpwstr>
  </property>
</Properties>
</file>