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绥滨县疾病预防控制中心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bookmarkStart w:id="0" w:name="_GoBack"/>
      <w:bookmarkEnd w:id="0"/>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Theme="minorEastAsia" w:hAnsiTheme="minorEastAsia" w:eastAsiaTheme="minorEastAsia" w:cstheme="minorEastAsia"/>
          <w:sz w:val="28"/>
          <w:szCs w:val="28"/>
        </w:rPr>
        <w:t>一）拟定和指导实施全县急慢性传染病、慢性非传染性疾病、职业病、地方病等疾病的预防控制规划、计划、实施方案、工作规范、标准、防制对策与技术措施。并对实施情况进行质量控制和效果评估。</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（二）建立突发公共卫生事件应急处理运行机制，指导和参与调查处理全县发生的重大传染病疫情、新发传染病、群体性不明原因疾病等突发公共卫生事件。</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（三）开展对影响人群生存环境卫生质量及生命质量的危险因素和食品、职业、环境、放射、学校卫生等卫生学监测、评价，组织开展健康危害因素干预。</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（四）对全县急慢性传染病、地方病、寄生虫病、慢性非传染性疾病、职业病、公害病、学生常见病及意外伤害等发生、分布和发展的规律进行流行病学监测、分析和预测、预报。</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（五）组织开展全县免疫和规划免疫预防接种工作，负责免疫预防的技术指导、效果监测与评价，预防用生物制品的计划、订购、供应及冷链系统的监测与使用管理。</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（六）拟定健康教育工作规划、计划与实施方案，开展健康教育和健康促进工作。</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（七）拟定全县消毒杀虫工作规划、计划和技术措施，组织开展病原媒介生物和消毒杀虫工作效果监测与评价。</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（八）负责全县传染病疫情等突发公共卫生事件及有关公共卫生信息的收集、分析、报告、管理工作。</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（九）承担卫生监测检验、预防性健康检查、健康相关产品的卫生质量检验、鉴定工作。</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（十）负责对新建、改建、扩建建设项目的选址、设计和竣工验收的卫生学评价工作。</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（十一）指导和参与社区卫生服务、初级卫生保健和改水改厕工作。</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（十二）向社会提供相关的预防保健信息、健康咨询和预防医学诊疗等专业技术服务。</w:t>
      </w:r>
    </w:p>
    <w:p>
      <w:pPr>
        <w:ind w:firstLine="3168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（十三）负责全县疾病预防控制业务人员的技术培训、进修和业务指导。</w:t>
      </w:r>
    </w:p>
    <w:p>
      <w:pPr>
        <w:pStyle w:val="2"/>
        <w:widowControl/>
        <w:pBdr>
          <w:top w:val="none" w:color="000000" w:sz="0" w:space="3"/>
          <w:left w:val="none" w:color="000000" w:sz="0" w:space="3"/>
          <w:bottom w:val="none" w:color="000000" w:sz="0" w:space="3"/>
          <w:right w:val="none" w:color="000000" w:sz="0" w:space="3"/>
          <w:between w:val="none" w:color="000000" w:sz="0" w:space="0"/>
        </w:pBdr>
        <w:shd w:val="clear" w:color="000000" w:fill="FFFFFF"/>
        <w:spacing w:before="180" w:beforeAutospacing="0" w:after="360" w:afterAutospacing="0" w:line="360" w:lineRule="atLeast"/>
        <w:ind w:firstLine="64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（十四）承担上级卫生行政和业务部门交办的其它事宜。</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widowControl/>
        <w:spacing w:before="180" w:beforeAutospacing="0" w:after="360" w:afterAutospacing="0" w:line="450" w:lineRule="atLeast"/>
        <w:ind w:left="260" w:firstLine="73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疾病预防控制中心</w:t>
      </w:r>
      <w:r>
        <w:rPr>
          <w:rFonts w:hint="eastAsia" w:asciiTheme="minorEastAsia" w:hAnsiTheme="minorEastAsia" w:cstheme="minorEastAsia"/>
          <w:sz w:val="28"/>
          <w:szCs w:val="28"/>
          <w:lang w:eastAsia="zh-CN"/>
        </w:rPr>
        <w:t>为全额单位，</w:t>
      </w:r>
      <w:r>
        <w:rPr>
          <w:rFonts w:hint="eastAsia" w:asciiTheme="minorEastAsia" w:hAnsiTheme="minorEastAsia" w:eastAsiaTheme="minorEastAsia" w:cstheme="minorEastAsia"/>
          <w:sz w:val="28"/>
          <w:szCs w:val="28"/>
        </w:rPr>
        <w:t>内设8个科室，包括：办公室、财会室、信息室、卫生检验检测科、传染病预防控制科、免疫规划科、健康教育科、结核病防治科</w:t>
      </w:r>
      <w:r>
        <w:rPr>
          <w:rFonts w:hint="eastAsia" w:asciiTheme="minorEastAsia" w:hAnsiTheme="minorEastAsia" w:cstheme="minorEastAsia"/>
          <w:sz w:val="28"/>
          <w:szCs w:val="28"/>
          <w:lang w:eastAsia="zh-CN"/>
        </w:rPr>
        <w:t>，为一级预算单位。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eastAsiaTheme="minorEastAsia" w:cstheme="minorEastAsia"/>
          <w:sz w:val="28"/>
          <w:szCs w:val="28"/>
        </w:rPr>
        <w:t>疾病预防控制中心现有人员3</w:t>
      </w: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人，其中：在职人员</w:t>
      </w:r>
      <w:r>
        <w:rPr>
          <w:rFonts w:hint="eastAsia" w:asciiTheme="minorEastAsia" w:hAnsiTheme="minorEastAsia" w:cstheme="minorEastAsia"/>
          <w:sz w:val="28"/>
          <w:szCs w:val="28"/>
          <w:lang w:val="en-US" w:eastAsia="zh-CN"/>
        </w:rPr>
        <w:t>19</w:t>
      </w:r>
      <w:r>
        <w:rPr>
          <w:rFonts w:hint="eastAsia" w:asciiTheme="minorEastAsia" w:hAnsiTheme="minorEastAsia" w:eastAsiaTheme="minorEastAsia" w:cstheme="minorEastAsia"/>
          <w:sz w:val="28"/>
          <w:szCs w:val="28"/>
        </w:rPr>
        <w:t>人，退休人员18人。</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481.76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576.55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29.52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5.79</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171.24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42.25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480.76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353.86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73.60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上级补助收入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22.10万元，占4.60：事业收入104.64万元，占21.77：</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576.55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400.01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69.38</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176.54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30.62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353.86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60.98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14.70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455.21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148.83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48.58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455.21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79.06</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148.83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48.58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455.21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16.33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366.08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80.42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0.75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2.50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269.94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455.21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168.63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99.04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253.75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23.45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r>
        <w:rPr>
          <w:rFonts w:hint="eastAsia" w:asciiTheme="minorEastAsia" w:hAnsiTheme="minorEastAsia" w:cstheme="minorEastAsia"/>
          <w:i w:val="0"/>
          <w:caps w:val="0"/>
          <w:color w:val="373737"/>
          <w:spacing w:val="0"/>
          <w:sz w:val="28"/>
          <w:szCs w:val="28"/>
          <w:shd w:val="clear" w:fill="FFFFFF"/>
          <w:vertAlign w:val="baseline"/>
          <w:lang w:eastAsia="zh-CN"/>
        </w:rPr>
        <w:t>；资本性支出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23.16万元，主要包括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及其他资本性支出</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31.30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31.30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31.30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加</w:t>
      </w:r>
      <w:r>
        <w:rPr>
          <w:rFonts w:hint="eastAsia" w:asciiTheme="minorEastAsia" w:hAnsiTheme="minorEastAsia" w:cstheme="minorEastAsia"/>
          <w:i w:val="0"/>
          <w:caps w:val="0"/>
          <w:color w:val="373737"/>
          <w:spacing w:val="0"/>
          <w:sz w:val="28"/>
          <w:szCs w:val="28"/>
          <w:shd w:val="clear" w:fill="FFFFFF"/>
          <w:vertAlign w:val="baseline"/>
          <w:lang w:val="en-US" w:eastAsia="zh-CN"/>
        </w:rPr>
        <w:t>23.60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306.83</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31.30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306.83</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val="en-US" w:eastAsia="zh-CN"/>
        </w:rPr>
        <w:t>2018年新购置一台冷藏车，增加了公务用车购置费及公务用车维护费</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31.30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31.30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17.80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13.50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widowControl/>
        <w:spacing w:before="180" w:beforeAutospacing="0" w:after="360" w:afterAutospacing="0" w:line="450" w:lineRule="atLeast"/>
        <w:ind w:firstLine="63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w:t>
      </w:r>
      <w:r>
        <w:rPr>
          <w:rFonts w:hint="eastAsia" w:asciiTheme="minorEastAsia" w:hAnsiTheme="minorEastAsia" w:cstheme="minorEastAsia"/>
          <w:sz w:val="28"/>
          <w:szCs w:val="28"/>
          <w:lang w:val="en-US" w:eastAsia="zh-CN"/>
        </w:rPr>
        <w:t>8</w:t>
      </w:r>
      <w:r>
        <w:rPr>
          <w:rFonts w:hint="eastAsia" w:asciiTheme="minorEastAsia" w:hAnsiTheme="minorEastAsia" w:eastAsiaTheme="minorEastAsia" w:cstheme="minorEastAsia"/>
          <w:sz w:val="28"/>
          <w:szCs w:val="28"/>
          <w:lang w:val="en-US" w:eastAsia="zh-CN"/>
        </w:rPr>
        <w:t>年度，疾病预防控制中心无任何政府采购支出</w:t>
      </w:r>
      <w:r>
        <w:rPr>
          <w:rFonts w:hint="eastAsia" w:asciiTheme="minorEastAsia" w:hAnsiTheme="minorEastAsia" w:cstheme="minorEastAsia"/>
          <w:sz w:val="28"/>
          <w:szCs w:val="28"/>
          <w:lang w:val="en-US" w:eastAsia="zh-CN"/>
        </w:rPr>
        <w:t>，因此该表无数据。</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 xml:space="preserve">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辆，其他用车主要是</w:t>
      </w:r>
      <w:r>
        <w:rPr>
          <w:rFonts w:hint="eastAsia" w:asciiTheme="minorEastAsia" w:hAnsiTheme="minorEastAsia" w:cstheme="minorEastAsia"/>
          <w:color w:val="333333"/>
          <w:sz w:val="28"/>
          <w:szCs w:val="28"/>
          <w:lang w:eastAsia="zh-CN"/>
        </w:rPr>
        <w:t>输送疫苗用车</w:t>
      </w:r>
      <w:r>
        <w:rPr>
          <w:rFonts w:hint="eastAsia" w:asciiTheme="minorEastAsia" w:hAnsiTheme="minorEastAsia" w:eastAsiaTheme="minorEastAsia" w:cstheme="minorEastAsia"/>
          <w:color w:val="333333"/>
          <w:sz w:val="28"/>
          <w:szCs w:val="28"/>
        </w:rPr>
        <w:t>；单位价值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kern w:val="0"/>
          <w:sz w:val="28"/>
          <w:szCs w:val="28"/>
          <w:lang w:val="en-US" w:eastAsia="zh-CN" w:bidi="ar-SA"/>
        </w:rPr>
        <w:t>据财政预算管理要求和年初设定的绩效目标，我单位组织对 201</w:t>
      </w:r>
      <w:r>
        <w:rPr>
          <w:rFonts w:hint="eastAsia" w:asciiTheme="minorEastAsia" w:hAnsiTheme="minorEastAsia" w:cstheme="minorEastAsia"/>
          <w:color w:val="333333"/>
          <w:kern w:val="0"/>
          <w:sz w:val="28"/>
          <w:szCs w:val="28"/>
          <w:lang w:val="en-US" w:eastAsia="zh-CN" w:bidi="ar-SA"/>
        </w:rPr>
        <w:t>8</w:t>
      </w:r>
      <w:r>
        <w:rPr>
          <w:rFonts w:hint="eastAsia" w:asciiTheme="minorEastAsia" w:hAnsiTheme="minorEastAsia" w:eastAsiaTheme="minorEastAsia" w:cstheme="minorEastAsia"/>
          <w:color w:val="333333"/>
          <w:kern w:val="0"/>
          <w:sz w:val="28"/>
          <w:szCs w:val="28"/>
          <w:lang w:val="en-US" w:eastAsia="zh-CN" w:bidi="ar-SA"/>
        </w:rPr>
        <w:t>年度项目支出全面开展绩效自评。共涉及资金</w:t>
      </w:r>
      <w:r>
        <w:rPr>
          <w:rFonts w:hint="eastAsia" w:asciiTheme="minorEastAsia" w:hAnsiTheme="minorEastAsia" w:cstheme="minorEastAsia"/>
          <w:color w:val="333333"/>
          <w:kern w:val="0"/>
          <w:sz w:val="28"/>
          <w:szCs w:val="28"/>
          <w:lang w:val="en-US" w:eastAsia="zh-CN" w:bidi="ar-SA"/>
        </w:rPr>
        <w:t>44.7</w:t>
      </w:r>
      <w:r>
        <w:rPr>
          <w:rFonts w:hint="eastAsia" w:asciiTheme="minorEastAsia" w:hAnsiTheme="minorEastAsia" w:eastAsiaTheme="minorEastAsia" w:cstheme="minorEastAsia"/>
          <w:color w:val="333333"/>
          <w:kern w:val="0"/>
          <w:sz w:val="28"/>
          <w:szCs w:val="28"/>
          <w:lang w:val="en-US" w:eastAsia="zh-CN" w:bidi="ar-SA"/>
        </w:rPr>
        <w:t>万元，自评覆盖率达到98%。共组织对“艾滋病、地方病、水质监测</w:t>
      </w:r>
      <w:r>
        <w:rPr>
          <w:rFonts w:hint="eastAsia" w:asciiTheme="minorEastAsia" w:hAnsiTheme="minorEastAsia" w:cstheme="minorEastAsia"/>
          <w:color w:val="333333"/>
          <w:kern w:val="0"/>
          <w:sz w:val="28"/>
          <w:szCs w:val="28"/>
          <w:lang w:val="en-US" w:eastAsia="zh-CN" w:bidi="ar-SA"/>
        </w:rPr>
        <w:t>、心血管疾病高危筛查</w:t>
      </w:r>
      <w:r>
        <w:rPr>
          <w:rFonts w:hint="eastAsia" w:asciiTheme="minorEastAsia" w:hAnsiTheme="minorEastAsia" w:eastAsiaTheme="minorEastAsia" w:cstheme="minorEastAsia"/>
          <w:color w:val="333333"/>
          <w:kern w:val="0"/>
          <w:sz w:val="28"/>
          <w:szCs w:val="28"/>
          <w:lang w:val="en-US" w:eastAsia="zh-CN" w:bidi="ar-SA"/>
        </w:rPr>
        <w:t>”等9个项目进行了绩效评价，共涉及资金</w:t>
      </w:r>
      <w:r>
        <w:rPr>
          <w:rFonts w:hint="eastAsia" w:asciiTheme="minorEastAsia" w:hAnsiTheme="minorEastAsia" w:cstheme="minorEastAsia"/>
          <w:color w:val="333333"/>
          <w:kern w:val="0"/>
          <w:sz w:val="28"/>
          <w:szCs w:val="28"/>
          <w:lang w:val="en-US" w:eastAsia="zh-CN" w:bidi="ar-SA"/>
        </w:rPr>
        <w:t>44.7</w:t>
      </w:r>
      <w:r>
        <w:rPr>
          <w:rFonts w:hint="eastAsia" w:asciiTheme="minorEastAsia" w:hAnsiTheme="minorEastAsia" w:eastAsiaTheme="minorEastAsia" w:cstheme="minorEastAsia"/>
          <w:color w:val="333333"/>
          <w:kern w:val="0"/>
          <w:sz w:val="28"/>
          <w:szCs w:val="28"/>
          <w:lang w:val="en-US" w:eastAsia="zh-CN" w:bidi="ar-SA"/>
        </w:rPr>
        <w:t>万元。从评价情况来看，极大程度上提高了单位领导项目管理水平、提高资金使用效益，使基本公共卫生服务专项资金更好地为全县的广大人民群众身体健康发挥其应有的作用。并且加强了传染病、地方病防控，全面提升艾滋病、结核病防控水平，加强非传染性疾病防控工作，进一步提高居民健康水平，积极探索慢病防控模式。</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E980DC7"/>
    <w:rsid w:val="179B676B"/>
    <w:rsid w:val="188B3948"/>
    <w:rsid w:val="1CFB22BC"/>
    <w:rsid w:val="2A054FEB"/>
    <w:rsid w:val="2DE7389C"/>
    <w:rsid w:val="3DDC6AB6"/>
    <w:rsid w:val="3FC73C51"/>
    <w:rsid w:val="419008B3"/>
    <w:rsid w:val="62440F70"/>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   〆冷暖你知</cp:lastModifiedBy>
  <dcterms:modified xsi:type="dcterms:W3CDTF">2019-08-30T08:23:37Z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