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国土局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firstLine="98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一、主要职能</w:t>
      </w:r>
    </w:p>
    <w:p>
      <w:pPr>
        <w:pStyle w:val="2"/>
        <w:keepNext w:val="0"/>
        <w:keepLines w:val="0"/>
        <w:widowControl/>
        <w:suppressLineNumbers w:val="0"/>
        <w:spacing w:before="180" w:beforeAutospacing="0" w:after="360" w:afterAutospacing="0" w:line="450" w:lineRule="atLeast"/>
        <w:ind w:left="0" w:right="0" w:firstLine="980"/>
        <w:jc w:val="left"/>
        <w:rPr>
          <w:rFonts w:hint="eastAsia" w:asciiTheme="minorEastAsia" w:hAnsiTheme="minorEastAsia" w:eastAsiaTheme="minorEastAsia" w:cstheme="minorEastAsia"/>
          <w:color w:val="333333"/>
          <w:sz w:val="28"/>
          <w:szCs w:val="28"/>
        </w:rPr>
      </w:pPr>
      <w:r>
        <w:rPr>
          <w:rFonts w:hint="eastAsia" w:cs="宋体"/>
          <w:sz w:val="28"/>
          <w:szCs w:val="28"/>
        </w:rPr>
        <w:t>依法保护土地资源、矿产资源等自然资源所有者和使用者的合法权益，指导和组织未利用土地开发、土地整理、土地复垦和耕地开发工作；土地用途管制，农用地转征，审核报批，土地调查，地籍调查，分等定级，土地使用权出让、租赁、作价、政府收购、国有土地资产处置工作；土地、房屋、林地、草原、水域等不动产登记、发证工作，规范和监督矿业权市场。</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自然资源局</w:t>
      </w: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104</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31</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31</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事业编制</w:t>
      </w:r>
      <w:r>
        <w:rPr>
          <w:rFonts w:hint="eastAsia" w:asciiTheme="minorEastAsia" w:hAnsiTheme="minorEastAsia" w:cstheme="minorEastAsia"/>
          <w:color w:val="333333"/>
          <w:sz w:val="28"/>
          <w:szCs w:val="28"/>
          <w:lang w:val="en-US" w:eastAsia="zh-CN"/>
        </w:rPr>
        <w:t>73</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70</w:t>
      </w:r>
      <w:r>
        <w:rPr>
          <w:rFonts w:hint="eastAsia" w:asciiTheme="minorEastAsia" w:hAnsiTheme="minorEastAsia" w:eastAsiaTheme="minorEastAsia" w:cstheme="minorEastAsia"/>
          <w:color w:val="333333"/>
          <w:sz w:val="28"/>
          <w:szCs w:val="28"/>
        </w:rPr>
        <w:t>人，退休</w:t>
      </w:r>
      <w:bookmarkStart w:id="0" w:name="_GoBack"/>
      <w:r>
        <w:rPr>
          <w:rFonts w:hint="eastAsia" w:asciiTheme="minorEastAsia" w:hAnsiTheme="minorEastAsia" w:cstheme="minorEastAsia"/>
          <w:color w:val="333333"/>
          <w:sz w:val="28"/>
          <w:szCs w:val="28"/>
          <w:lang w:val="en-US" w:eastAsia="zh-CN"/>
        </w:rPr>
        <w:t>10</w:t>
      </w:r>
      <w:bookmarkEnd w:id="0"/>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val="en-US" w:eastAsia="zh-CN"/>
        </w:rPr>
        <w:t xml:space="preserve">                                                                                                       </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7802.88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7695.55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3587.56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87.33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3694.9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89.94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7802.88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7797.94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4.94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99.93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7695.55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1217.86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15.82</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6227.54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80.92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对附属单位支出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250.15万元，占3.26%</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7797.94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4098.27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110.77</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7695.55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3587.57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87.33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7695.55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3587.57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87.33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7695.55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b/>
          <w:bCs/>
          <w:i w:val="0"/>
          <w:caps w:val="0"/>
          <w:color w:val="373737"/>
          <w:spacing w:val="0"/>
          <w:sz w:val="28"/>
          <w:szCs w:val="28"/>
          <w:shd w:val="clear" w:fill="FFFFFF"/>
          <w:vertAlign w:val="baseline"/>
          <w:lang w:eastAsia="zh-CN"/>
        </w:rPr>
        <w:t>国土海洋气象等</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3187.61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41.42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3492.72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45.39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0.41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城乡社区等支出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903.52万元，占11.74%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563.49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7695.55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1365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w:t>
      </w:r>
      <w:r>
        <w:rPr>
          <w:rFonts w:hint="eastAsia" w:asciiTheme="minorEastAsia" w:hAnsiTheme="minorEastAsia" w:cstheme="minorEastAsia"/>
          <w:i w:val="0"/>
          <w:caps w:val="0"/>
          <w:color w:val="373737"/>
          <w:spacing w:val="0"/>
          <w:sz w:val="28"/>
          <w:szCs w:val="28"/>
          <w:shd w:val="clear" w:fill="FFFFFF"/>
          <w:vertAlign w:val="baseline"/>
          <w:lang w:eastAsia="zh-CN"/>
        </w:rPr>
        <w:t>新增项目施工费导致项目建设付工程款</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60.99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131.17</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城乡社区支出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903.52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2018年增加了固定资产的增加和办公楼的改造。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3492.72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36.2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小于</w:t>
      </w:r>
      <w:r>
        <w:rPr>
          <w:rFonts w:hint="eastAsia" w:asciiTheme="minorEastAsia" w:hAnsiTheme="minorEastAsia" w:eastAsiaTheme="minorEastAsia" w:cstheme="minorEastAsia"/>
          <w:i w:val="0"/>
          <w:caps w:val="0"/>
          <w:color w:val="373737"/>
          <w:spacing w:val="0"/>
          <w:sz w:val="28"/>
          <w:szCs w:val="28"/>
          <w:shd w:val="clear" w:fill="FFFFFF"/>
          <w:vertAlign w:val="baseline"/>
        </w:rPr>
        <w:t>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w:t>
      </w:r>
      <w:r>
        <w:rPr>
          <w:rFonts w:hint="eastAsia" w:asciiTheme="minorEastAsia" w:hAnsiTheme="minorEastAsia" w:cstheme="minorEastAsia"/>
          <w:i w:val="0"/>
          <w:caps w:val="0"/>
          <w:color w:val="373737"/>
          <w:spacing w:val="0"/>
          <w:sz w:val="28"/>
          <w:szCs w:val="28"/>
          <w:shd w:val="clear" w:fill="FFFFFF"/>
          <w:vertAlign w:val="baseline"/>
          <w:lang w:eastAsia="zh-CN"/>
        </w:rPr>
        <w:t>退休，使公积金支出减少。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1217.86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736.34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16.11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76.92</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4.71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77.37</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97.52</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2.48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188.29</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10.21</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5.14</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财会部门严格控制运行经费</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702B7C"/>
    <w:rsid w:val="1CFB22BC"/>
    <w:rsid w:val="2A054FEB"/>
    <w:rsid w:val="2DE7389C"/>
    <w:rsid w:val="3DDC6AB6"/>
    <w:rsid w:val="419008B3"/>
    <w:rsid w:val="472224F7"/>
    <w:rsid w:val="611744B4"/>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uiPriority w:val="0"/>
  </w:style>
  <w:style w:type="character" w:customStyle="1" w:styleId="15">
    <w:name w:val="td32"/>
    <w:basedOn w:val="3"/>
    <w:uiPriority w:val="0"/>
  </w:style>
  <w:style w:type="character" w:customStyle="1" w:styleId="16">
    <w:name w:val="hom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2019-08-28T01:45:00Z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