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水务局</w:t>
      </w:r>
      <w:r>
        <w:rPr>
          <w:rFonts w:hint="eastAsia" w:asciiTheme="minorEastAsia" w:hAnsiTheme="minorEastAsia" w:eastAsiaTheme="minorEastAsia" w:cstheme="minorEastAsia"/>
          <w:b/>
          <w:color w:val="333333"/>
          <w:sz w:val="28"/>
          <w:szCs w:val="28"/>
          <w:lang w:val="en-US" w:eastAsia="zh-CN"/>
        </w:rPr>
        <w:t>决算文字说明</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ind w:firstLine="420" w:firstLineChars="200"/>
        <w:rPr>
          <w:rFonts w:hint="eastAsia" w:ascii="宋体" w:hAnsi="宋体" w:eastAsia="宋体" w:cs="宋体"/>
          <w:kern w:val="0"/>
          <w:lang w:bidi="ar"/>
        </w:rPr>
      </w:pPr>
      <w:r>
        <w:rPr>
          <w:rFonts w:ascii="宋体" w:hAnsi="宋体" w:eastAsia="宋体" w:cs="宋体"/>
          <w:kern w:val="0"/>
          <w:lang w:bidi="ar"/>
        </w:rPr>
        <w:t>绥滨</w:t>
      </w:r>
      <w:r>
        <w:rPr>
          <w:rFonts w:ascii="宋体" w:hAnsi="宋体" w:eastAsia="宋体" w:cs="宋体"/>
          <w:sz w:val="24"/>
          <w:szCs w:val="24"/>
        </w:rPr>
        <w:t>（一）负责保障水资源的合理开发利用，贯彻执行国家、省、市水利战略规划和政策，起草有关规章制度，组织编制全市水资源战略规划、市级辖区内江河湖泊流域综合规划、防洪规划等。</w:t>
      </w:r>
      <w:r>
        <w:rPr>
          <w:rFonts w:ascii="宋体" w:hAnsi="宋体" w:eastAsia="宋体" w:cs="宋体"/>
          <w:sz w:val="24"/>
          <w:szCs w:val="24"/>
        </w:rPr>
        <w:br w:type="textWrapping"/>
      </w:r>
      <w:r>
        <w:rPr>
          <w:rFonts w:ascii="宋体" w:hAnsi="宋体" w:eastAsia="宋体" w:cs="宋体"/>
          <w:sz w:val="24"/>
          <w:szCs w:val="24"/>
        </w:rPr>
        <w:t>（二）负责生活、生产经营和生态环境用水的统筹和保障。组织实施最严格水资源管理制度，实施全市水资源的统一监督管理，拟订市管江河区域以及调水工程的水资源调度。组织实施取水许可、水资源论证和防洪论证制度，指导开展水资源有偿使用工作。指导水利行业供水工作。</w:t>
      </w:r>
      <w:r>
        <w:rPr>
          <w:rFonts w:ascii="宋体" w:hAnsi="宋体" w:eastAsia="宋体" w:cs="宋体"/>
          <w:sz w:val="24"/>
          <w:szCs w:val="24"/>
        </w:rPr>
        <w:br w:type="textWrapping"/>
      </w:r>
      <w:r>
        <w:rPr>
          <w:rFonts w:ascii="宋体" w:hAnsi="宋体" w:eastAsia="宋体" w:cs="宋体"/>
          <w:sz w:val="24"/>
          <w:szCs w:val="24"/>
        </w:rPr>
        <w:t>（三）按规定制定水利工程建设有关制度并组织实施，负责提出水利固定资产投资规模、方向、具体安排建议并组织指导实施，按市政府规定权限审查市级规划内和年度计划规模内固定资产投资项目，提出中央、省、市级水利资金安排建议并负责项目实施的监督管理。</w:t>
      </w:r>
      <w:r>
        <w:rPr>
          <w:rFonts w:ascii="宋体" w:hAnsi="宋体" w:eastAsia="宋体" w:cs="宋体"/>
          <w:sz w:val="24"/>
          <w:szCs w:val="24"/>
        </w:rPr>
        <w:br w:type="textWrapping"/>
      </w:r>
      <w:r>
        <w:rPr>
          <w:rFonts w:ascii="宋体" w:hAnsi="宋体" w:eastAsia="宋体" w:cs="宋体"/>
          <w:sz w:val="24"/>
          <w:szCs w:val="24"/>
        </w:rPr>
        <w:t>（四）指导水资源保护工作。组织编制并实施水资源保护规划。指导饮用水水源保护有关工作；指导地下水开发利用和地下水资源管理保护。组织指导地下水超采综合治理。</w:t>
      </w:r>
      <w:r>
        <w:rPr>
          <w:rFonts w:ascii="宋体" w:hAnsi="宋体" w:eastAsia="宋体" w:cs="宋体"/>
          <w:sz w:val="24"/>
          <w:szCs w:val="24"/>
        </w:rPr>
        <w:br w:type="textWrapping"/>
      </w:r>
      <w:r>
        <w:rPr>
          <w:rFonts w:ascii="宋体" w:hAnsi="宋体" w:eastAsia="宋体" w:cs="宋体"/>
          <w:sz w:val="24"/>
          <w:szCs w:val="24"/>
        </w:rPr>
        <w:t>（五）负责节约用水工作。组织编制节约用水规划并监督实施。组织实施用水总量控制等管理制度，指导和推动节水型社会建设工作。</w:t>
      </w:r>
      <w:r>
        <w:rPr>
          <w:rFonts w:ascii="宋体" w:hAnsi="宋体" w:eastAsia="宋体" w:cs="宋体"/>
          <w:sz w:val="24"/>
          <w:szCs w:val="24"/>
        </w:rPr>
        <w:br w:type="textWrapping"/>
      </w:r>
      <w:r>
        <w:rPr>
          <w:rFonts w:ascii="宋体" w:hAnsi="宋体" w:eastAsia="宋体" w:cs="宋体"/>
          <w:sz w:val="24"/>
          <w:szCs w:val="24"/>
        </w:rPr>
        <w:t>（六）指导水文工作。负责水文水资源监测、水文站网建设和管理。对辖区内江河湖库和地下水实施监测，发布水文水资源信息、情报预报和全市水资源公报。按规定组织开展水资源、水能资源调查评价和水资源承载能力监测预警工作。</w:t>
      </w:r>
      <w:r>
        <w:rPr>
          <w:rFonts w:ascii="宋体" w:hAnsi="宋体" w:eastAsia="宋体" w:cs="宋体"/>
          <w:sz w:val="24"/>
          <w:szCs w:val="24"/>
        </w:rPr>
        <w:br w:type="textWrapping"/>
      </w:r>
      <w:r>
        <w:rPr>
          <w:rFonts w:ascii="宋体" w:hAnsi="宋体" w:eastAsia="宋体" w:cs="宋体"/>
          <w:sz w:val="24"/>
          <w:szCs w:val="24"/>
        </w:rPr>
        <w:t>（七）指导水利设施、水域及其岸线的管理、保护与综合利用。组织指导水利基础设施网络建设。指导辖区内河流及河口的治理、开发和保护。指导河湖水生态保护与修复、河湖生态流量水量管理以及河湖水系连通工作。</w:t>
      </w:r>
      <w:r>
        <w:rPr>
          <w:rFonts w:ascii="宋体" w:hAnsi="宋体" w:eastAsia="宋体" w:cs="宋体"/>
          <w:sz w:val="24"/>
          <w:szCs w:val="24"/>
        </w:rPr>
        <w:br w:type="textWrapping"/>
      </w:r>
      <w:r>
        <w:rPr>
          <w:rFonts w:ascii="宋体" w:hAnsi="宋体" w:eastAsia="宋体" w:cs="宋体"/>
          <w:sz w:val="24"/>
          <w:szCs w:val="24"/>
        </w:rPr>
        <w:t>（八）指导监督水利工程建设与运行管理。组织实施具有控制性的和跨区域的水利工程建设与运行管理。指导监督水利工程安全运行，组织水利工程验收有关工作，指导所辖中小型水利工程验收工作。</w:t>
      </w:r>
      <w:r>
        <w:rPr>
          <w:rFonts w:ascii="宋体" w:hAnsi="宋体" w:eastAsia="宋体" w:cs="宋体"/>
          <w:sz w:val="24"/>
          <w:szCs w:val="24"/>
        </w:rPr>
        <w:br w:type="textWrapping"/>
      </w:r>
      <w:r>
        <w:rPr>
          <w:rFonts w:ascii="宋体" w:hAnsi="宋体" w:eastAsia="宋体" w:cs="宋体"/>
          <w:sz w:val="24"/>
          <w:szCs w:val="24"/>
        </w:rPr>
        <w:t>（九）负责水土保持工作。拟订水土保持规划并监督实施，组织实施水土流失的综合防治、监测预报并定期公告。负责建设项目水土保持监督管理工作，负责国家和省市级水土保持建设项目的实施。</w:t>
      </w:r>
      <w:r>
        <w:rPr>
          <w:rFonts w:ascii="宋体" w:hAnsi="宋体" w:eastAsia="宋体" w:cs="宋体"/>
          <w:sz w:val="24"/>
          <w:szCs w:val="24"/>
        </w:rPr>
        <w:br w:type="textWrapping"/>
      </w:r>
      <w:r>
        <w:rPr>
          <w:rFonts w:ascii="宋体" w:hAnsi="宋体" w:eastAsia="宋体" w:cs="宋体"/>
          <w:sz w:val="24"/>
          <w:szCs w:val="24"/>
        </w:rPr>
        <w:t>（十）指导农村水利工作。组织开展所辖灌排工程建设与改造。指导农村饮水安全工程建设管理工作，指导节水灌溉有关工作。指导农村水利改革创新和社会化服务体系建设。指导农村水能资源开发、小水电改造和水电农村电气化工作。</w:t>
      </w:r>
      <w:r>
        <w:rPr>
          <w:rFonts w:ascii="宋体" w:hAnsi="宋体" w:eastAsia="宋体" w:cs="宋体"/>
          <w:sz w:val="24"/>
          <w:szCs w:val="24"/>
        </w:rPr>
        <w:br w:type="textWrapping"/>
      </w:r>
      <w:r>
        <w:rPr>
          <w:rFonts w:ascii="宋体" w:hAnsi="宋体" w:eastAsia="宋体" w:cs="宋体"/>
          <w:sz w:val="24"/>
          <w:szCs w:val="24"/>
        </w:rPr>
        <w:t>（十一）负责涉水违法事件的查处，协调和仲裁跨县、区水事纠纷，指导水政监察和水行政执法。负责全市水利行业安全生产工作，组织指导水库、水电站大坝、农村水电站的安全监管。指导水利建设市场的监督管理，组织实施全市水利工程建设的监督。</w:t>
      </w:r>
      <w:r>
        <w:rPr>
          <w:rFonts w:ascii="宋体" w:hAnsi="宋体" w:eastAsia="宋体" w:cs="宋体"/>
          <w:sz w:val="24"/>
          <w:szCs w:val="24"/>
        </w:rPr>
        <w:br w:type="textWrapping"/>
      </w:r>
      <w:r>
        <w:rPr>
          <w:rFonts w:ascii="宋体" w:hAnsi="宋体" w:eastAsia="宋体" w:cs="宋体"/>
          <w:sz w:val="24"/>
          <w:szCs w:val="24"/>
        </w:rPr>
        <w:t>（十二）开展水利科技和外事工作。组织开展水利行业质量监督工作，拟订全市水利行业的技术标准、规程规范并监督实施。办理国际河流有关涉外事务。</w:t>
      </w:r>
      <w:r>
        <w:rPr>
          <w:rFonts w:ascii="宋体" w:hAnsi="宋体" w:eastAsia="宋体" w:cs="宋体"/>
          <w:sz w:val="24"/>
          <w:szCs w:val="24"/>
        </w:rPr>
        <w:br w:type="textWrapping"/>
      </w:r>
      <w:r>
        <w:rPr>
          <w:rFonts w:ascii="宋体" w:hAnsi="宋体" w:eastAsia="宋体" w:cs="宋体"/>
          <w:sz w:val="24"/>
          <w:szCs w:val="24"/>
        </w:rPr>
        <w:t>（十三）负责落实综合防灾减灾规划相关要求，组织编制洪水干旱灾害防治规划和防护标准并指导实施。承担水情旱情监测预警工作。组织编制辖区内江河湖泊和水工程的防御洪水抗御旱灾调度及应急水量调度方案，按程序报批并组织实施。承担防御洪水应急抢险的技术支撑工作。</w:t>
      </w:r>
      <w:r>
        <w:rPr>
          <w:rFonts w:ascii="宋体" w:hAnsi="宋体" w:eastAsia="宋体" w:cs="宋体"/>
          <w:sz w:val="24"/>
          <w:szCs w:val="24"/>
        </w:rPr>
        <w:br w:type="textWrapping"/>
      </w:r>
      <w:r>
        <w:rPr>
          <w:rFonts w:ascii="宋体" w:hAnsi="宋体" w:eastAsia="宋体" w:cs="宋体"/>
          <w:sz w:val="24"/>
          <w:szCs w:val="24"/>
        </w:rPr>
        <w:t>（十四）承担河长制组织实施具体工作，负责组织协调、调度督导、检查考核，落实河长确定的事项。承担市河长制办公室日常工作。</w:t>
      </w:r>
      <w:r>
        <w:rPr>
          <w:rFonts w:ascii="宋体" w:hAnsi="宋体" w:eastAsia="宋体" w:cs="宋体"/>
          <w:sz w:val="24"/>
          <w:szCs w:val="24"/>
        </w:rPr>
        <w:br w:type="textWrapping"/>
      </w:r>
      <w:r>
        <w:rPr>
          <w:rFonts w:ascii="宋体" w:hAnsi="宋体" w:eastAsia="宋体" w:cs="宋体"/>
          <w:sz w:val="24"/>
          <w:szCs w:val="24"/>
        </w:rPr>
        <w:t>（十五）负责全市供排水管理工作，负责制定全市供排水设施近、远期发展规划和供排水管网更新改造与维修计划，并组织实施。负责市政排水设施的入网审批、监督、查处及验收备案工作。</w:t>
      </w:r>
      <w:r>
        <w:rPr>
          <w:rFonts w:ascii="宋体" w:hAnsi="宋体" w:eastAsia="宋体" w:cs="宋体"/>
          <w:sz w:val="24"/>
          <w:szCs w:val="24"/>
        </w:rPr>
        <w:br w:type="textWrapping"/>
      </w:r>
      <w:r>
        <w:rPr>
          <w:rFonts w:ascii="宋体" w:hAnsi="宋体" w:eastAsia="宋体" w:cs="宋体"/>
          <w:sz w:val="24"/>
          <w:szCs w:val="24"/>
        </w:rPr>
        <w:t>（十六）完成市委、市政府交办的其他任务。</w:t>
      </w:r>
      <w:r>
        <w:rPr>
          <w:rFonts w:ascii="宋体" w:hAnsi="宋体" w:eastAsia="宋体" w:cs="宋体"/>
          <w:sz w:val="24"/>
          <w:szCs w:val="24"/>
        </w:rPr>
        <w:br w:type="textWrapping"/>
      </w:r>
      <w:r>
        <w:rPr>
          <w:rFonts w:ascii="宋体" w:hAnsi="宋体" w:eastAsia="宋体" w:cs="宋体"/>
          <w:sz w:val="24"/>
          <w:szCs w:val="24"/>
        </w:rPr>
        <w:t>（十七）职能转变。市水务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r>
        <w:rPr>
          <w:rFonts w:ascii="宋体" w:hAnsi="宋体" w:eastAsia="宋体" w:cs="宋体"/>
          <w:kern w:val="0"/>
          <w:lang w:bidi="ar"/>
        </w:rPr>
        <w:t>县水务局职能配置、内设机构和人员编制规定 根据《黑龙江省机构编制委员会关于印发&lt;绥滨县人民政府机构改革方案&gt;的通知》（黑编[2010]59号），设立县水务局，为县政府工作部门。</w:t>
      </w:r>
    </w:p>
    <w:p>
      <w:pPr>
        <w:ind w:firstLine="420" w:firstLineChars="200"/>
        <w:rPr>
          <w:rFonts w:hint="eastAsia" w:ascii="宋体" w:hAnsi="宋体" w:eastAsia="宋体" w:cs="宋体"/>
          <w:kern w:val="0"/>
          <w:lang w:val="en-US" w:eastAsia="zh-CN" w:bidi="ar"/>
        </w:rPr>
      </w:pP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p>
    <w:p>
      <w:pPr>
        <w:pStyle w:val="3"/>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ind w:firstLine="560" w:firstLineChars="200"/>
        <w:rPr>
          <w:rFonts w:hint="eastAsia" w:ascii="宋体" w:hAnsi="宋体" w:eastAsia="宋体" w:cs="宋体"/>
          <w:kern w:val="0"/>
          <w:lang w:bidi="ar"/>
        </w:rPr>
      </w:pPr>
      <w:r>
        <w:rPr>
          <w:rFonts w:hint="eastAsia" w:asciiTheme="minorEastAsia" w:hAnsiTheme="minorEastAsia" w:eastAsiaTheme="minorEastAsia" w:cstheme="minorEastAsia"/>
          <w:color w:val="333333"/>
          <w:sz w:val="28"/>
          <w:szCs w:val="28"/>
          <w:shd w:val="clear" w:fill="FFFFFF"/>
        </w:rPr>
        <w:t>    </w:t>
      </w:r>
      <w:r>
        <w:rPr>
          <w:rFonts w:ascii="宋体" w:hAnsi="宋体" w:eastAsia="宋体" w:cs="宋体"/>
          <w:kern w:val="0"/>
          <w:lang w:bidi="ar"/>
        </w:rPr>
        <w:t>（一）贯彻执行国家和省有关水利水务工作的方针政策和法律法规，并组织监督实施。</w:t>
      </w:r>
    </w:p>
    <w:p>
      <w:pPr>
        <w:ind w:firstLine="420" w:firstLineChars="200"/>
        <w:rPr>
          <w:rFonts w:hint="eastAsia" w:ascii="宋体" w:hAnsi="宋体" w:eastAsia="宋体" w:cs="宋体"/>
          <w:kern w:val="0"/>
          <w:lang w:bidi="ar"/>
        </w:rPr>
      </w:pPr>
      <w:r>
        <w:rPr>
          <w:rFonts w:hint="eastAsia" w:ascii="宋体" w:hAnsi="宋体" w:eastAsia="宋体" w:cs="宋体"/>
          <w:kern w:val="0"/>
          <w:lang w:val="en-US" w:eastAsia="zh-CN" w:bidi="ar"/>
        </w:rPr>
        <w:t>(</w:t>
      </w:r>
      <w:r>
        <w:rPr>
          <w:rFonts w:ascii="宋体" w:hAnsi="宋体" w:eastAsia="宋体" w:cs="宋体"/>
          <w:kern w:val="0"/>
          <w:lang w:bidi="ar"/>
        </w:rPr>
        <w:t>二）负责保障水资源的合理开发利用，组织编制全县水务事</w:t>
      </w:r>
    </w:p>
    <w:p>
      <w:pPr>
        <w:ind w:firstLine="420" w:firstLineChars="200"/>
        <w:rPr>
          <w:rFonts w:hint="eastAsia" w:ascii="宋体" w:hAnsi="宋体" w:eastAsia="宋体" w:cs="宋体"/>
          <w:kern w:val="0"/>
          <w:lang w:bidi="ar"/>
        </w:rPr>
      </w:pPr>
      <w:r>
        <w:rPr>
          <w:rFonts w:ascii="宋体" w:hAnsi="宋体" w:eastAsia="宋体" w:cs="宋体"/>
          <w:kern w:val="0"/>
          <w:lang w:bidi="ar"/>
        </w:rPr>
        <w:t>业发展战略规划、中长期规划和年度计划并组织实施；对县国民经济总体规划、城镇规划及重大建设项目中的水资源、水土保持和防洪等涉水方面的内容组织论证工作。编制全县水务系统部门预算。</w:t>
      </w: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ind w:firstLine="420" w:firstLineChars="200"/>
        <w:rPr>
          <w:rFonts w:hint="eastAsia" w:ascii="宋体" w:hAnsi="宋体" w:eastAsia="宋体"/>
        </w:rPr>
      </w:pPr>
      <w:r>
        <w:rPr>
          <w:rFonts w:hint="eastAsia" w:ascii="宋体" w:hAnsi="宋体" w:eastAsia="宋体"/>
        </w:rPr>
        <w:t>绥滨县水务局预算是包括绥滨县水务局本部5个内设机构，包括：办公室、财务室，项目办，河长办，人事劳资办。以及下属9家预算单位的综合收支计划。本部门中，行政单位1家，事业单位9家，具体情况如下：</w:t>
      </w:r>
    </w:p>
    <w:p>
      <w:pPr>
        <w:ind w:firstLine="420" w:firstLineChars="200"/>
        <w:rPr>
          <w:rFonts w:hint="eastAsia" w:ascii="宋体" w:hAnsi="宋体" w:eastAsia="宋体"/>
        </w:rPr>
      </w:pPr>
    </w:p>
    <w:tbl>
      <w:tblPr>
        <w:tblStyle w:val="4"/>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3402"/>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序号</w:t>
            </w:r>
          </w:p>
        </w:tc>
        <w:tc>
          <w:tcPr>
            <w:tcW w:w="3402" w:type="dxa"/>
            <w:noWrap w:val="0"/>
            <w:vAlign w:val="center"/>
          </w:tcPr>
          <w:p>
            <w:pPr>
              <w:pStyle w:val="2"/>
              <w:spacing w:line="360" w:lineRule="auto"/>
              <w:jc w:val="center"/>
              <w:rPr>
                <w:rFonts w:hint="eastAsia"/>
                <w:lang w:val="en-US"/>
              </w:rPr>
            </w:pPr>
            <w:r>
              <w:rPr>
                <w:rFonts w:hint="eastAsia"/>
                <w:lang w:val="en-US"/>
              </w:rPr>
              <w:t>单位名称</w:t>
            </w:r>
          </w:p>
        </w:tc>
        <w:tc>
          <w:tcPr>
            <w:tcW w:w="3119" w:type="dxa"/>
            <w:noWrap w:val="0"/>
            <w:vAlign w:val="center"/>
          </w:tcPr>
          <w:p>
            <w:pPr>
              <w:pStyle w:val="2"/>
              <w:spacing w:line="360" w:lineRule="auto"/>
              <w:jc w:val="center"/>
              <w:rPr>
                <w:rFonts w:hint="eastAsia"/>
                <w:lang w:val="en-US"/>
              </w:rPr>
            </w:pPr>
            <w:r>
              <w:rPr>
                <w:rFonts w:hint="eastAsia"/>
                <w:lang w:val="en-US"/>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1</w:t>
            </w:r>
          </w:p>
        </w:tc>
        <w:tc>
          <w:tcPr>
            <w:tcW w:w="3402" w:type="dxa"/>
            <w:noWrap w:val="0"/>
            <w:vAlign w:val="top"/>
          </w:tcPr>
          <w:p>
            <w:pPr>
              <w:pStyle w:val="2"/>
              <w:spacing w:line="360" w:lineRule="auto"/>
              <w:jc w:val="center"/>
              <w:rPr>
                <w:rFonts w:hint="eastAsia"/>
              </w:rPr>
            </w:pPr>
            <w:r>
              <w:rPr>
                <w:rFonts w:hint="eastAsia"/>
              </w:rPr>
              <w:t>河道处管理处</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2</w:t>
            </w:r>
          </w:p>
        </w:tc>
        <w:tc>
          <w:tcPr>
            <w:tcW w:w="3402" w:type="dxa"/>
            <w:noWrap w:val="0"/>
            <w:vAlign w:val="top"/>
          </w:tcPr>
          <w:p>
            <w:pPr>
              <w:pStyle w:val="2"/>
              <w:spacing w:line="360" w:lineRule="auto"/>
              <w:jc w:val="center"/>
              <w:rPr>
                <w:rFonts w:hint="eastAsia"/>
              </w:rPr>
            </w:pPr>
            <w:r>
              <w:rPr>
                <w:rFonts w:hint="eastAsia"/>
              </w:rPr>
              <w:t>水利农田管理总站</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3</w:t>
            </w:r>
          </w:p>
        </w:tc>
        <w:tc>
          <w:tcPr>
            <w:tcW w:w="3402" w:type="dxa"/>
            <w:noWrap w:val="0"/>
            <w:vAlign w:val="top"/>
          </w:tcPr>
          <w:p>
            <w:pPr>
              <w:pStyle w:val="2"/>
              <w:spacing w:line="360" w:lineRule="auto"/>
              <w:jc w:val="center"/>
              <w:rPr>
                <w:rFonts w:hint="eastAsia"/>
              </w:rPr>
            </w:pPr>
            <w:r>
              <w:rPr>
                <w:rFonts w:hint="eastAsia"/>
              </w:rPr>
              <w:t>水利勘测设计队</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4</w:t>
            </w:r>
          </w:p>
        </w:tc>
        <w:tc>
          <w:tcPr>
            <w:tcW w:w="3402" w:type="dxa"/>
            <w:noWrap w:val="0"/>
            <w:vAlign w:val="top"/>
          </w:tcPr>
          <w:p>
            <w:pPr>
              <w:pStyle w:val="2"/>
              <w:spacing w:line="360" w:lineRule="auto"/>
              <w:jc w:val="center"/>
              <w:rPr>
                <w:rFonts w:hint="eastAsia"/>
              </w:rPr>
            </w:pPr>
            <w:r>
              <w:rPr>
                <w:rFonts w:hint="eastAsia"/>
              </w:rPr>
              <w:t>水行政执法大队</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5</w:t>
            </w:r>
          </w:p>
        </w:tc>
        <w:tc>
          <w:tcPr>
            <w:tcW w:w="3402" w:type="dxa"/>
            <w:noWrap w:val="0"/>
            <w:vAlign w:val="top"/>
          </w:tcPr>
          <w:p>
            <w:pPr>
              <w:pStyle w:val="2"/>
              <w:spacing w:line="360" w:lineRule="auto"/>
              <w:jc w:val="center"/>
              <w:rPr>
                <w:rFonts w:hint="eastAsia"/>
              </w:rPr>
            </w:pPr>
            <w:r>
              <w:rPr>
                <w:rFonts w:hint="eastAsia"/>
              </w:rPr>
              <w:t>涝区管理站</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6</w:t>
            </w:r>
          </w:p>
        </w:tc>
        <w:tc>
          <w:tcPr>
            <w:tcW w:w="3402" w:type="dxa"/>
            <w:noWrap w:val="0"/>
            <w:vAlign w:val="top"/>
          </w:tcPr>
          <w:p>
            <w:pPr>
              <w:pStyle w:val="2"/>
              <w:spacing w:line="360" w:lineRule="auto"/>
              <w:jc w:val="center"/>
              <w:rPr>
                <w:rFonts w:hint="eastAsia"/>
              </w:rPr>
            </w:pPr>
            <w:r>
              <w:rPr>
                <w:rFonts w:hint="eastAsia"/>
              </w:rPr>
              <w:t>灌区管理站</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7</w:t>
            </w:r>
          </w:p>
        </w:tc>
        <w:tc>
          <w:tcPr>
            <w:tcW w:w="3402" w:type="dxa"/>
            <w:noWrap w:val="0"/>
            <w:vAlign w:val="top"/>
          </w:tcPr>
          <w:p>
            <w:pPr>
              <w:pStyle w:val="2"/>
              <w:spacing w:line="360" w:lineRule="auto"/>
              <w:jc w:val="center"/>
              <w:rPr>
                <w:rFonts w:hint="eastAsia"/>
              </w:rPr>
            </w:pPr>
            <w:r>
              <w:rPr>
                <w:rFonts w:hint="eastAsia"/>
              </w:rPr>
              <w:t>建设管理处</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8</w:t>
            </w:r>
          </w:p>
        </w:tc>
        <w:tc>
          <w:tcPr>
            <w:tcW w:w="3402" w:type="dxa"/>
            <w:noWrap w:val="0"/>
            <w:vAlign w:val="top"/>
          </w:tcPr>
          <w:p>
            <w:pPr>
              <w:pStyle w:val="2"/>
              <w:spacing w:line="360" w:lineRule="auto"/>
              <w:jc w:val="center"/>
              <w:rPr>
                <w:rFonts w:hint="eastAsia"/>
              </w:rPr>
            </w:pPr>
            <w:r>
              <w:rPr>
                <w:rFonts w:hint="eastAsia"/>
              </w:rPr>
              <w:t>河长制</w:t>
            </w:r>
          </w:p>
        </w:tc>
        <w:tc>
          <w:tcPr>
            <w:tcW w:w="3119" w:type="dxa"/>
            <w:noWrap w:val="0"/>
            <w:vAlign w:val="top"/>
          </w:tcPr>
          <w:p>
            <w:pPr>
              <w:pStyle w:val="2"/>
              <w:spacing w:line="360" w:lineRule="auto"/>
              <w:jc w:val="center"/>
              <w:rPr>
                <w:rFonts w:hint="eastAsia"/>
              </w:rPr>
            </w:pPr>
            <w:r>
              <w:rPr>
                <w:rFonts w:hint="eastAsia"/>
              </w:rPr>
              <w:t>事业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noWrap w:val="0"/>
            <w:vAlign w:val="top"/>
          </w:tcPr>
          <w:p>
            <w:pPr>
              <w:pStyle w:val="2"/>
              <w:spacing w:line="360" w:lineRule="auto"/>
              <w:jc w:val="center"/>
              <w:rPr>
                <w:rFonts w:hint="eastAsia"/>
                <w:lang w:val="en-US"/>
              </w:rPr>
            </w:pPr>
            <w:r>
              <w:rPr>
                <w:rFonts w:hint="eastAsia"/>
                <w:lang w:val="en-US"/>
              </w:rPr>
              <w:t>9</w:t>
            </w:r>
          </w:p>
        </w:tc>
        <w:tc>
          <w:tcPr>
            <w:tcW w:w="3402" w:type="dxa"/>
            <w:noWrap w:val="0"/>
            <w:vAlign w:val="top"/>
          </w:tcPr>
          <w:p>
            <w:pPr>
              <w:pStyle w:val="2"/>
              <w:spacing w:line="360" w:lineRule="auto"/>
              <w:jc w:val="center"/>
              <w:rPr>
                <w:rFonts w:hint="eastAsia"/>
              </w:rPr>
            </w:pPr>
            <w:r>
              <w:rPr>
                <w:rFonts w:hint="eastAsia"/>
              </w:rPr>
              <w:t>乡镇水利站</w:t>
            </w:r>
          </w:p>
        </w:tc>
        <w:tc>
          <w:tcPr>
            <w:tcW w:w="3119" w:type="dxa"/>
            <w:noWrap w:val="0"/>
            <w:vAlign w:val="top"/>
          </w:tcPr>
          <w:p>
            <w:pPr>
              <w:pStyle w:val="2"/>
              <w:spacing w:line="360" w:lineRule="auto"/>
              <w:jc w:val="center"/>
              <w:rPr>
                <w:rFonts w:hint="eastAsia"/>
              </w:rPr>
            </w:pPr>
            <w:r>
              <w:rPr>
                <w:rFonts w:hint="eastAsia"/>
              </w:rPr>
              <w:t>事业</w:t>
            </w:r>
          </w:p>
        </w:tc>
      </w:tr>
    </w:tbl>
    <w:p>
      <w:pPr>
        <w:pStyle w:val="2"/>
        <w:ind w:left="0"/>
        <w:rPr>
          <w:rFonts w:hint="eastAsia" w:ascii="仿宋_GB2312" w:eastAsia="仿宋_GB2312"/>
          <w:b/>
          <w:lang w:val="en-US"/>
        </w:rPr>
      </w:pPr>
    </w:p>
    <w:p>
      <w:pPr>
        <w:pStyle w:val="3"/>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水务局</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5</w:t>
      </w:r>
      <w:r>
        <w:rPr>
          <w:rFonts w:hint="eastAsia" w:asciiTheme="minorEastAsia" w:hAnsiTheme="minorEastAsia" w:eastAsiaTheme="minorEastAsia" w:cstheme="minorEastAsia"/>
          <w:color w:val="333333"/>
          <w:sz w:val="28"/>
          <w:szCs w:val="28"/>
        </w:rPr>
        <w:t>个内设机构，为一级预算单位。</w:t>
      </w:r>
    </w:p>
    <w:p>
      <w:pPr>
        <w:pStyle w:val="3"/>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ind w:firstLine="560" w:firstLineChars="200"/>
        <w:rPr>
          <w:rFonts w:hint="eastAsia" w:ascii="宋体" w:hAnsi="宋体" w:eastAsia="宋体"/>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0" w:lineRule="atLeast"/>
        <w:ind w:left="458" w:right="0"/>
        <w:jc w:val="left"/>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333333"/>
          <w:sz w:val="28"/>
          <w:szCs w:val="28"/>
        </w:rPr>
        <w:t>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8人</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41</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195人,在职195人。</w:t>
      </w:r>
    </w:p>
    <w:p>
      <w:pPr>
        <w:pStyle w:val="3"/>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3543.57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8855.36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69.86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9131.78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72.04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eastAsia="zh-CN"/>
        </w:rPr>
        <w:t>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jc w:val="left"/>
        <w:textAlignment w:val="baseline"/>
        <w:rPr>
          <w:rFonts w:hint="eastAsia" w:asciiTheme="minorEastAsia" w:hAnsiTheme="minorEastAsia" w:eastAsiaTheme="minorEastAsia" w:cstheme="minorEastAsia"/>
          <w:i w:val="0"/>
          <w:caps w:val="0"/>
          <w:color w:val="333333"/>
          <w:spacing w:val="0"/>
          <w:sz w:val="28"/>
          <w:szCs w:val="28"/>
        </w:rPr>
      </w:pPr>
      <w:bookmarkStart w:id="0" w:name="_GoBack"/>
      <w:bookmarkEnd w:id="0"/>
      <w:r>
        <w:rPr>
          <w:rFonts w:hint="eastAsia" w:asciiTheme="minorEastAsia" w:hAnsiTheme="minorEastAsia" w:cstheme="minorEastAsia"/>
          <w:i w:val="0"/>
          <w:caps w:val="0"/>
          <w:color w:val="373737"/>
          <w:spacing w:val="0"/>
          <w:sz w:val="28"/>
          <w:szCs w:val="28"/>
          <w:shd w:val="clear" w:fill="FFFFFF"/>
          <w:vertAlign w:val="baseline"/>
          <w:lang w:val="en-US" w:eastAsia="zh-CN"/>
        </w:rPr>
        <w:t>2131.54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55.80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1412.03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44.20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3543.58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2131.54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60.15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1412.03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39.85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3820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8855.36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69.86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3543.58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9131.78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72.04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3543.58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92.1</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913.18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38.8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3543.58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248.67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3266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92.17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29.24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0.8 3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6"/>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853.15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3543.58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415.35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248.67</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年离退休职工工资增长了。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625.89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3266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29.27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29.24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99.9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退休减少</w:t>
      </w:r>
      <w:r>
        <w:rPr>
          <w:rFonts w:hint="eastAsia" w:asciiTheme="minorEastAsia" w:hAnsiTheme="minorEastAsia" w:eastAsiaTheme="minorEastAsia" w:cstheme="minorEastAsia"/>
          <w:i w:val="0"/>
          <w:caps w:val="0"/>
          <w:color w:val="373737"/>
          <w:spacing w:val="0"/>
          <w:sz w:val="28"/>
          <w:szCs w:val="28"/>
          <w:shd w:val="clear" w:fill="FFFFFF"/>
          <w:vertAlign w:val="baseline"/>
        </w:rPr>
        <w:t>工资，使住房公积金的缴交比</w:t>
      </w:r>
      <w:r>
        <w:rPr>
          <w:rFonts w:hint="eastAsia" w:asciiTheme="minorEastAsia" w:hAnsiTheme="minorEastAsia" w:cstheme="minorEastAsia"/>
          <w:i w:val="0"/>
          <w:caps w:val="0"/>
          <w:color w:val="373737"/>
          <w:spacing w:val="0"/>
          <w:sz w:val="28"/>
          <w:szCs w:val="28"/>
          <w:shd w:val="clear" w:fill="FFFFFF"/>
          <w:vertAlign w:val="baseline"/>
          <w:lang w:eastAsia="zh-CN"/>
        </w:rPr>
        <w:t>李减少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2131.54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1301.47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830.07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79.31</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79.31</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w:t>
      </w:r>
      <w:r>
        <w:rPr>
          <w:rFonts w:hint="eastAsia" w:asciiTheme="minorEastAsia" w:hAnsiTheme="minorEastAsia" w:cstheme="minorEastAsia"/>
          <w:i w:val="0"/>
          <w:caps w:val="0"/>
          <w:color w:val="373737"/>
          <w:spacing w:val="0"/>
          <w:sz w:val="28"/>
          <w:szCs w:val="28"/>
          <w:shd w:val="clear" w:fill="FFFFFF"/>
          <w:vertAlign w:val="baseline"/>
          <w:lang w:eastAsia="zh-CN"/>
        </w:rPr>
        <w:t>基本</w:t>
      </w:r>
      <w:r>
        <w:rPr>
          <w:rFonts w:hint="eastAsia" w:asciiTheme="minorEastAsia" w:hAnsiTheme="minorEastAsia" w:eastAsiaTheme="minorEastAsia" w:cstheme="minorEastAsia"/>
          <w:i w:val="0"/>
          <w:caps w:val="0"/>
          <w:color w:val="373737"/>
          <w:spacing w:val="0"/>
          <w:sz w:val="28"/>
          <w:szCs w:val="28"/>
          <w:shd w:val="clear" w:fill="FFFFFF"/>
          <w:vertAlign w:val="baseline"/>
        </w:rPr>
        <w:t>持平。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11.54</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11.54</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减少接待次数，减少公务接待开支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Fonts w:hint="eastAsia" w:asciiTheme="minorEastAsia" w:hAnsiTheme="minorEastAsia" w:cstheme="minorEastAsia"/>
          <w:i w:val="0"/>
          <w:caps w:val="0"/>
          <w:color w:val="373737"/>
          <w:spacing w:val="0"/>
          <w:sz w:val="28"/>
          <w:szCs w:val="28"/>
          <w:shd w:val="clear" w:fill="FFFFFF"/>
          <w:vertAlign w:val="baseline"/>
          <w:lang w:val="en-US" w:eastAsia="zh-CN"/>
        </w:rPr>
        <w:t>0.23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Fonts w:hint="eastAsia" w:asciiTheme="minorEastAsia" w:hAnsiTheme="minorEastAsia" w:cstheme="minorEastAsia"/>
          <w:i w:val="0"/>
          <w:caps w:val="0"/>
          <w:color w:val="373737"/>
          <w:spacing w:val="0"/>
          <w:sz w:val="28"/>
          <w:szCs w:val="28"/>
          <w:shd w:val="clear" w:fill="FFFFFF"/>
          <w:vertAlign w:val="baseline"/>
          <w:lang w:val="en-US" w:eastAsia="zh-CN"/>
        </w:rPr>
        <w:t>10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6"/>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2131.54</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年增加（减少）</w:t>
      </w:r>
      <w:r>
        <w:rPr>
          <w:rFonts w:hint="eastAsia" w:asciiTheme="minorEastAsia" w:hAnsiTheme="minorEastAsia" w:cstheme="minorEastAsia"/>
          <w:color w:val="333333"/>
          <w:sz w:val="28"/>
          <w:szCs w:val="28"/>
          <w:lang w:val="en-US" w:eastAsia="zh-CN"/>
        </w:rPr>
        <w:t>376.6</w:t>
      </w:r>
      <w:r>
        <w:rPr>
          <w:rFonts w:hint="eastAsia" w:asciiTheme="minorEastAsia" w:hAnsiTheme="minorEastAsia" w:eastAsiaTheme="minorEastAsia" w:cstheme="minorEastAsia"/>
          <w:color w:val="333333"/>
          <w:sz w:val="28"/>
          <w:szCs w:val="28"/>
        </w:rPr>
        <w:t xml:space="preserve"> 万元，增长（降低）</w:t>
      </w:r>
      <w:r>
        <w:rPr>
          <w:rFonts w:hint="eastAsia" w:asciiTheme="minorEastAsia" w:hAnsiTheme="minorEastAsia" w:cstheme="minorEastAsia"/>
          <w:color w:val="333333"/>
          <w:sz w:val="28"/>
          <w:szCs w:val="28"/>
          <w:lang w:val="en-US" w:eastAsia="zh-CN"/>
        </w:rPr>
        <w:t>82.33</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…（具体增减原因由部门根据实际情况填列）。</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台（套）。</w:t>
      </w:r>
    </w:p>
    <w:p>
      <w:pPr>
        <w:pStyle w:val="3"/>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ind w:firstLine="560" w:firstLineChars="200"/>
        <w:jc w:val="left"/>
        <w:rPr>
          <w:rFonts w:ascii="宋体" w:hAnsi="宋体" w:cs="宋体"/>
          <w:color w:val="000000"/>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1412.03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水利建设资金</w:t>
      </w:r>
      <w:r>
        <w:rPr>
          <w:rFonts w:hint="eastAsia" w:asciiTheme="minorEastAsia" w:hAnsiTheme="minorEastAsia" w:eastAsiaTheme="minorEastAsia" w:cstheme="minorEastAsia"/>
          <w:color w:val="333333"/>
          <w:sz w:val="28"/>
          <w:szCs w:val="28"/>
        </w:rPr>
        <w:t>”等 7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1412.03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宋体" w:hAnsi="宋体" w:cs="宋体"/>
          <w:color w:val="000000"/>
          <w:sz w:val="28"/>
          <w:szCs w:val="28"/>
        </w:rPr>
        <w:t>从评价情况来看，2018年项目按照脱贫攻坚规划为重点，以增加农民收入和促进县域经济发展为目标，全面规划，综合治理，灌排结合，因地治宜，讲究效益。为农民解决实际困难到改善农民生产生活条件起到了很好的示范带动和示范作用。项目实施后，生态环境得到了保护和利用，促使生态环境改变，有利于生态农民发展，具有较好的的生态效果，促进了农业生产的可持续发展</w:t>
      </w:r>
    </w:p>
    <w:p>
      <w:pPr>
        <w:ind w:firstLine="560" w:firstLineChars="200"/>
        <w:jc w:val="left"/>
        <w:rPr>
          <w:rFonts w:ascii="宋体" w:hAnsi="宋体"/>
          <w:color w:val="000000"/>
          <w:sz w:val="28"/>
          <w:szCs w:val="28"/>
        </w:rPr>
      </w:pP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6A5DE6"/>
    <w:rsid w:val="01340F75"/>
    <w:rsid w:val="01C050AC"/>
    <w:rsid w:val="02213BE2"/>
    <w:rsid w:val="03FE7F0E"/>
    <w:rsid w:val="06AB4468"/>
    <w:rsid w:val="098217C0"/>
    <w:rsid w:val="0B1B1978"/>
    <w:rsid w:val="0B61259C"/>
    <w:rsid w:val="0E980DC7"/>
    <w:rsid w:val="0F2E297A"/>
    <w:rsid w:val="0FFF51E1"/>
    <w:rsid w:val="139E0AA2"/>
    <w:rsid w:val="154A3446"/>
    <w:rsid w:val="162316F7"/>
    <w:rsid w:val="179B676B"/>
    <w:rsid w:val="191940ED"/>
    <w:rsid w:val="19874E00"/>
    <w:rsid w:val="1C2B4168"/>
    <w:rsid w:val="1CFB22BC"/>
    <w:rsid w:val="2A054FEB"/>
    <w:rsid w:val="2C93782A"/>
    <w:rsid w:val="2DE7389C"/>
    <w:rsid w:val="327C129E"/>
    <w:rsid w:val="3DDC6AB6"/>
    <w:rsid w:val="3F1958B2"/>
    <w:rsid w:val="3F91264F"/>
    <w:rsid w:val="40AF4E0B"/>
    <w:rsid w:val="419008B3"/>
    <w:rsid w:val="45E5747E"/>
    <w:rsid w:val="4CAF181D"/>
    <w:rsid w:val="4D901F50"/>
    <w:rsid w:val="51713340"/>
    <w:rsid w:val="51D33E23"/>
    <w:rsid w:val="554E443E"/>
    <w:rsid w:val="58BB6A20"/>
    <w:rsid w:val="5BFE3423"/>
    <w:rsid w:val="5F581C15"/>
    <w:rsid w:val="62763A6A"/>
    <w:rsid w:val="645D29F7"/>
    <w:rsid w:val="66BF295F"/>
    <w:rsid w:val="6809435E"/>
    <w:rsid w:val="6B6E45D7"/>
    <w:rsid w:val="6BC52739"/>
    <w:rsid w:val="6BDF2611"/>
    <w:rsid w:val="6D956C68"/>
    <w:rsid w:val="6DC118E6"/>
    <w:rsid w:val="752F3615"/>
    <w:rsid w:val="763C3B43"/>
    <w:rsid w:val="76574A4F"/>
    <w:rsid w:val="768870B2"/>
    <w:rsid w:val="7833746C"/>
    <w:rsid w:val="7B7A0179"/>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112</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2021-05-20T07:36:37Z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