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180" w:beforeAutospacing="0" w:after="360" w:afterAutospacing="0" w:line="450" w:lineRule="atLeast"/>
        <w:ind w:left="260"/>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 xml:space="preserve">        2018年度绥滨县农业行政综合执法大队决算文字说明</w:t>
      </w:r>
    </w:p>
    <w:p>
      <w:pPr>
        <w:pStyle w:val="4"/>
        <w:widowControl/>
        <w:spacing w:before="180" w:beforeAutospacing="0" w:after="360" w:afterAutospacing="0" w:line="450" w:lineRule="atLeast"/>
        <w:ind w:left="260"/>
        <w:rPr>
          <w:rFonts w:asciiTheme="minorEastAsia" w:hAnsiTheme="minorEastAsia" w:cstheme="minorEastAsia"/>
          <w:b/>
          <w:color w:val="333333"/>
          <w:sz w:val="28"/>
          <w:szCs w:val="28"/>
        </w:rPr>
      </w:pPr>
    </w:p>
    <w:p>
      <w:pPr>
        <w:pStyle w:val="4"/>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b/>
          <w:color w:val="333333"/>
          <w:sz w:val="28"/>
          <w:szCs w:val="28"/>
        </w:rPr>
        <w:t>第一部分 部门概况</w:t>
      </w:r>
    </w:p>
    <w:p>
      <w:pPr>
        <w:pStyle w:val="4"/>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 绥滨县农业执法大队，为全额拨款事业单位，执行事业单位会计制度。在职10人，退休8人。</w:t>
      </w:r>
    </w:p>
    <w:p>
      <w:pPr>
        <w:pStyle w:val="4"/>
        <w:widowControl/>
        <w:spacing w:before="180" w:beforeAutospacing="0" w:after="360" w:afterAutospacing="0" w:line="45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rPr>
        <w:t>    一、主要职能</w:t>
      </w:r>
    </w:p>
    <w:p>
      <w:pPr>
        <w:pStyle w:val="4"/>
        <w:widowControl/>
        <w:shd w:val="clear" w:color="auto" w:fill="FFFFFF"/>
        <w:spacing w:before="180" w:beforeAutospacing="0" w:after="360" w:afterAutospacing="0" w:line="36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shd w:val="clear" w:color="auto" w:fill="FFFFFF"/>
        </w:rPr>
        <w:t>    （一）；</w:t>
      </w:r>
      <w:r>
        <w:rPr>
          <w:rFonts w:hint="eastAsia" w:ascii="仿宋_GB2312" w:hAnsi="仿宋_GB2312" w:cs="仿宋_GB2312"/>
          <w:color w:val="000000" w:themeColor="text1"/>
          <w:sz w:val="28"/>
          <w:szCs w:val="28"/>
        </w:rPr>
        <w:t>宣传贯彻并检查监督《中华人民共和国农业法》、《中华人民共和国种子法》《农药管理条例》《肥料登记管理办法》《中华人民共和国农产品质量安全法》等法律、法规、规章规定的实施；</w:t>
      </w:r>
    </w:p>
    <w:p>
      <w:pPr>
        <w:pStyle w:val="4"/>
        <w:widowControl/>
        <w:shd w:val="clear" w:color="auto" w:fill="FFFFFF"/>
        <w:spacing w:before="180" w:beforeAutospacing="0" w:after="360" w:afterAutospacing="0" w:line="36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shd w:val="clear" w:color="auto" w:fill="FFFFFF"/>
        </w:rPr>
        <w:t>    （二）；</w:t>
      </w:r>
      <w:r>
        <w:rPr>
          <w:rFonts w:hint="eastAsia" w:ascii="仿宋_GB2312" w:hAnsi="仿宋_GB2312" w:cs="仿宋_GB2312"/>
          <w:color w:val="000000" w:themeColor="text1"/>
          <w:sz w:val="28"/>
          <w:szCs w:val="28"/>
        </w:rPr>
        <w:t>检查监督《中华人民共和国农业法》、《中华人民共和国种子法》《农药管理条例》《肥料登记管理办法》《中华人民共和国农产品质量安全法》等法律、法规、规章规定的实施；</w:t>
      </w:r>
      <w:r>
        <w:rPr>
          <w:rFonts w:hint="eastAsia" w:asciiTheme="minorEastAsia" w:hAnsiTheme="minorEastAsia" w:cstheme="minorEastAsia"/>
          <w:color w:val="333333"/>
          <w:sz w:val="28"/>
          <w:szCs w:val="28"/>
          <w:shd w:val="clear" w:color="auto" w:fill="FFFFFF"/>
        </w:rPr>
        <w:br w:type="textWrapping"/>
      </w:r>
      <w:r>
        <w:rPr>
          <w:rFonts w:hint="eastAsia" w:asciiTheme="minorEastAsia" w:hAnsiTheme="minorEastAsia" w:cstheme="minorEastAsia"/>
          <w:color w:val="333333"/>
          <w:sz w:val="28"/>
          <w:szCs w:val="28"/>
          <w:shd w:val="clear" w:color="auto" w:fill="FFFFFF"/>
        </w:rPr>
        <w:t>    （三）；</w:t>
      </w:r>
      <w:r>
        <w:rPr>
          <w:rFonts w:hint="eastAsia" w:ascii="仿宋_GB2312" w:hAnsi="仿宋_GB2312" w:cs="仿宋_GB2312"/>
          <w:color w:val="000000" w:themeColor="text1"/>
          <w:sz w:val="28"/>
          <w:szCs w:val="28"/>
        </w:rPr>
        <w:t>按照《中华人民共和国行政处罚法》和以上有关法律、法规、规章规定、调查处理违法、违章案件，按照农业部《农业行政处罚程序规定》实施行政处罚，维护公民、法人和其他组织的合法权益。</w:t>
      </w:r>
    </w:p>
    <w:p>
      <w:pPr>
        <w:pStyle w:val="4"/>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二、机构设置及部门决算单位构成</w:t>
      </w:r>
    </w:p>
    <w:p>
      <w:pPr>
        <w:pStyle w:val="4"/>
        <w:widowControl/>
        <w:spacing w:before="180" w:beforeAutospacing="0" w:after="360" w:afterAutospacing="0" w:line="450" w:lineRule="atLeast"/>
        <w:ind w:left="260" w:firstLine="1257" w:firstLineChars="449"/>
        <w:rPr>
          <w:rFonts w:asciiTheme="minorEastAsia" w:hAnsiTheme="minorEastAsia" w:cstheme="minorEastAsia"/>
          <w:sz w:val="28"/>
          <w:szCs w:val="28"/>
        </w:rPr>
      </w:pPr>
      <w:r>
        <w:rPr>
          <w:rFonts w:hint="eastAsia" w:asciiTheme="minorEastAsia" w:hAnsiTheme="minorEastAsia" w:cstheme="minorEastAsia"/>
          <w:color w:val="333333"/>
          <w:sz w:val="28"/>
          <w:szCs w:val="28"/>
        </w:rPr>
        <w:t>为全额事业单位，内设5个内设机构，为一级预算单位。</w:t>
      </w:r>
    </w:p>
    <w:p>
      <w:pPr>
        <w:pStyle w:val="4"/>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三、人员构成</w:t>
      </w:r>
    </w:p>
    <w:p>
      <w:pPr>
        <w:pStyle w:val="4"/>
        <w:widowControl/>
        <w:spacing w:before="180" w:beforeAutospacing="0" w:after="360" w:afterAutospacing="0" w:line="450" w:lineRule="atLeast"/>
        <w:ind w:left="458"/>
        <w:rPr>
          <w:rFonts w:asciiTheme="minorEastAsia" w:hAnsiTheme="minorEastAsia" w:cstheme="minorEastAsia"/>
          <w:sz w:val="28"/>
          <w:szCs w:val="28"/>
        </w:rPr>
      </w:pPr>
      <w:r>
        <w:rPr>
          <w:rFonts w:hint="eastAsia" w:asciiTheme="minorEastAsia" w:hAnsiTheme="minorEastAsia" w:cstheme="minorEastAsia"/>
          <w:color w:val="333333"/>
          <w:sz w:val="28"/>
          <w:szCs w:val="28"/>
        </w:rPr>
        <w:t>   事业编制10个，在职10人，退休8人。</w:t>
      </w:r>
    </w:p>
    <w:p>
      <w:pPr>
        <w:pStyle w:val="4"/>
        <w:widowControl/>
        <w:spacing w:before="492" w:beforeAutospacing="0" w:after="672" w:afterAutospacing="0" w:line="450" w:lineRule="atLeast"/>
        <w:ind w:left="262"/>
        <w:rPr>
          <w:rFonts w:asciiTheme="minorEastAsia" w:hAnsiTheme="minorEastAsia" w:cstheme="minorEastAsia"/>
          <w:sz w:val="28"/>
          <w:szCs w:val="28"/>
        </w:rPr>
      </w:pPr>
      <w:r>
        <w:rPr>
          <w:rFonts w:hint="eastAsia" w:asciiTheme="minorEastAsia" w:hAnsiTheme="minorEastAsia" w:cstheme="minorEastAsia"/>
          <w:b/>
          <w:color w:val="333333"/>
          <w:sz w:val="28"/>
          <w:szCs w:val="28"/>
        </w:rPr>
        <w:t>第二部分2018年度部门决算情况说明</w:t>
      </w:r>
    </w:p>
    <w:p>
      <w:pPr>
        <w:pStyle w:val="4"/>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一、2018年度收入支出决算总体情况说明</w:t>
      </w:r>
    </w:p>
    <w:p>
      <w:pPr>
        <w:pStyle w:val="4"/>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2018年度收</w:t>
      </w:r>
      <w:r>
        <w:rPr>
          <w:rFonts w:hint="eastAsia" w:asciiTheme="minorEastAsia" w:hAnsiTheme="minorEastAsia" w:cstheme="minorEastAsia"/>
          <w:color w:val="333333"/>
          <w:sz w:val="28"/>
          <w:szCs w:val="28"/>
        </w:rPr>
        <w:t>入总计</w:t>
      </w:r>
      <w:r>
        <w:rPr>
          <w:rFonts w:asciiTheme="minorEastAsia" w:hAnsiTheme="minorEastAsia" w:cstheme="minorEastAsia"/>
          <w:color w:val="333333"/>
          <w:sz w:val="28"/>
          <w:szCs w:val="28"/>
        </w:rPr>
        <w:t>114</w:t>
      </w:r>
      <w:r>
        <w:rPr>
          <w:rFonts w:hint="eastAsia" w:asciiTheme="minorEastAsia" w:hAnsiTheme="minorEastAsia" w:cstheme="minorEastAsia"/>
          <w:color w:val="333333"/>
          <w:sz w:val="28"/>
          <w:szCs w:val="28"/>
        </w:rPr>
        <w:t>.</w:t>
      </w:r>
      <w:r>
        <w:rPr>
          <w:rFonts w:asciiTheme="minorEastAsia" w:hAnsiTheme="minorEastAsia" w:cstheme="minorEastAsia"/>
          <w:color w:val="333333"/>
          <w:sz w:val="28"/>
          <w:szCs w:val="28"/>
        </w:rPr>
        <w:t>7</w:t>
      </w:r>
      <w:r>
        <w:rPr>
          <w:rFonts w:hint="eastAsia" w:asciiTheme="minorEastAsia" w:hAnsiTheme="minorEastAsia" w:cstheme="minorEastAsia"/>
          <w:color w:val="333333"/>
          <w:sz w:val="28"/>
          <w:szCs w:val="28"/>
        </w:rPr>
        <w:t>9万元</w:t>
      </w:r>
      <w:r>
        <w:rPr>
          <w:rFonts w:hint="eastAsia" w:asciiTheme="minorEastAsia" w:hAnsiTheme="minorEastAsia" w:cstheme="minorEastAsia"/>
          <w:color w:val="373737"/>
          <w:sz w:val="28"/>
          <w:szCs w:val="28"/>
          <w:shd w:val="clear" w:color="auto" w:fill="FFFFFF"/>
        </w:rPr>
        <w:t>，支出总计113.18万元，与上年相比，收入总计增加9.31万元，增长8.83%；支出总计减少4.34万元，减少3.69%。</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 2018年度收入决算情况说明</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本年收入合计</w:t>
      </w:r>
      <w:r>
        <w:rPr>
          <w:rFonts w:asciiTheme="minorEastAsia" w:hAnsiTheme="minorEastAsia" w:cstheme="minorEastAsia"/>
          <w:color w:val="373737"/>
          <w:sz w:val="28"/>
          <w:szCs w:val="28"/>
          <w:shd w:val="clear" w:color="auto" w:fill="FFFFFF"/>
        </w:rPr>
        <w:t>114</w:t>
      </w:r>
      <w:r>
        <w:rPr>
          <w:rFonts w:hint="eastAsia" w:asciiTheme="minorEastAsia" w:hAnsiTheme="minorEastAsia" w:cstheme="minorEastAsia"/>
          <w:color w:val="373737"/>
          <w:sz w:val="28"/>
          <w:szCs w:val="28"/>
          <w:shd w:val="clear" w:color="auto" w:fill="FFFFFF"/>
        </w:rPr>
        <w:t>.</w:t>
      </w:r>
      <w:r>
        <w:rPr>
          <w:rFonts w:asciiTheme="minorEastAsia" w:hAnsiTheme="minorEastAsia" w:cstheme="minorEastAsia"/>
          <w:color w:val="373737"/>
          <w:sz w:val="28"/>
          <w:szCs w:val="28"/>
          <w:shd w:val="clear" w:color="auto" w:fill="FFFFFF"/>
        </w:rPr>
        <w:t>7</w:t>
      </w:r>
      <w:r>
        <w:rPr>
          <w:rFonts w:hint="eastAsia" w:asciiTheme="minorEastAsia" w:hAnsiTheme="minorEastAsia" w:cstheme="minorEastAsia"/>
          <w:color w:val="373737"/>
          <w:sz w:val="28"/>
          <w:szCs w:val="28"/>
          <w:shd w:val="clear" w:color="auto" w:fill="FFFFFF"/>
        </w:rPr>
        <w:t>9万元，其中：财政拨款收入</w:t>
      </w:r>
      <w:r>
        <w:rPr>
          <w:rFonts w:asciiTheme="minorEastAsia" w:hAnsiTheme="minorEastAsia" w:cstheme="minorEastAsia"/>
          <w:color w:val="373737"/>
          <w:sz w:val="28"/>
          <w:szCs w:val="28"/>
          <w:shd w:val="clear" w:color="auto" w:fill="FFFFFF"/>
        </w:rPr>
        <w:t>114</w:t>
      </w:r>
      <w:r>
        <w:rPr>
          <w:rFonts w:hint="eastAsia" w:asciiTheme="minorEastAsia" w:hAnsiTheme="minorEastAsia" w:cstheme="minorEastAsia"/>
          <w:color w:val="373737"/>
          <w:sz w:val="28"/>
          <w:szCs w:val="28"/>
          <w:shd w:val="clear" w:color="auto" w:fill="FFFFFF"/>
        </w:rPr>
        <w:t>.</w:t>
      </w:r>
      <w:r>
        <w:rPr>
          <w:rFonts w:asciiTheme="minorEastAsia" w:hAnsiTheme="minorEastAsia" w:cstheme="minorEastAsia"/>
          <w:color w:val="373737"/>
          <w:sz w:val="28"/>
          <w:szCs w:val="28"/>
          <w:shd w:val="clear" w:color="auto" w:fill="FFFFFF"/>
        </w:rPr>
        <w:t>7</w:t>
      </w:r>
      <w:r>
        <w:rPr>
          <w:rFonts w:hint="eastAsia" w:asciiTheme="minorEastAsia" w:hAnsiTheme="minorEastAsia" w:cstheme="minorEastAsia"/>
          <w:color w:val="373737"/>
          <w:sz w:val="28"/>
          <w:szCs w:val="28"/>
          <w:shd w:val="clear" w:color="auto" w:fill="FFFFFF"/>
        </w:rPr>
        <w:t>9万元，占100%；其他收入0万元，占0%。</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三、2018年度支出决算情况说明</w:t>
      </w:r>
      <w:bookmarkStart w:id="0" w:name="_GoBack"/>
      <w:bookmarkEnd w:id="0"/>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本年支出合计113.18万元，其中：基本支出112.22万元，99.15占%；项目支出0.96万元，占0.85%；</w:t>
      </w:r>
    </w:p>
    <w:p>
      <w:pPr>
        <w:pStyle w:val="4"/>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四、2018年度财政拨款收入支出决算总体情况说明</w:t>
      </w:r>
    </w:p>
    <w:p>
      <w:pPr>
        <w:pStyle w:val="4"/>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2018年度财政拨款收入114.79万元，与上年相比，增加9.31万元，增长8.83%；2018年度财政拨款支出113.18万元，与上年相比，减少4.34万元，减少3.69%。</w:t>
      </w:r>
    </w:p>
    <w:p>
      <w:pPr>
        <w:pStyle w:val="4"/>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五、2018年度一般公共预算财政拨款支出决算情况说明</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（一）财政拨款支出决算总体情况。</w:t>
      </w:r>
    </w:p>
    <w:p>
      <w:pPr>
        <w:pStyle w:val="4"/>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2018年度财政拨款支出113.18万元，占本年支出合计的100%。与上年相比，财政拨款支出减少4.34万元，减少3.69%。</w:t>
      </w:r>
    </w:p>
    <w:p>
      <w:pPr>
        <w:pStyle w:val="4"/>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（二）财政拨款支出决算结构情况。</w:t>
      </w:r>
    </w:p>
    <w:p>
      <w:pPr>
        <w:pStyle w:val="4"/>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2018年度财政拨款支出113.18万元，主要用于以下方面：</w:t>
      </w:r>
      <w:r>
        <w:rPr>
          <w:rStyle w:val="7"/>
          <w:rFonts w:hint="eastAsia" w:asciiTheme="minorEastAsia" w:hAnsiTheme="minorEastAsia" w:cstheme="minorEastAsia"/>
          <w:color w:val="373737"/>
          <w:sz w:val="28"/>
          <w:szCs w:val="28"/>
          <w:shd w:val="clear" w:color="auto" w:fill="FFFFFF"/>
        </w:rPr>
        <w:t>社会保障和就业（类）</w:t>
      </w:r>
      <w:r>
        <w:rPr>
          <w:rFonts w:hint="eastAsia" w:asciiTheme="minorEastAsia" w:hAnsiTheme="minorEastAsia" w:cstheme="minorEastAsia"/>
          <w:color w:val="373737"/>
          <w:sz w:val="28"/>
          <w:szCs w:val="28"/>
          <w:shd w:val="clear" w:color="auto" w:fill="FFFFFF"/>
        </w:rPr>
        <w:t>支出42.95万元，占37.95%；</w:t>
      </w:r>
      <w:r>
        <w:rPr>
          <w:rStyle w:val="7"/>
          <w:rFonts w:hint="eastAsia" w:asciiTheme="minorEastAsia" w:hAnsiTheme="minorEastAsia" w:cstheme="minorEastAsia"/>
          <w:color w:val="373737"/>
          <w:sz w:val="28"/>
          <w:szCs w:val="28"/>
          <w:shd w:val="clear" w:color="auto" w:fill="FFFFFF"/>
        </w:rPr>
        <w:t>农林水（类）</w:t>
      </w:r>
      <w:r>
        <w:rPr>
          <w:rFonts w:hint="eastAsia" w:asciiTheme="minorEastAsia" w:hAnsiTheme="minorEastAsia" w:cstheme="minorEastAsia"/>
          <w:color w:val="373737"/>
          <w:sz w:val="28"/>
          <w:szCs w:val="28"/>
          <w:shd w:val="clear" w:color="auto" w:fill="FFFFFF"/>
        </w:rPr>
        <w:t>支出66.38万元，占58.65%；</w:t>
      </w:r>
      <w:r>
        <w:rPr>
          <w:rStyle w:val="7"/>
          <w:rFonts w:hint="eastAsia" w:asciiTheme="minorEastAsia" w:hAnsiTheme="minorEastAsia" w:cstheme="minorEastAsia"/>
          <w:color w:val="373737"/>
          <w:sz w:val="28"/>
          <w:szCs w:val="28"/>
          <w:shd w:val="clear" w:color="auto" w:fill="FFFFFF"/>
        </w:rPr>
        <w:t>住房保障（类）</w:t>
      </w:r>
      <w:r>
        <w:rPr>
          <w:rFonts w:hint="eastAsia" w:asciiTheme="minorEastAsia" w:hAnsiTheme="minorEastAsia" w:cstheme="minorEastAsia"/>
          <w:color w:val="373737"/>
          <w:sz w:val="28"/>
          <w:szCs w:val="28"/>
          <w:shd w:val="clear" w:color="auto" w:fill="FFFFFF"/>
        </w:rPr>
        <w:t>支出3.85万元，占3.4%。</w:t>
      </w:r>
    </w:p>
    <w:p>
      <w:pPr>
        <w:pStyle w:val="4"/>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（三）财政拨款支出决算具体情况。</w:t>
      </w:r>
    </w:p>
    <w:p>
      <w:pPr>
        <w:pStyle w:val="4"/>
        <w:widowControl/>
        <w:shd w:val="clear" w:color="auto" w:fill="FFFFFF"/>
        <w:spacing w:beforeAutospacing="0" w:after="225" w:afterAutospacing="0"/>
        <w:ind w:firstLine="99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支出年初预算为102.94万元，支出决算为113.18万元，完成年初预算的109.95%。决算数大于预算数的主要原因：一是2018年在职、离退休职工工资增长了和由于工资的增长相应的医疗保险、住房公积金、住房提租补贴相应的缴交比例也随之增加，所以决算数大于预算数；二是2018年增加了行政事业类等项目资金。其中：</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1. 社会保障和就业（类）行政事业单位离退休（款）未归口管理的行政单位离退休（项）。</w:t>
      </w:r>
    </w:p>
    <w:p>
      <w:pPr>
        <w:pStyle w:val="4"/>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年初预算为4.81万元，支出决算为42.95万元，完成年初预算的892.93%。决算数大于预算数的主要原因是2018年离退休职工工资增长了,2018年增加了养老保险支出。</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2. 农林水（类）农业（款）事业运行（项）。</w:t>
      </w:r>
    </w:p>
    <w:p>
      <w:pPr>
        <w:pStyle w:val="4"/>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年初预算为95.15万元，支出决算为66.38万元，完成年初预算的69.76%。决算数小于预算数的主要原因是2018年减少了事业运行费用事务等项目资金。</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4. 住房保障（类）住房改革支出（款）住房公积金（项）。</w:t>
      </w:r>
    </w:p>
    <w:p>
      <w:pPr>
        <w:pStyle w:val="4"/>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年初预算为2.98万元，支出决算为3.85万元，完成年初预算的129.19%。决算数大于预算数的主要原因是2018年在职职工增长了工资，使住房公积金的缴交比例增加了。</w:t>
      </w:r>
    </w:p>
    <w:p>
      <w:pPr>
        <w:pStyle w:val="4"/>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六、2018年度一般公共预算财政拨款基本支出决算情况说明。</w:t>
      </w:r>
    </w:p>
    <w:p>
      <w:pPr>
        <w:pStyle w:val="4"/>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基本支出112.22万元，其中：人员经费105.36万元，主要包括：基本工资、津贴补贴、奖金、其他社会保障缴费、伙食补助费、其他工资福利支出、离休费、退休费、医疗费、奖励金、住房公积金、提租补贴、采暖补贴、其他对个人和家庭的补助支出；公用经费6.86万元，主要包括：办公费、印刷费、水费、电费、邮电费、取暖费、物业费、差旅费、维修（护）费、专用材料费、劳务费、工会经费、福利费、其他交通费用、办公设备购置。项目支出0.96万元，主要包括扶贫补助费用。</w:t>
      </w:r>
    </w:p>
    <w:p>
      <w:pPr>
        <w:pStyle w:val="4"/>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七、2018年度一般公共预算财政拨款“三公”经费支出决算情况说明</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（一）“三公”经费财政拨款支出决算总体情况说明。</w:t>
      </w:r>
    </w:p>
    <w:p>
      <w:pPr>
        <w:pStyle w:val="4"/>
        <w:widowControl/>
        <w:shd w:val="clear" w:color="auto" w:fill="FFFFFF"/>
        <w:spacing w:beforeAutospacing="0" w:after="225" w:afterAutospacing="0"/>
        <w:ind w:left="279" w:leftChars="133" w:firstLine="579" w:firstLineChars="207"/>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预算为0.3万元，支出决算为0.05万元，完成预算的16.67%，其中：因公出国（境）费支出决算为0万元，完成预算的0%；公务用车购置及运行费支出决算为0.05万元，完成预算的16.67%；公务接待费支出决算为0万元，完成预算的0%。2018年度“三公”经费支出决算数与预算数减少。</w:t>
      </w:r>
    </w:p>
    <w:p>
      <w:pPr>
        <w:pStyle w:val="4"/>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2018年度“三公”经费财政拨款支出决算数比上年减少0.71万元，减少87.65%，公务用车购置及运行费支出决算0.05万元，减少25%，原因为：部门严格执行三公经费缩减；公务接待费支出决算0万元，减少 100%，原因为：严格按照上级标准，缩减公务接待开支。</w:t>
      </w:r>
    </w:p>
    <w:p>
      <w:pPr>
        <w:pStyle w:val="4"/>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（二）“三公”经费财政拨款支出决算具体情况说明。</w:t>
      </w:r>
    </w:p>
    <w:p>
      <w:pPr>
        <w:pStyle w:val="4"/>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2018年度“三公”经费财政拨款支出决算中，因公出国（境）费支出决算0万元，占0%；公务用车购置及运行费支出决算0.05万元，占100%；公务接待费支出决算0万元，占0%。</w:t>
      </w:r>
    </w:p>
    <w:p>
      <w:pPr>
        <w:pStyle w:val="4"/>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1.因公出国（境）费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万元。全年安排因公出国</w:t>
      </w:r>
    </w:p>
    <w:p>
      <w:pPr>
        <w:pStyle w:val="4"/>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（境）团组0个，累计0人次。开支内容包括：出国人员差旅费0万元。</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2.公务用车购置及运行费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0.05</w:t>
      </w:r>
      <w:r>
        <w:rPr>
          <w:rFonts w:hint="eastAsia" w:asciiTheme="minorEastAsia" w:hAnsiTheme="minorEastAsia" w:cstheme="minorEastAsia"/>
          <w:color w:val="373737"/>
          <w:sz w:val="28"/>
          <w:szCs w:val="28"/>
          <w:shd w:val="clear" w:color="auto" w:fill="FFFFFF"/>
        </w:rPr>
        <w:t>万元。其中：</w:t>
      </w:r>
      <w:r>
        <w:rPr>
          <w:rStyle w:val="7"/>
          <w:rFonts w:hint="eastAsia" w:asciiTheme="minorEastAsia" w:hAnsiTheme="minorEastAsia" w:cstheme="minorEastAsia"/>
          <w:color w:val="373737"/>
          <w:sz w:val="28"/>
          <w:szCs w:val="28"/>
          <w:shd w:val="clear" w:color="auto" w:fill="FFFFFF"/>
        </w:rPr>
        <w:t>公务用车购置</w:t>
      </w:r>
      <w:r>
        <w:rPr>
          <w:rFonts w:hint="eastAsia" w:asciiTheme="minorEastAsia" w:hAnsiTheme="minorEastAsia" w:cstheme="minorEastAsia"/>
          <w:color w:val="373737"/>
          <w:sz w:val="28"/>
          <w:szCs w:val="28"/>
          <w:shd w:val="clear" w:color="auto" w:fill="FFFFFF"/>
        </w:rPr>
        <w:t>支出为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7"/>
          <w:rFonts w:hint="eastAsia" w:asciiTheme="minorEastAsia" w:hAnsiTheme="minorEastAsia" w:cstheme="minorEastAsia"/>
          <w:color w:val="373737"/>
          <w:sz w:val="28"/>
          <w:szCs w:val="28"/>
          <w:shd w:val="clear" w:color="auto" w:fill="FFFFFF"/>
        </w:rPr>
        <w:t>公务用车运行</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0.05</w:t>
      </w:r>
      <w:r>
        <w:rPr>
          <w:rFonts w:hint="eastAsia" w:asciiTheme="minorEastAsia" w:hAnsiTheme="minorEastAsia" w:cstheme="minorEastAsia"/>
          <w:color w:val="373737"/>
          <w:sz w:val="28"/>
          <w:szCs w:val="28"/>
          <w:shd w:val="clear" w:color="auto" w:fill="FFFFFF"/>
        </w:rPr>
        <w:t>万元。</w:t>
      </w:r>
      <w:r>
        <w:rPr>
          <w:rStyle w:val="7"/>
          <w:rFonts w:hint="eastAsia" w:asciiTheme="minorEastAsia" w:hAnsiTheme="minorEastAsia" w:cstheme="minorEastAsia"/>
          <w:color w:val="373737"/>
          <w:sz w:val="28"/>
          <w:szCs w:val="28"/>
          <w:shd w:val="clear" w:color="auto" w:fill="FFFFFF"/>
        </w:rPr>
        <w:t>公务用车保有量1</w:t>
      </w:r>
      <w:r>
        <w:rPr>
          <w:rFonts w:hint="eastAsia" w:asciiTheme="minorEastAsia" w:hAnsiTheme="minorEastAsia" w:cstheme="minorEastAsia"/>
          <w:color w:val="373737"/>
          <w:sz w:val="28"/>
          <w:szCs w:val="28"/>
          <w:shd w:val="clear" w:color="auto" w:fill="FFFFFF"/>
        </w:rPr>
        <w:t>台。</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3.公务接待费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万元。其中：国内公务接待</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万元，国内公务接待批次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个，国内公务接待人次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人；国（境）外公务接待</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万元，国（境）外公务接待批次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个，国（境）外公务接待人次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w:t>
      </w:r>
    </w:p>
    <w:p>
      <w:pPr>
        <w:pStyle w:val="4"/>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八、其他重要事项的情况说明</w:t>
      </w:r>
    </w:p>
    <w:p>
      <w:pPr>
        <w:pStyle w:val="4"/>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（一）事业运行经费支出情况。</w:t>
      </w:r>
    </w:p>
    <w:p>
      <w:pPr>
        <w:pStyle w:val="4"/>
        <w:widowControl/>
        <w:spacing w:before="180" w:beforeAutospacing="0" w:after="360" w:afterAutospacing="0" w:line="450" w:lineRule="atLeast"/>
        <w:ind w:firstLine="848"/>
        <w:rPr>
          <w:rFonts w:asciiTheme="minorEastAsia" w:hAnsiTheme="minorEastAsia" w:cstheme="minorEastAsia"/>
          <w:sz w:val="28"/>
          <w:szCs w:val="28"/>
        </w:rPr>
      </w:pPr>
      <w:r>
        <w:rPr>
          <w:rFonts w:hint="eastAsia" w:asciiTheme="minorEastAsia" w:hAnsiTheme="minorEastAsia" w:cstheme="minorEastAsia"/>
          <w:color w:val="333333"/>
          <w:sz w:val="28"/>
          <w:szCs w:val="28"/>
        </w:rPr>
        <w:t>本部门 2018年度事业运行经费支出 7.82 万元，比上年减少8.43万元，降低51.88%。主要原因是：减少了招待费和公务用车运行维护费支出。</w:t>
      </w:r>
    </w:p>
    <w:p>
      <w:pPr>
        <w:pStyle w:val="4"/>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（二）政府采购支出情况。</w:t>
      </w:r>
    </w:p>
    <w:p>
      <w:pPr>
        <w:pStyle w:val="4"/>
        <w:widowControl/>
        <w:spacing w:before="180" w:beforeAutospacing="0" w:after="360" w:afterAutospacing="0" w:line="450" w:lineRule="atLeast"/>
        <w:ind w:firstLine="800"/>
        <w:rPr>
          <w:rFonts w:asciiTheme="minorEastAsia" w:hAnsiTheme="minorEastAsia" w:cstheme="minorEastAsia"/>
          <w:sz w:val="28"/>
          <w:szCs w:val="28"/>
        </w:rPr>
      </w:pPr>
      <w:r>
        <w:rPr>
          <w:rFonts w:hint="eastAsia" w:asciiTheme="minorEastAsia" w:hAnsiTheme="minorEastAsia" w:cstheme="minorEastAsia"/>
          <w:color w:val="333333"/>
          <w:sz w:val="28"/>
          <w:szCs w:val="28"/>
        </w:rPr>
        <w:t>2017年度政府采购支出总额 0万元，其中：政府采购货物支出0万元、政府采购工程支出0 万元、政府采购服务支出0万元。</w:t>
      </w:r>
    </w:p>
    <w:p>
      <w:pPr>
        <w:pStyle w:val="4"/>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（三）国有资产占用情况。</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截至 2018年 12 月 31 日，本部门共有车辆1辆，其中，一般公务用车 0 辆、一般执法执勤用0辆、特种专业技术用车0辆、其他用车1辆，其他用车主要是办案用车；单位价值 50 万万元以上通用设备台0（套），单价100 万万元以上专用设备 0台（套）。</w:t>
      </w:r>
    </w:p>
    <w:p>
      <w:pPr>
        <w:pStyle w:val="4"/>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（四）2018年度预算绩效情况说明</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根据财政预算管理要求和年初设定的绩效目标，我单位组织对 2018年度项目支出全面开展绩效自评。共涉及资金0.96万元，自评覆盖率达到100%。共组织对1个项目进行了绩效评价，共涉及资金0.96万元。</w:t>
      </w:r>
    </w:p>
    <w:p>
      <w:pPr>
        <w:pStyle w:val="4"/>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第三部分 名词解释</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一、财政拨款收入</w:t>
      </w:r>
      <w:r>
        <w:rPr>
          <w:rFonts w:hint="eastAsia" w:asciiTheme="minorEastAsia" w:hAnsiTheme="minorEastAsia" w:cstheme="minorEastAsia"/>
          <w:color w:val="333333"/>
          <w:sz w:val="28"/>
          <w:szCs w:val="28"/>
        </w:rPr>
        <w:t>：指县级财政当年拨付的资金。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二、事业收入</w:t>
      </w:r>
      <w:r>
        <w:rPr>
          <w:rFonts w:hint="eastAsia" w:asciiTheme="minorEastAsia" w:hAnsiTheme="minorEastAsia" w:cstheme="minorEastAsia"/>
          <w:color w:val="333333"/>
          <w:sz w:val="28"/>
          <w:szCs w:val="28"/>
        </w:rPr>
        <w:t>：指事业单位开展专业业务活动及辅助活动所取得的收入。</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三、经营收入</w:t>
      </w:r>
      <w:r>
        <w:rPr>
          <w:rFonts w:hint="eastAsia" w:asciiTheme="minorEastAsia" w:hAnsiTheme="minorEastAsia" w:cstheme="minorEastAsia"/>
          <w:color w:val="333333"/>
          <w:sz w:val="28"/>
          <w:szCs w:val="28"/>
        </w:rPr>
        <w:t>：指事业单位在专业业务活动及其辅助活动之外开展非独立核算经营活动取得的收入。</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四、其他收入</w:t>
      </w:r>
      <w:r>
        <w:rPr>
          <w:rFonts w:hint="eastAsia" w:asciiTheme="minorEastAsia" w:hAnsiTheme="minorEastAsia" w:cstheme="minorEastAsia"/>
          <w:color w:val="333333"/>
          <w:sz w:val="28"/>
          <w:szCs w:val="28"/>
        </w:rPr>
        <w:t>：指除上述“财政拨款收入”、“事业收入”、“经营收入”等以外的收入。</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五、用事业基金弥补收支差额</w:t>
      </w:r>
      <w:r>
        <w:rPr>
          <w:rFonts w:hint="eastAsia" w:asciiTheme="minorEastAsia" w:hAnsi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六、年初结转和结余</w:t>
      </w:r>
      <w:r>
        <w:rPr>
          <w:rFonts w:hint="eastAsia" w:asciiTheme="minorEastAsia" w:hAnsiTheme="minorEastAsia" w:cstheme="minorEastAsia"/>
          <w:color w:val="333333"/>
          <w:sz w:val="28"/>
          <w:szCs w:val="28"/>
        </w:rPr>
        <w:t>：指以前年度尚未完成、结转到本年按有关规定继续使用的资金。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七、结余分配</w:t>
      </w:r>
      <w:r>
        <w:rPr>
          <w:rFonts w:hint="eastAsia" w:asciiTheme="minorEastAsia" w:hAnsiTheme="minorEastAsia" w:cstheme="minorEastAsia"/>
          <w:color w:val="333333"/>
          <w:sz w:val="28"/>
          <w:szCs w:val="28"/>
        </w:rPr>
        <w:t>：指事业单位按规定提取的职工福利基金、事业基金和缴纳的所得税，以及建设单位按规定应交回的基本建设竣工项目结余资金。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八、年末结转和结余</w:t>
      </w:r>
      <w:r>
        <w:rPr>
          <w:rFonts w:hint="eastAsia" w:asciiTheme="minorEastAsia" w:hAnsiTheme="minorEastAsia" w:cstheme="minorEastAsia"/>
          <w:color w:val="333333"/>
          <w:sz w:val="28"/>
          <w:szCs w:val="28"/>
        </w:rPr>
        <w:t>：指本年度或以前年度预算安排、因客观条件发生变化无法按原计划实施，需延迟到以后年度按有关规定继续使用的资金。</w:t>
      </w:r>
    </w:p>
    <w:p>
      <w:pPr>
        <w:pStyle w:val="4"/>
        <w:widowControl/>
        <w:spacing w:before="180" w:beforeAutospacing="0" w:after="360" w:afterAutospacing="0" w:line="450" w:lineRule="atLeast"/>
        <w:ind w:firstLine="899"/>
        <w:rPr>
          <w:rFonts w:asciiTheme="minorEastAsia" w:hAnsiTheme="minorEastAsia" w:cstheme="minorEastAsia"/>
          <w:sz w:val="28"/>
          <w:szCs w:val="28"/>
        </w:rPr>
      </w:pPr>
      <w:r>
        <w:rPr>
          <w:rFonts w:hint="eastAsia" w:asciiTheme="minorEastAsia" w:hAnsiTheme="minorEastAsia" w:cstheme="minorEastAsia"/>
          <w:b/>
          <w:color w:val="333333"/>
          <w:sz w:val="28"/>
          <w:szCs w:val="28"/>
        </w:rPr>
        <w:t>九、基本支出</w:t>
      </w:r>
      <w:r>
        <w:rPr>
          <w:rFonts w:hint="eastAsia" w:asciiTheme="minorEastAsia" w:hAnsiTheme="minorEastAsia" w:cstheme="minorEastAsia"/>
          <w:color w:val="333333"/>
          <w:sz w:val="28"/>
          <w:szCs w:val="28"/>
        </w:rPr>
        <w:t>：指为保障机构正常运转、完成日常工作任务而发生的人员支出和公用支出。</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十、项目支出</w:t>
      </w:r>
      <w:r>
        <w:rPr>
          <w:rFonts w:hint="eastAsia" w:asciiTheme="minorEastAsia" w:hAnsiTheme="minorEastAsia" w:cstheme="minorEastAsia"/>
          <w:color w:val="333333"/>
          <w:sz w:val="28"/>
          <w:szCs w:val="28"/>
        </w:rPr>
        <w:t>：指在基本支出之外为完成特定行政任务和事业发展目标所发生的支出。</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十一、经营支出</w:t>
      </w:r>
      <w:r>
        <w:rPr>
          <w:rFonts w:hint="eastAsia" w:asciiTheme="minorEastAsia" w:hAnsiTheme="minorEastAsia" w:cstheme="minorEastAsia"/>
          <w:color w:val="333333"/>
          <w:sz w:val="28"/>
          <w:szCs w:val="28"/>
        </w:rPr>
        <w:t>：指事业单位在专业业务活动及其辅助活动之外开展非独立核算经营活动发生的支出。</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十二、“三公”经费</w:t>
      </w:r>
      <w:r>
        <w:rPr>
          <w:rFonts w:hint="eastAsia" w:asciiTheme="minorEastAsia" w:hAnsiTheme="minorEastAsia" w:cstheme="minor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4"/>
        <w:widowControl/>
        <w:spacing w:before="180" w:beforeAutospacing="0" w:after="360" w:afterAutospacing="0" w:line="450" w:lineRule="atLeast"/>
        <w:ind w:firstLine="729"/>
        <w:rPr>
          <w:rFonts w:asciiTheme="minorEastAsia" w:hAnsiTheme="minorEastAsia" w:cstheme="minorEastAsia"/>
          <w:sz w:val="28"/>
          <w:szCs w:val="28"/>
        </w:rPr>
      </w:pPr>
      <w:r>
        <w:rPr>
          <w:rFonts w:hint="eastAsia" w:asciiTheme="minorEastAsia" w:hAnsiTheme="minorEastAsia" w:cstheme="minorEastAsia"/>
          <w:b/>
          <w:color w:val="333333"/>
          <w:sz w:val="28"/>
          <w:szCs w:val="28"/>
        </w:rPr>
        <w:t>十三、事业运行经费</w:t>
      </w:r>
      <w:r>
        <w:rPr>
          <w:rFonts w:hint="eastAsia" w:asciiTheme="minorEastAsia" w:hAnsiTheme="minorEastAsia" w:cstheme="minorEastAsia"/>
          <w:color w:val="333333"/>
          <w:sz w:val="28"/>
          <w:szCs w:val="28"/>
        </w:rPr>
        <w:t>：为保障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DE7389C"/>
    <w:rsid w:val="00064CC5"/>
    <w:rsid w:val="000D7846"/>
    <w:rsid w:val="001721DE"/>
    <w:rsid w:val="0031121F"/>
    <w:rsid w:val="00397CE9"/>
    <w:rsid w:val="00464670"/>
    <w:rsid w:val="005E7BC4"/>
    <w:rsid w:val="005F7AA1"/>
    <w:rsid w:val="006459C0"/>
    <w:rsid w:val="006C5E85"/>
    <w:rsid w:val="007413B4"/>
    <w:rsid w:val="007E0E5C"/>
    <w:rsid w:val="008141AA"/>
    <w:rsid w:val="00884DC6"/>
    <w:rsid w:val="008F38CF"/>
    <w:rsid w:val="00900111"/>
    <w:rsid w:val="00911FE5"/>
    <w:rsid w:val="00B22F73"/>
    <w:rsid w:val="00C86316"/>
    <w:rsid w:val="00D87E36"/>
    <w:rsid w:val="00E67D12"/>
    <w:rsid w:val="00EE66E4"/>
    <w:rsid w:val="00F63650"/>
    <w:rsid w:val="00FB6E9E"/>
    <w:rsid w:val="01340F75"/>
    <w:rsid w:val="03FE7F0E"/>
    <w:rsid w:val="098217C0"/>
    <w:rsid w:val="0E980DC7"/>
    <w:rsid w:val="179B676B"/>
    <w:rsid w:val="19252453"/>
    <w:rsid w:val="1CFB22BC"/>
    <w:rsid w:val="2A054FEB"/>
    <w:rsid w:val="2DE7389C"/>
    <w:rsid w:val="3DDC6AB6"/>
    <w:rsid w:val="419008B3"/>
    <w:rsid w:val="62763A6A"/>
    <w:rsid w:val="6B6E45D7"/>
    <w:rsid w:val="6BC52739"/>
    <w:rsid w:val="763C3B43"/>
    <w:rsid w:val="768870B2"/>
    <w:rsid w:val="7BC22F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0"/>
    <w:uiPriority w:val="0"/>
    <w:pPr>
      <w:tabs>
        <w:tab w:val="center" w:pos="4153"/>
        <w:tab w:val="right" w:pos="8306"/>
      </w:tabs>
      <w:snapToGrid w:val="0"/>
      <w:jc w:val="left"/>
    </w:pPr>
    <w:rPr>
      <w:sz w:val="18"/>
      <w:szCs w:val="18"/>
    </w:rPr>
  </w:style>
  <w:style w:type="paragraph" w:styleId="3">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FollowedHyperlink"/>
    <w:basedOn w:val="6"/>
    <w:qFormat/>
    <w:uiPriority w:val="0"/>
    <w:rPr>
      <w:color w:val="333333"/>
      <w:sz w:val="18"/>
      <w:szCs w:val="18"/>
      <w:u w:val="none"/>
    </w:rPr>
  </w:style>
  <w:style w:type="character" w:styleId="9">
    <w:name w:val="Emphasis"/>
    <w:basedOn w:val="6"/>
    <w:qFormat/>
    <w:uiPriority w:val="0"/>
    <w:rPr>
      <w:i/>
    </w:rPr>
  </w:style>
  <w:style w:type="character" w:styleId="10">
    <w:name w:val="Hyperlink"/>
    <w:basedOn w:val="6"/>
    <w:qFormat/>
    <w:uiPriority w:val="0"/>
    <w:rPr>
      <w:color w:val="333333"/>
      <w:sz w:val="18"/>
      <w:szCs w:val="18"/>
      <w:u w:val="none"/>
    </w:rPr>
  </w:style>
  <w:style w:type="character" w:customStyle="1" w:styleId="11">
    <w:name w:val="laiy"/>
    <w:basedOn w:val="6"/>
    <w:qFormat/>
    <w:uiPriority w:val="0"/>
  </w:style>
  <w:style w:type="character" w:customStyle="1" w:styleId="12">
    <w:name w:val="zuoz"/>
    <w:basedOn w:val="6"/>
    <w:qFormat/>
    <w:uiPriority w:val="0"/>
  </w:style>
  <w:style w:type="character" w:customStyle="1" w:styleId="13">
    <w:name w:val="update"/>
    <w:basedOn w:val="6"/>
    <w:qFormat/>
    <w:uiPriority w:val="0"/>
  </w:style>
  <w:style w:type="character" w:customStyle="1" w:styleId="14">
    <w:name w:val="hot1"/>
    <w:basedOn w:val="6"/>
    <w:qFormat/>
    <w:uiPriority w:val="0"/>
  </w:style>
  <w:style w:type="character" w:customStyle="1" w:styleId="15">
    <w:name w:val="td12"/>
    <w:basedOn w:val="6"/>
    <w:qFormat/>
    <w:uiPriority w:val="0"/>
    <w:rPr>
      <w:rFonts w:ascii="Arial" w:hAnsi="Arial" w:cs="Arial"/>
      <w:color w:val="FFFFFF"/>
      <w:sz w:val="16"/>
      <w:szCs w:val="16"/>
    </w:rPr>
  </w:style>
  <w:style w:type="character" w:customStyle="1" w:styleId="16">
    <w:name w:val="td22"/>
    <w:basedOn w:val="6"/>
    <w:qFormat/>
    <w:uiPriority w:val="0"/>
  </w:style>
  <w:style w:type="character" w:customStyle="1" w:styleId="17">
    <w:name w:val="td32"/>
    <w:basedOn w:val="6"/>
    <w:qFormat/>
    <w:uiPriority w:val="0"/>
  </w:style>
  <w:style w:type="character" w:customStyle="1" w:styleId="18">
    <w:name w:val="home"/>
    <w:basedOn w:val="6"/>
    <w:uiPriority w:val="0"/>
  </w:style>
  <w:style w:type="character" w:customStyle="1" w:styleId="19">
    <w:name w:val="页眉 Char"/>
    <w:basedOn w:val="6"/>
    <w:link w:val="3"/>
    <w:uiPriority w:val="0"/>
    <w:rPr>
      <w:rFonts w:asciiTheme="minorHAnsi" w:hAnsiTheme="minorHAnsi" w:eastAsiaTheme="minorEastAsia" w:cstheme="minorBidi"/>
      <w:kern w:val="2"/>
      <w:sz w:val="18"/>
      <w:szCs w:val="18"/>
    </w:rPr>
  </w:style>
  <w:style w:type="character" w:customStyle="1" w:styleId="20">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578</Words>
  <Characters>3295</Characters>
  <Lines>27</Lines>
  <Paragraphs>7</Paragraphs>
  <TotalTime>468</TotalTime>
  <ScaleCrop>false</ScaleCrop>
  <LinksUpToDate>false</LinksUpToDate>
  <CharactersWithSpaces>3866</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cp:lastPrinted>2019-09-24T02:07:00Z</cp:lastPrinted>
  <dcterms:modified xsi:type="dcterms:W3CDTF">2021-05-20T08:40:31Z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