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180" w:beforeAutospacing="0" w:after="360" w:afterAutospacing="0" w:line="460" w:lineRule="exact"/>
        <w:ind w:left="260"/>
        <w:jc w:val="center"/>
        <w:rPr>
          <w:rFonts w:asciiTheme="minorEastAsia" w:hAnsiTheme="minorEastAsia" w:cstheme="minorEastAsia"/>
          <w:b/>
          <w:color w:val="333333"/>
          <w:sz w:val="44"/>
          <w:szCs w:val="44"/>
        </w:rPr>
      </w:pPr>
      <w:r>
        <w:rPr>
          <w:rFonts w:hint="eastAsia" w:asciiTheme="minorEastAsia" w:hAnsiTheme="minorEastAsia" w:cstheme="minorEastAsia"/>
          <w:b/>
          <w:color w:val="333333"/>
          <w:sz w:val="44"/>
          <w:szCs w:val="44"/>
        </w:rPr>
        <w:t>2018年度农业技术推广中心部门决算</w:t>
      </w:r>
    </w:p>
    <w:p>
      <w:pPr>
        <w:pStyle w:val="4"/>
        <w:widowControl/>
        <w:spacing w:before="180" w:beforeAutospacing="0" w:after="360" w:afterAutospacing="0" w:line="460" w:lineRule="exact"/>
        <w:ind w:left="260"/>
        <w:jc w:val="center"/>
        <w:rPr>
          <w:rFonts w:asciiTheme="minorEastAsia" w:hAnsiTheme="minorEastAsia" w:cstheme="minorEastAsia"/>
          <w:b/>
          <w:color w:val="333333"/>
          <w:sz w:val="44"/>
          <w:szCs w:val="44"/>
        </w:rPr>
      </w:pPr>
      <w:r>
        <w:rPr>
          <w:rFonts w:hint="eastAsia" w:asciiTheme="minorEastAsia" w:hAnsiTheme="minorEastAsia" w:cstheme="minorEastAsia"/>
          <w:b/>
          <w:color w:val="333333"/>
          <w:sz w:val="44"/>
          <w:szCs w:val="44"/>
        </w:rPr>
        <w:t>文字说明</w:t>
      </w:r>
    </w:p>
    <w:p>
      <w:pPr>
        <w:pStyle w:val="4"/>
        <w:widowControl/>
        <w:spacing w:before="180" w:beforeAutospacing="0" w:after="360" w:afterAutospacing="0" w:line="460" w:lineRule="exact"/>
        <w:rPr>
          <w:rFonts w:asciiTheme="minorEastAsia" w:hAnsiTheme="minorEastAsia" w:cstheme="minorEastAsia"/>
          <w:sz w:val="28"/>
          <w:szCs w:val="28"/>
        </w:rPr>
      </w:pPr>
      <w:r>
        <w:rPr>
          <w:rFonts w:hint="eastAsia" w:asciiTheme="minorEastAsia" w:hAnsiTheme="minorEastAsia" w:cstheme="minorEastAsia"/>
          <w:b/>
          <w:color w:val="333333"/>
          <w:sz w:val="28"/>
          <w:szCs w:val="28"/>
        </w:rPr>
        <w:t>第一部分 部门概况</w:t>
      </w:r>
    </w:p>
    <w:p>
      <w:pPr>
        <w:pStyle w:val="4"/>
        <w:widowControl/>
        <w:spacing w:before="180" w:beforeAutospacing="0" w:after="360" w:afterAutospacing="0" w:line="460" w:lineRule="exact"/>
        <w:rPr>
          <w:rFonts w:asciiTheme="minorEastAsia" w:hAnsiTheme="minorEastAsia" w:cstheme="minorEastAsia"/>
          <w:sz w:val="28"/>
          <w:szCs w:val="28"/>
        </w:rPr>
      </w:pPr>
      <w:r>
        <w:rPr>
          <w:rFonts w:hint="eastAsia" w:asciiTheme="minorEastAsia" w:hAnsiTheme="minorEastAsia" w:cstheme="minorEastAsia"/>
          <w:color w:val="333333"/>
          <w:sz w:val="28"/>
          <w:szCs w:val="28"/>
        </w:rPr>
        <w:t>一、主要职能</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1、贯彻执行农业技术推广法的法规和政策。</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2、负责本县农业技术推广计划的制定实施和农业新技术的试验和示范工作。</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3、指导农民建立各种农业技术服务合作组织，建立农业技术服务体系。</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4、负责收集、传递农业科学技术信息，总结推广增产经验。</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5、培训农业基层干部、农民技术员及科技示范户、宣传普及农业科学技术知识，提高农民科学种田水平。</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6、负责农业技术培训、技术宣传、技术咨询、技术服务。</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7、推广增产技术经验，引进当地需要的技术，经过试验、示范，然后普及推广。</w:t>
      </w:r>
    </w:p>
    <w:p>
      <w:pPr>
        <w:pStyle w:val="4"/>
        <w:widowControl/>
        <w:spacing w:before="180" w:beforeAutospacing="0" w:after="360" w:afterAutospacing="0" w:line="460" w:lineRule="exact"/>
        <w:ind w:left="260" w:firstLine="733"/>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二、机构设置及部门决算单位构成</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农业技术推广中心为全额事业单位，内设站室7个（办公室、推广站、植保站、土肥站、水稻站、经作站、化验室），为一级预算单位。</w:t>
      </w:r>
    </w:p>
    <w:p>
      <w:pPr>
        <w:pStyle w:val="4"/>
        <w:widowControl/>
        <w:spacing w:before="180" w:beforeAutospacing="0" w:after="360" w:afterAutospacing="0" w:line="460" w:lineRule="exact"/>
        <w:ind w:left="260" w:firstLine="733"/>
        <w:rPr>
          <w:rFonts w:asciiTheme="minorEastAsia" w:hAnsiTheme="minorEastAsia" w:cstheme="minorEastAsia"/>
          <w:sz w:val="28"/>
          <w:szCs w:val="28"/>
        </w:rPr>
      </w:pPr>
      <w:r>
        <w:rPr>
          <w:rFonts w:hint="eastAsia" w:asciiTheme="minorEastAsia" w:hAnsiTheme="minorEastAsia" w:cstheme="minorEastAsia"/>
          <w:color w:val="333333"/>
          <w:sz w:val="28"/>
          <w:szCs w:val="28"/>
        </w:rPr>
        <w:t>三、人员构成</w:t>
      </w:r>
    </w:p>
    <w:p>
      <w:pPr>
        <w:spacing w:line="460" w:lineRule="exact"/>
        <w:ind w:firstLine="560" w:firstLineChars="200"/>
        <w:rPr>
          <w:rFonts w:asciiTheme="minorEastAsia" w:hAnsiTheme="minorEastAsia" w:cstheme="minorEastAsia"/>
          <w:sz w:val="28"/>
          <w:szCs w:val="28"/>
        </w:rPr>
      </w:pPr>
      <w:r>
        <w:rPr>
          <w:rFonts w:hint="eastAsia" w:asciiTheme="minorEastAsia" w:hAnsiTheme="minorEastAsia" w:cstheme="minorEastAsia"/>
          <w:color w:val="333333"/>
          <w:sz w:val="28"/>
          <w:szCs w:val="28"/>
        </w:rPr>
        <w:t>  </w:t>
      </w:r>
      <w:r>
        <w:rPr>
          <w:rFonts w:hint="eastAsia" w:asciiTheme="minorEastAsia" w:hAnsiTheme="minorEastAsia" w:cstheme="minorEastAsia"/>
          <w:color w:val="333333"/>
          <w:kern w:val="0"/>
          <w:sz w:val="28"/>
          <w:szCs w:val="28"/>
        </w:rPr>
        <w:t>本单位事业编制数43个，在职43人，退休15人。</w:t>
      </w:r>
    </w:p>
    <w:p>
      <w:pPr>
        <w:pStyle w:val="4"/>
        <w:widowControl/>
        <w:spacing w:before="492" w:beforeAutospacing="0" w:after="672" w:afterAutospacing="0" w:line="460" w:lineRule="exact"/>
        <w:ind w:left="262"/>
        <w:rPr>
          <w:rFonts w:asciiTheme="minorEastAsia" w:hAnsiTheme="minorEastAsia" w:cstheme="minorEastAsia"/>
          <w:sz w:val="28"/>
          <w:szCs w:val="28"/>
        </w:rPr>
      </w:pPr>
      <w:r>
        <w:rPr>
          <w:rFonts w:hint="eastAsia" w:asciiTheme="minorEastAsia" w:hAnsiTheme="minorEastAsia" w:cstheme="minorEastAsia"/>
          <w:b/>
          <w:color w:val="333333"/>
          <w:sz w:val="28"/>
          <w:szCs w:val="28"/>
        </w:rPr>
        <w:t>第二部分2018年度部门决算情况说明</w:t>
      </w:r>
    </w:p>
    <w:p>
      <w:pPr>
        <w:pStyle w:val="4"/>
        <w:widowControl/>
        <w:shd w:val="clear" w:color="auto" w:fill="FFFFFF"/>
        <w:spacing w:beforeAutospacing="0" w:after="225" w:afterAutospacing="0" w:line="460" w:lineRule="exact"/>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一、2018年度收入支出决算总体情况说明</w:t>
      </w:r>
    </w:p>
    <w:p>
      <w:pPr>
        <w:pStyle w:val="4"/>
        <w:widowControl/>
        <w:shd w:val="clear" w:color="auto" w:fill="FFFFFF"/>
        <w:spacing w:beforeAutospacing="0" w:after="225" w:afterAutospacing="0" w:line="460" w:lineRule="exact"/>
        <w:ind w:firstLine="79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2018年度收入总计619.76万元，支出总计572.04万元，与上年相比，收入总计增加162.76万元，增长35.61%；支出总计增加75.04万元，增长16.42%。</w:t>
      </w:r>
    </w:p>
    <w:p>
      <w:pPr>
        <w:pStyle w:val="4"/>
        <w:widowControl/>
        <w:shd w:val="clear" w:color="auto" w:fill="FFFFFF"/>
        <w:spacing w:beforeAutospacing="0" w:after="225" w:afterAutospacing="0" w:line="460" w:lineRule="exact"/>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 2018年度收入决算情况说明</w:t>
      </w:r>
    </w:p>
    <w:p>
      <w:pPr>
        <w:pStyle w:val="4"/>
        <w:widowControl/>
        <w:shd w:val="clear" w:color="auto" w:fill="FFFFFF"/>
        <w:spacing w:beforeAutospacing="0" w:after="225" w:afterAutospacing="0" w:line="460" w:lineRule="exact"/>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本年收入合计619.76万元，其中：财政拨款收入619.76万元，占100%。</w:t>
      </w:r>
    </w:p>
    <w:p>
      <w:pPr>
        <w:pStyle w:val="4"/>
        <w:widowControl/>
        <w:shd w:val="clear" w:color="auto" w:fill="FFFFFF"/>
        <w:spacing w:beforeAutospacing="0" w:after="225" w:afterAutospacing="0" w:line="460" w:lineRule="exact"/>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三、2018年度支出决算情况说明</w:t>
      </w:r>
    </w:p>
    <w:p>
      <w:pPr>
        <w:pStyle w:val="4"/>
        <w:widowControl/>
        <w:shd w:val="clear" w:color="auto" w:fill="FFFFFF"/>
        <w:spacing w:beforeAutospacing="0" w:after="225" w:afterAutospacing="0" w:line="460" w:lineRule="exact"/>
        <w:ind w:left="135" w:firstLine="70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本年支出合计572.04万元，其中：基本支出442.54万元，占77%；项目支出129.50万元，占23%；</w:t>
      </w:r>
    </w:p>
    <w:p>
      <w:pPr>
        <w:pStyle w:val="4"/>
        <w:widowControl/>
        <w:shd w:val="clear" w:color="auto" w:fill="FFFFFF"/>
        <w:spacing w:beforeAutospacing="0" w:afterAutospacing="0" w:line="460" w:lineRule="exact"/>
        <w:ind w:left="135" w:right="270"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四、2018年度财政拨款收入支出决算总体情况说明</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2018年度财政拨款收入619.76万元，与上年相比，增加162.76万元，增长35.61%；2018年度财政拨款支出572.04万元，与上年相比，增加75.04万元，增长16.42%。</w:t>
      </w:r>
    </w:p>
    <w:p>
      <w:pPr>
        <w:pStyle w:val="4"/>
        <w:widowControl/>
        <w:shd w:val="clear" w:color="auto" w:fill="FFFFFF"/>
        <w:spacing w:beforeAutospacing="0" w:afterAutospacing="0" w:line="460" w:lineRule="exact"/>
        <w:ind w:left="135" w:right="270"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五、2018年度一般公共预算财政拨款支出决算情况说明</w:t>
      </w:r>
    </w:p>
    <w:p>
      <w:pPr>
        <w:pStyle w:val="4"/>
        <w:widowControl/>
        <w:shd w:val="clear" w:color="auto" w:fill="FFFFFF"/>
        <w:spacing w:beforeAutospacing="0" w:after="225" w:afterAutospacing="0" w:line="460" w:lineRule="exact"/>
        <w:ind w:left="135" w:firstLine="70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（一）财政拨款支出决算总体情况。</w:t>
      </w:r>
    </w:p>
    <w:p>
      <w:pPr>
        <w:pStyle w:val="4"/>
        <w:widowControl/>
        <w:shd w:val="clear" w:color="auto" w:fill="FFFFFF"/>
        <w:spacing w:beforeAutospacing="0" w:after="225" w:afterAutospacing="0" w:line="460" w:lineRule="exact"/>
        <w:ind w:left="135" w:firstLine="73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2018年度财政拨款支出572.4万元，占本年支出合计的100%。与上年相比，财政拨款支出增加75.04万元，增长16.42%。</w:t>
      </w:r>
    </w:p>
    <w:p>
      <w:pPr>
        <w:pStyle w:val="4"/>
        <w:widowControl/>
        <w:shd w:val="clear" w:color="auto" w:fill="FFFFFF"/>
        <w:spacing w:beforeAutospacing="0" w:after="225" w:afterAutospacing="0" w:line="460" w:lineRule="exact"/>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（二）财政拨款支出决算结构情况。</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2018年度财政拨款支出572.04万元，主要用于以下方面：</w:t>
      </w:r>
      <w:r>
        <w:rPr>
          <w:rFonts w:hint="eastAsia"/>
          <w:b/>
          <w:color w:val="333333"/>
          <w:kern w:val="0"/>
        </w:rPr>
        <w:t>社会保障和就业（类）</w:t>
      </w:r>
      <w:r>
        <w:rPr>
          <w:rFonts w:hint="eastAsia" w:asciiTheme="minorEastAsia" w:hAnsiTheme="minorEastAsia" w:cstheme="minorEastAsia"/>
          <w:color w:val="333333"/>
          <w:kern w:val="0"/>
          <w:sz w:val="28"/>
          <w:szCs w:val="28"/>
        </w:rPr>
        <w:t>支出72.48万元，占12.67%；</w:t>
      </w:r>
      <w:r>
        <w:rPr>
          <w:rFonts w:hint="eastAsia"/>
          <w:b/>
          <w:color w:val="333333"/>
          <w:kern w:val="0"/>
        </w:rPr>
        <w:t>医疗卫生与计划生育（类）</w:t>
      </w:r>
      <w:r>
        <w:rPr>
          <w:rFonts w:hint="eastAsia" w:asciiTheme="minorEastAsia" w:hAnsiTheme="minorEastAsia" w:cstheme="minorEastAsia"/>
          <w:color w:val="333333"/>
          <w:kern w:val="0"/>
          <w:sz w:val="28"/>
          <w:szCs w:val="28"/>
        </w:rPr>
        <w:t>支出万元，占%；</w:t>
      </w:r>
      <w:r>
        <w:rPr>
          <w:rFonts w:hint="eastAsia"/>
          <w:b/>
          <w:color w:val="333333"/>
          <w:kern w:val="0"/>
        </w:rPr>
        <w:t>农林水（类）</w:t>
      </w:r>
      <w:r>
        <w:rPr>
          <w:rFonts w:hint="eastAsia" w:asciiTheme="minorEastAsia" w:hAnsiTheme="minorEastAsia" w:cstheme="minorEastAsia"/>
          <w:color w:val="333333"/>
          <w:kern w:val="0"/>
          <w:sz w:val="28"/>
          <w:szCs w:val="28"/>
        </w:rPr>
        <w:t>支出484.02万元，占84.61%；</w:t>
      </w:r>
      <w:r>
        <w:rPr>
          <w:rFonts w:hint="eastAsia"/>
          <w:b/>
          <w:color w:val="333333"/>
          <w:kern w:val="0"/>
        </w:rPr>
        <w:t>住房保障（类）</w:t>
      </w:r>
      <w:r>
        <w:rPr>
          <w:rFonts w:hint="eastAsia" w:asciiTheme="minorEastAsia" w:hAnsiTheme="minorEastAsia" w:cstheme="minorEastAsia"/>
          <w:color w:val="333333"/>
          <w:kern w:val="0"/>
          <w:sz w:val="28"/>
          <w:szCs w:val="28"/>
        </w:rPr>
        <w:t>支出15.54万元，占2.72%。</w:t>
      </w:r>
    </w:p>
    <w:p>
      <w:pPr>
        <w:pStyle w:val="4"/>
        <w:widowControl/>
        <w:shd w:val="clear" w:color="auto" w:fill="FFFFFF"/>
        <w:spacing w:beforeAutospacing="0" w:after="225" w:afterAutospacing="0" w:line="460" w:lineRule="exact"/>
        <w:ind w:left="90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（三）财政拨款支出决算具体情况。</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2018年度财政拨款支出年初预算为326.07万元，支出决算为572.04万元，完成年初预算的175%。决算数大于预算数的主要原因：一是2018年在职、离退休职工工资增长了和由于工资的增长相应的医疗保险、住房公积金、住房提租补贴相应的缴交比例也随之增加，所以决算数大于预算数；二是2018年增加了行政管理事务等项目资金。其中：</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1. 社会保障和就业（类）行政事业单位离退休（款）未归口管理的行政单位离退休（项）。</w:t>
      </w:r>
    </w:p>
    <w:p>
      <w:pPr>
        <w:spacing w:line="460" w:lineRule="exact"/>
        <w:ind w:firstLine="560" w:firstLineChars="200"/>
        <w:rPr>
          <w:rFonts w:asciiTheme="minorEastAsia" w:hAnsiTheme="minorEastAsia" w:cstheme="minorEastAsia"/>
          <w:color w:val="333333"/>
          <w:kern w:val="0"/>
          <w:sz w:val="28"/>
          <w:szCs w:val="28"/>
        </w:rPr>
      </w:pPr>
      <w:r>
        <w:rPr>
          <w:rFonts w:hint="eastAsia" w:asciiTheme="minorEastAsia" w:hAnsiTheme="minorEastAsia" w:cstheme="minorEastAsia"/>
          <w:color w:val="333333"/>
          <w:kern w:val="0"/>
          <w:sz w:val="28"/>
          <w:szCs w:val="28"/>
        </w:rPr>
        <w:t>年初预算为67.86万元，支出决算为72.48万元，完成年初预算的106.8%。决算数大于预算数的主要原因是2018年离退休职工工资增长了。</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auto"/>
          <w:sz w:val="28"/>
          <w:szCs w:val="28"/>
        </w:rPr>
      </w:pPr>
      <w:bookmarkStart w:id="0" w:name="_GoBack"/>
      <w:r>
        <w:rPr>
          <w:rStyle w:val="7"/>
          <w:rFonts w:hint="eastAsia" w:asciiTheme="minorEastAsia" w:hAnsiTheme="minorEastAsia" w:cstheme="minorEastAsia"/>
          <w:color w:val="auto"/>
          <w:sz w:val="28"/>
          <w:szCs w:val="28"/>
          <w:shd w:val="clear" w:color="auto" w:fill="FFFFFF"/>
        </w:rPr>
        <w:t>2. 医疗卫生和计划生育（类）医疗保障（款）行政单位医疗（项）。</w:t>
      </w:r>
    </w:p>
    <w:p>
      <w:pPr>
        <w:spacing w:line="460" w:lineRule="exact"/>
        <w:ind w:firstLine="560" w:firstLineChars="200"/>
        <w:rPr>
          <w:rFonts w:asciiTheme="minorEastAsia" w:hAnsiTheme="minorEastAsia" w:cstheme="minorEastAsia"/>
          <w:color w:val="auto"/>
          <w:kern w:val="0"/>
          <w:sz w:val="28"/>
          <w:szCs w:val="28"/>
        </w:rPr>
      </w:pPr>
      <w:r>
        <w:rPr>
          <w:rFonts w:hint="eastAsia" w:asciiTheme="minorEastAsia" w:hAnsiTheme="minorEastAsia" w:cstheme="minorEastAsia"/>
          <w:color w:val="auto"/>
          <w:kern w:val="0"/>
          <w:sz w:val="28"/>
          <w:szCs w:val="28"/>
        </w:rPr>
        <w:t>年初预算为万元，支出决算为万元，完成年初预算的%。决算数大于预算数的主要原因在职职工增长了工资，使医疗保险的缴交比例增加了。</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auto"/>
          <w:sz w:val="28"/>
          <w:szCs w:val="28"/>
        </w:rPr>
      </w:pPr>
      <w:r>
        <w:rPr>
          <w:rStyle w:val="7"/>
          <w:rFonts w:hint="eastAsia" w:asciiTheme="minorEastAsia" w:hAnsiTheme="minorEastAsia" w:cstheme="minorEastAsia"/>
          <w:color w:val="auto"/>
          <w:sz w:val="28"/>
          <w:szCs w:val="28"/>
          <w:shd w:val="clear" w:color="auto" w:fill="FFFFFF"/>
        </w:rPr>
        <w:t>3. 农林水（类）农业（款）行政运行（项）。</w:t>
      </w:r>
    </w:p>
    <w:bookmarkEnd w:id="0"/>
    <w:p>
      <w:pPr>
        <w:pStyle w:val="4"/>
        <w:widowControl/>
        <w:shd w:val="clear" w:color="auto" w:fill="FFFFFF"/>
        <w:spacing w:beforeAutospacing="0" w:after="225" w:afterAutospacing="0" w:line="460" w:lineRule="exact"/>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年初预算为239.64万元，支出决算为484.02万元，完成年初预算的201.98%。决算数大于预算数的主要原因是2018年增加了行政管理事务等项目资金。</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4. 住房保障（类）住房改革支出（款）住房公积金（项）。</w:t>
      </w:r>
    </w:p>
    <w:p>
      <w:pPr>
        <w:pStyle w:val="4"/>
        <w:widowControl/>
        <w:shd w:val="clear" w:color="auto" w:fill="FFFFFF"/>
        <w:spacing w:beforeAutospacing="0" w:after="225" w:afterAutospacing="0" w:line="460" w:lineRule="exact"/>
        <w:ind w:left="165" w:firstLine="480"/>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年初预算为18.57万元，支出决算为15.54万元，完成年初预算的83.68%。决算数小于预算数的主要原因是2018年有调出和退休人员。</w:t>
      </w:r>
    </w:p>
    <w:p>
      <w:pPr>
        <w:pStyle w:val="4"/>
        <w:widowControl/>
        <w:shd w:val="clear" w:color="auto" w:fill="FFFFFF"/>
        <w:spacing w:beforeAutospacing="0" w:after="225" w:afterAutospacing="0" w:line="460" w:lineRule="exact"/>
        <w:ind w:right="270" w:firstLine="31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六、2018年度一般公共预算财政拨款基本支出决算情况说明。</w:t>
      </w:r>
    </w:p>
    <w:p>
      <w:pPr>
        <w:pStyle w:val="4"/>
        <w:widowControl/>
        <w:shd w:val="clear" w:color="auto" w:fill="FFFFFF"/>
        <w:spacing w:beforeAutospacing="0" w:after="225" w:afterAutospacing="0" w:line="460" w:lineRule="exact"/>
        <w:ind w:right="105"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财政拨款基本支出442.54万元，其中：人员经费380.34万元，主要包括：基本工资、津贴补贴、奖金、其他社会保障缴费、伙食补助费、其他工资福利支出、离休费、退休费、医疗费、奖励金、住房公积金、提租补贴、采暖补贴、其他对个人和家庭的补助支出；公用经费62.20万元，主要包括：办公费、印刷费、水费、电费、邮电费、取暖费、物业费、差旅费、维修（护）费、专用材料费、劳务费、工会经费、福利费、其他交通费用、办公设备购置。</w:t>
      </w:r>
    </w:p>
    <w:p>
      <w:pPr>
        <w:pStyle w:val="4"/>
        <w:widowControl/>
        <w:shd w:val="clear" w:color="auto" w:fill="FFFFFF"/>
        <w:spacing w:beforeAutospacing="0" w:afterAutospacing="0" w:line="460" w:lineRule="exact"/>
        <w:ind w:left="255" w:right="270"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七、2018年度一般公共预算财政拨款“三公”经费支出决算情况说明</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（一）“三公”经费财政拨款支出决算总体情况说明。</w:t>
      </w:r>
    </w:p>
    <w:p>
      <w:pPr>
        <w:pStyle w:val="4"/>
        <w:widowControl/>
        <w:shd w:val="clear" w:color="auto" w:fill="FFFFFF"/>
        <w:spacing w:beforeAutospacing="0" w:after="225" w:afterAutospacing="0" w:line="460" w:lineRule="exact"/>
        <w:ind w:left="279" w:leftChars="133" w:firstLine="579" w:firstLineChars="207"/>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预算为3.7万元，支出决算为3.6万元，完成预算的97.30%，其中：因公出国（境）费支出决算为万元，完成预算的%；公务用车购置及运行费支出决算为3.6万元，完成预算的100%；公务接待费支出决算为0.1万元，完成预算的0%。2018年度“三公”经费支出决算数与预算数持平。</w:t>
      </w:r>
    </w:p>
    <w:p>
      <w:pPr>
        <w:pStyle w:val="4"/>
        <w:widowControl/>
        <w:shd w:val="clear" w:color="auto" w:fill="FFFFFF"/>
        <w:spacing w:beforeAutospacing="0" w:after="225" w:afterAutospacing="0" w:line="460" w:lineRule="exact"/>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数比上年增减少0.1万元，减少2.7%，公务用车购置及运行费支出决算3.6万元，减少2.7%，原因为：部门严格执行三公经费缩减，车改后车辆上交；公务接待费支出决算0万元，增长%，原因为：严格按照上级标准，缩减公务接待开支。</w:t>
      </w:r>
    </w:p>
    <w:p>
      <w:pPr>
        <w:pStyle w:val="4"/>
        <w:widowControl/>
        <w:shd w:val="clear" w:color="auto" w:fill="FFFFFF"/>
        <w:spacing w:beforeAutospacing="0" w:after="225" w:afterAutospacing="0" w:line="460" w:lineRule="exact"/>
        <w:ind w:firstLine="85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（二）“三公”经费财政拨款支出决算具体情况说明。</w:t>
      </w:r>
    </w:p>
    <w:p>
      <w:pPr>
        <w:pStyle w:val="4"/>
        <w:widowControl/>
        <w:shd w:val="clear" w:color="auto" w:fill="FFFFFF"/>
        <w:spacing w:beforeAutospacing="0" w:after="225" w:afterAutospacing="0" w:line="460" w:lineRule="exact"/>
        <w:ind w:firstLine="85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2018年度“三公”经费财政拨款支出决算中，因公出国（境）费支出决算万元，占%；公务用车购置及运行费支出决算3.6万元，占100%；公务接待费支出决算0万元，占%。</w:t>
      </w:r>
    </w:p>
    <w:p>
      <w:pPr>
        <w:pStyle w:val="4"/>
        <w:widowControl/>
        <w:shd w:val="clear" w:color="auto" w:fill="FFFFFF"/>
        <w:spacing w:beforeAutospacing="0" w:after="225" w:afterAutospacing="0" w:line="460" w:lineRule="exact"/>
        <w:ind w:firstLine="855"/>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1.因公出国（境）费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万元。全年安排因公出国</w:t>
      </w:r>
    </w:p>
    <w:p>
      <w:pPr>
        <w:pStyle w:val="4"/>
        <w:widowControl/>
        <w:shd w:val="clear" w:color="auto" w:fill="FFFFFF"/>
        <w:spacing w:beforeAutospacing="0" w:after="225" w:afterAutospacing="0" w:line="460" w:lineRule="exact"/>
        <w:ind w:firstLine="645"/>
        <w:textAlignment w:val="baseline"/>
        <w:rPr>
          <w:rFonts w:asciiTheme="minorEastAsia" w:hAnsiTheme="minorEastAsia" w:cstheme="minorEastAsia"/>
          <w:color w:val="333333"/>
          <w:sz w:val="28"/>
          <w:szCs w:val="28"/>
        </w:rPr>
      </w:pPr>
      <w:r>
        <w:rPr>
          <w:rFonts w:hint="eastAsia" w:asciiTheme="minorEastAsia" w:hAnsiTheme="minorEastAsia" w:cstheme="minorEastAsia"/>
          <w:color w:val="373737"/>
          <w:sz w:val="28"/>
          <w:szCs w:val="28"/>
          <w:shd w:val="clear" w:color="auto" w:fill="FFFFFF"/>
        </w:rPr>
        <w:t>（境）团组0个，累计0人次。开支内容包括：出国人员差旅费0万元。</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2.公务用车购置及运行费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3.6</w:t>
      </w:r>
      <w:r>
        <w:rPr>
          <w:rFonts w:hint="eastAsia" w:asciiTheme="minorEastAsia" w:hAnsiTheme="minorEastAsia" w:cstheme="minorEastAsia"/>
          <w:color w:val="373737"/>
          <w:sz w:val="28"/>
          <w:szCs w:val="28"/>
          <w:shd w:val="clear" w:color="auto" w:fill="FFFFFF"/>
        </w:rPr>
        <w:t>万元。其中：</w:t>
      </w:r>
      <w:r>
        <w:rPr>
          <w:rStyle w:val="7"/>
          <w:rFonts w:hint="eastAsia" w:asciiTheme="minorEastAsia" w:hAnsiTheme="minorEastAsia" w:cstheme="minorEastAsia"/>
          <w:color w:val="373737"/>
          <w:sz w:val="28"/>
          <w:szCs w:val="28"/>
          <w:shd w:val="clear" w:color="auto" w:fill="FFFFFF"/>
        </w:rPr>
        <w:t>公务用车购置</w:t>
      </w:r>
      <w:r>
        <w:rPr>
          <w:rFonts w:hint="eastAsia" w:asciiTheme="minorEastAsia" w:hAnsiTheme="minorEastAsia" w:cstheme="minorEastAsia"/>
          <w:color w:val="373737"/>
          <w:sz w:val="28"/>
          <w:szCs w:val="28"/>
          <w:shd w:val="clear" w:color="auto" w:fill="FFFFFF"/>
        </w:rPr>
        <w:t>支出为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w:t>
      </w:r>
      <w:r>
        <w:rPr>
          <w:rStyle w:val="7"/>
          <w:rFonts w:hint="eastAsia" w:asciiTheme="minorEastAsia" w:hAnsiTheme="minorEastAsia" w:cstheme="minorEastAsia"/>
          <w:color w:val="373737"/>
          <w:sz w:val="28"/>
          <w:szCs w:val="28"/>
          <w:shd w:val="clear" w:color="auto" w:fill="FFFFFF"/>
        </w:rPr>
        <w:t>公务用车运行</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3.6</w:t>
      </w:r>
      <w:r>
        <w:rPr>
          <w:rFonts w:hint="eastAsia" w:asciiTheme="minorEastAsia" w:hAnsiTheme="minorEastAsia" w:cstheme="minorEastAsia"/>
          <w:color w:val="373737"/>
          <w:sz w:val="28"/>
          <w:szCs w:val="28"/>
          <w:shd w:val="clear" w:color="auto" w:fill="FFFFFF"/>
        </w:rPr>
        <w:t>万元。</w:t>
      </w:r>
      <w:r>
        <w:rPr>
          <w:rStyle w:val="7"/>
          <w:rFonts w:hint="eastAsia" w:asciiTheme="minorEastAsia" w:hAnsiTheme="minorEastAsia" w:cstheme="minorEastAsia"/>
          <w:color w:val="373737"/>
          <w:sz w:val="28"/>
          <w:szCs w:val="28"/>
          <w:shd w:val="clear" w:color="auto" w:fill="FFFFFF"/>
        </w:rPr>
        <w:t>公务用车保有量2</w:t>
      </w:r>
      <w:r>
        <w:rPr>
          <w:rFonts w:hint="eastAsia" w:asciiTheme="minorEastAsia" w:hAnsiTheme="minorEastAsia" w:cstheme="minorEastAsia"/>
          <w:color w:val="373737"/>
          <w:sz w:val="28"/>
          <w:szCs w:val="28"/>
          <w:shd w:val="clear" w:color="auto" w:fill="FFFFFF"/>
        </w:rPr>
        <w:t>台。</w:t>
      </w:r>
    </w:p>
    <w:p>
      <w:pPr>
        <w:pStyle w:val="4"/>
        <w:widowControl/>
        <w:shd w:val="clear" w:color="auto" w:fill="FFFFFF"/>
        <w:spacing w:beforeAutospacing="0" w:after="225" w:afterAutospacing="0" w:line="460" w:lineRule="exact"/>
        <w:ind w:firstLine="630"/>
        <w:textAlignment w:val="baseline"/>
        <w:rPr>
          <w:rFonts w:asciiTheme="minorEastAsia" w:hAnsiTheme="minorEastAsia" w:cstheme="minorEastAsia"/>
          <w:color w:val="333333"/>
          <w:sz w:val="28"/>
          <w:szCs w:val="28"/>
        </w:rPr>
      </w:pPr>
      <w:r>
        <w:rPr>
          <w:rStyle w:val="7"/>
          <w:rFonts w:hint="eastAsia" w:asciiTheme="minorEastAsia" w:hAnsiTheme="minorEastAsia" w:cstheme="minorEastAsia"/>
          <w:color w:val="373737"/>
          <w:sz w:val="28"/>
          <w:szCs w:val="28"/>
          <w:shd w:val="clear" w:color="auto" w:fill="FFFFFF"/>
        </w:rPr>
        <w:t>3.公务接待费</w:t>
      </w:r>
      <w:r>
        <w:rPr>
          <w:rFonts w:hint="eastAsia" w:asciiTheme="minorEastAsia" w:hAnsiTheme="minorEastAsia" w:cstheme="minorEastAsia"/>
          <w:color w:val="373737"/>
          <w:sz w:val="28"/>
          <w:szCs w:val="28"/>
          <w:shd w:val="clear" w:color="auto" w:fill="FFFFFF"/>
        </w:rPr>
        <w:t>支出</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万元。其中：国内公务接待</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万元，国内公务接待批次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个，国内公务接待人次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人；国（境）外公务接待</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万元，国（境）外公务接待批次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个，国（境）外公务接待人次</w:t>
      </w:r>
      <w:r>
        <w:rPr>
          <w:rStyle w:val="7"/>
          <w:rFonts w:hint="eastAsia" w:asciiTheme="minorEastAsia" w:hAnsiTheme="minorEastAsia" w:cstheme="minorEastAsia"/>
          <w:color w:val="373737"/>
          <w:sz w:val="28"/>
          <w:szCs w:val="28"/>
          <w:shd w:val="clear" w:color="auto" w:fill="FFFFFF"/>
        </w:rPr>
        <w:t>0</w:t>
      </w:r>
      <w:r>
        <w:rPr>
          <w:rFonts w:hint="eastAsia" w:asciiTheme="minorEastAsia" w:hAnsiTheme="minorEastAsia" w:cstheme="minorEastAsia"/>
          <w:color w:val="373737"/>
          <w:sz w:val="28"/>
          <w:szCs w:val="28"/>
          <w:shd w:val="clear" w:color="auto" w:fill="FFFFFF"/>
        </w:rPr>
        <w:t>人。</w:t>
      </w:r>
    </w:p>
    <w:p>
      <w:pPr>
        <w:pStyle w:val="4"/>
        <w:widowControl/>
        <w:spacing w:before="180" w:beforeAutospacing="0" w:after="360" w:afterAutospacing="0" w:line="460" w:lineRule="exac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八、其他重要事项的情况说明</w:t>
      </w:r>
    </w:p>
    <w:p>
      <w:pPr>
        <w:pStyle w:val="4"/>
        <w:widowControl/>
        <w:spacing w:before="180" w:beforeAutospacing="0" w:after="360" w:afterAutospacing="0" w:line="460" w:lineRule="exac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（一）机关运行经费支出情况。</w:t>
      </w:r>
    </w:p>
    <w:p>
      <w:pPr>
        <w:pStyle w:val="4"/>
        <w:widowControl/>
        <w:spacing w:before="180" w:beforeAutospacing="0" w:after="360" w:afterAutospacing="0" w:line="460" w:lineRule="exact"/>
        <w:ind w:firstLine="848"/>
        <w:rPr>
          <w:rFonts w:asciiTheme="minorEastAsia" w:hAnsiTheme="minorEastAsia" w:cstheme="minorEastAsia"/>
          <w:sz w:val="28"/>
          <w:szCs w:val="28"/>
        </w:rPr>
      </w:pPr>
      <w:r>
        <w:rPr>
          <w:rFonts w:hint="eastAsia" w:asciiTheme="minorEastAsia" w:hAnsiTheme="minorEastAsia" w:cstheme="minorEastAsia"/>
          <w:color w:val="333333"/>
          <w:sz w:val="28"/>
          <w:szCs w:val="28"/>
        </w:rPr>
        <w:t>本部门 2018年度机关运行经费支出62.20万元（与部门决算中行政单位和参照公务员法管理事业单位一般公共预算财政拨款基本支出中公用经费之和保持一致），比上年增加5.2万元，增长9.12%。主要原因是：县专项业务费增加。</w:t>
      </w:r>
    </w:p>
    <w:p>
      <w:pPr>
        <w:pStyle w:val="4"/>
        <w:widowControl/>
        <w:spacing w:before="180" w:beforeAutospacing="0" w:after="360" w:afterAutospacing="0" w:line="460" w:lineRule="exac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（二）政府采购支出情况。</w:t>
      </w:r>
    </w:p>
    <w:p>
      <w:pPr>
        <w:pStyle w:val="4"/>
        <w:widowControl/>
        <w:spacing w:before="180" w:beforeAutospacing="0" w:after="360" w:afterAutospacing="0" w:line="460" w:lineRule="exact"/>
        <w:ind w:firstLine="800"/>
        <w:rPr>
          <w:rFonts w:asciiTheme="minorEastAsia" w:hAnsiTheme="minorEastAsia" w:cstheme="minorEastAsia"/>
          <w:sz w:val="28"/>
          <w:szCs w:val="28"/>
        </w:rPr>
      </w:pPr>
      <w:r>
        <w:rPr>
          <w:rFonts w:hint="eastAsia" w:asciiTheme="minorEastAsia" w:hAnsiTheme="minorEastAsia" w:cstheme="minorEastAsia"/>
          <w:color w:val="333333"/>
          <w:sz w:val="28"/>
          <w:szCs w:val="28"/>
        </w:rPr>
        <w:t>2018年度政府采购支出总额0万元，其中：政府采购货物支出万元、政府采购工程支出 万元、政府采购服务支出万元。</w:t>
      </w:r>
    </w:p>
    <w:p>
      <w:pPr>
        <w:pStyle w:val="4"/>
        <w:widowControl/>
        <w:spacing w:before="180" w:beforeAutospacing="0" w:after="360" w:afterAutospacing="0" w:line="460" w:lineRule="exact"/>
        <w:ind w:firstLine="630"/>
        <w:rPr>
          <w:rFonts w:asciiTheme="minorEastAsia" w:hAnsiTheme="minorEastAsia" w:cstheme="minorEastAsia"/>
          <w:sz w:val="28"/>
          <w:szCs w:val="28"/>
        </w:rPr>
      </w:pPr>
      <w:r>
        <w:rPr>
          <w:rFonts w:hint="eastAsia" w:asciiTheme="minorEastAsia" w:hAnsiTheme="minorEastAsia" w:cstheme="minorEastAsia"/>
          <w:b/>
          <w:color w:val="333333"/>
          <w:sz w:val="28"/>
          <w:szCs w:val="28"/>
        </w:rPr>
        <w:t>（三）国有资产占用情况。</w:t>
      </w:r>
    </w:p>
    <w:p>
      <w:pPr>
        <w:pStyle w:val="4"/>
        <w:widowControl/>
        <w:spacing w:before="180" w:beforeAutospacing="0" w:after="360" w:afterAutospacing="0" w:line="460" w:lineRule="exact"/>
        <w:ind w:firstLine="707"/>
        <w:rPr>
          <w:rFonts w:asciiTheme="minorEastAsia" w:hAnsiTheme="minorEastAsia" w:cstheme="minorEastAsia"/>
          <w:sz w:val="28"/>
          <w:szCs w:val="28"/>
        </w:rPr>
      </w:pPr>
      <w:r>
        <w:rPr>
          <w:rFonts w:hint="eastAsia" w:asciiTheme="minorEastAsia" w:hAnsiTheme="minorEastAsia" w:cstheme="minorEastAsia"/>
          <w:color w:val="333333"/>
          <w:sz w:val="28"/>
          <w:szCs w:val="28"/>
        </w:rPr>
        <w:t>截至 2018年 12 月 31 日，本部门共有车辆2辆，其中，一般公务用车2辆。</w:t>
      </w:r>
    </w:p>
    <w:p>
      <w:pPr>
        <w:pStyle w:val="4"/>
        <w:widowControl/>
        <w:spacing w:before="180" w:beforeAutospacing="0" w:after="360" w:afterAutospacing="0" w:line="460" w:lineRule="exact"/>
        <w:ind w:left="900"/>
        <w:rPr>
          <w:rFonts w:asciiTheme="minorEastAsia" w:hAnsiTheme="minorEastAsia" w:cstheme="minorEastAsia"/>
          <w:sz w:val="28"/>
          <w:szCs w:val="28"/>
        </w:rPr>
      </w:pPr>
      <w:r>
        <w:rPr>
          <w:rFonts w:hint="eastAsia" w:asciiTheme="minorEastAsia" w:hAnsiTheme="minorEastAsia" w:cstheme="minorEastAsia"/>
          <w:b/>
          <w:color w:val="333333"/>
          <w:sz w:val="28"/>
          <w:szCs w:val="28"/>
        </w:rPr>
        <w:t>（四）2018年度预算绩效情况说明</w:t>
      </w:r>
    </w:p>
    <w:p>
      <w:pPr>
        <w:pStyle w:val="4"/>
        <w:widowControl/>
        <w:spacing w:beforeAutospacing="0" w:afterAutospacing="0" w:line="460" w:lineRule="exact"/>
        <w:ind w:firstLine="560" w:firstLineChars="200"/>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根据财政预算管理要求和年初设定的绩效目标，我单位组织对 2018年度项目支出全面开展绩效自评。共涉及资金100万元，自评覆盖率达到100%。共组织对“病虫害防治”等1个项目进行了绩效评价，共涉及资金100万元。从评价情况来看,以提高全县水稻生产水平和促进农民持续增收为目标，健全工作机制，强化政策扶持</w:t>
      </w:r>
      <w:r>
        <w:rPr>
          <w:rFonts w:hint="eastAsia" w:ascii="仿宋_GB2312" w:hAnsi="仿宋_GB2312" w:eastAsia="仿宋_GB2312" w:cs="仿宋_GB2312"/>
          <w:bCs/>
          <w:color w:val="333333"/>
          <w:sz w:val="28"/>
          <w:szCs w:val="28"/>
        </w:rPr>
        <w:t>，加</w:t>
      </w:r>
      <w:r>
        <w:rPr>
          <w:rFonts w:hint="eastAsia" w:asciiTheme="minorEastAsia" w:hAnsiTheme="minorEastAsia" w:cstheme="minorEastAsia"/>
          <w:color w:val="333333"/>
          <w:sz w:val="28"/>
          <w:szCs w:val="28"/>
        </w:rPr>
        <w:t>强技术指导，突出技术示范，加快了绥滨县水稻产业的发展，实现了增产、提质、增效的目标。</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第三部分 名词解释</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一、财政拨款收入</w:t>
      </w:r>
      <w:r>
        <w:rPr>
          <w:rFonts w:hint="eastAsia" w:asciiTheme="minorEastAsia" w:hAnsiTheme="minorEastAsia" w:cstheme="minorEastAsia"/>
          <w:color w:val="333333"/>
          <w:sz w:val="28"/>
          <w:szCs w:val="28"/>
        </w:rPr>
        <w:t>：指县级财政当年拨付的资金。</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二、事业收入</w:t>
      </w:r>
      <w:r>
        <w:rPr>
          <w:rFonts w:hint="eastAsia" w:asciiTheme="minorEastAsia" w:hAnsiTheme="minorEastAsia" w:cstheme="minorEastAsia"/>
          <w:color w:val="333333"/>
          <w:sz w:val="28"/>
          <w:szCs w:val="28"/>
        </w:rPr>
        <w:t>：指事业单位开展专业业务活动及辅助活动所取得的收入。</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三、经营收入</w:t>
      </w:r>
      <w:r>
        <w:rPr>
          <w:rFonts w:hint="eastAsia" w:asciiTheme="minorEastAsia" w:hAnsiTheme="minorEastAsia" w:cstheme="minorEastAsia"/>
          <w:color w:val="333333"/>
          <w:sz w:val="28"/>
          <w:szCs w:val="28"/>
        </w:rPr>
        <w:t>：指事业单位在专业业务活动及其辅助活动之外开展非独立核算经营活动取得的收入。</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四、其他收入</w:t>
      </w:r>
      <w:r>
        <w:rPr>
          <w:rFonts w:hint="eastAsia" w:asciiTheme="minorEastAsia" w:hAnsiTheme="minorEastAsia" w:cstheme="minorEastAsia"/>
          <w:color w:val="333333"/>
          <w:sz w:val="28"/>
          <w:szCs w:val="28"/>
        </w:rPr>
        <w:t>：指除上述“财政拨款收入”、“事业收入”、“经营收入”等以外的收入。</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五、用事业基金弥补收支差额</w:t>
      </w:r>
      <w:r>
        <w:rPr>
          <w:rFonts w:hint="eastAsia" w:asciiTheme="minorEastAsia" w:hAnsi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六、年初结转和结余</w:t>
      </w:r>
      <w:r>
        <w:rPr>
          <w:rFonts w:hint="eastAsia" w:asciiTheme="minorEastAsia" w:hAnsiTheme="minorEastAsia" w:cstheme="minorEastAsia"/>
          <w:color w:val="333333"/>
          <w:sz w:val="28"/>
          <w:szCs w:val="28"/>
        </w:rPr>
        <w:t>：指以前年度尚未完成、结转到本年按有关规定继续使用的资金。</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七、结余分配</w:t>
      </w:r>
      <w:r>
        <w:rPr>
          <w:rFonts w:hint="eastAsia" w:asciiTheme="minorEastAsia" w:hAnsiTheme="minorEastAsia" w:cstheme="minorEastAsia"/>
          <w:color w:val="333333"/>
          <w:sz w:val="28"/>
          <w:szCs w:val="28"/>
        </w:rPr>
        <w:t>：指事业单位按规定提取的职工福利基金、事业基金和缴纳的所得税，以及建设单位按规定应交回的基本建设竣工项目结余资金。</w:t>
      </w:r>
    </w:p>
    <w:p>
      <w:pPr>
        <w:pStyle w:val="4"/>
        <w:widowControl/>
        <w:spacing w:before="180" w:beforeAutospacing="0" w:after="360" w:afterAutospacing="0" w:line="460" w:lineRule="exact"/>
        <w:ind w:firstLine="851"/>
        <w:rPr>
          <w:rFonts w:asciiTheme="minorEastAsia" w:hAnsiTheme="minorEastAsia" w:cstheme="minorEastAsia"/>
          <w:sz w:val="28"/>
          <w:szCs w:val="28"/>
        </w:rPr>
      </w:pPr>
      <w:r>
        <w:rPr>
          <w:rFonts w:hint="eastAsia" w:asciiTheme="minorEastAsia" w:hAnsiTheme="minorEastAsia" w:cstheme="minorEastAsia"/>
          <w:b/>
          <w:color w:val="333333"/>
          <w:sz w:val="28"/>
          <w:szCs w:val="28"/>
        </w:rPr>
        <w:t>八、年末结转和结余</w:t>
      </w:r>
      <w:r>
        <w:rPr>
          <w:rFonts w:hint="eastAsia" w:asciiTheme="minorEastAsia" w:hAnsiTheme="minorEastAsia" w:cstheme="minorEastAsia"/>
          <w:color w:val="333333"/>
          <w:sz w:val="28"/>
          <w:szCs w:val="28"/>
        </w:rPr>
        <w:t>：指本年度或以前年度预算安排、因客观条件发生变化无法按原计划实施，需延迟到以后年度按有关规定继续使用的资金。</w:t>
      </w:r>
    </w:p>
    <w:p>
      <w:pPr>
        <w:pStyle w:val="4"/>
        <w:widowControl/>
        <w:spacing w:before="180" w:beforeAutospacing="0" w:after="360" w:afterAutospacing="0" w:line="460" w:lineRule="exact"/>
        <w:ind w:firstLine="899"/>
        <w:rPr>
          <w:rFonts w:asciiTheme="minorEastAsia" w:hAnsiTheme="minorEastAsia" w:cstheme="minorEastAsia"/>
          <w:sz w:val="28"/>
          <w:szCs w:val="28"/>
        </w:rPr>
      </w:pPr>
      <w:r>
        <w:rPr>
          <w:rFonts w:hint="eastAsia" w:asciiTheme="minorEastAsia" w:hAnsiTheme="minorEastAsia" w:cstheme="minorEastAsia"/>
          <w:b/>
          <w:color w:val="333333"/>
          <w:sz w:val="28"/>
          <w:szCs w:val="28"/>
        </w:rPr>
        <w:t>九、基本支出</w:t>
      </w:r>
      <w:r>
        <w:rPr>
          <w:rFonts w:hint="eastAsia" w:asciiTheme="minorEastAsia" w:hAnsiTheme="minorEastAsia" w:cstheme="minorEastAsia"/>
          <w:color w:val="333333"/>
          <w:sz w:val="28"/>
          <w:szCs w:val="28"/>
        </w:rPr>
        <w:t>：指为保障机构正常运转、完成日常工作任务而发生的人员支出和公用支出。</w:t>
      </w:r>
    </w:p>
    <w:p>
      <w:pPr>
        <w:pStyle w:val="4"/>
        <w:widowControl/>
        <w:spacing w:before="180" w:beforeAutospacing="0" w:after="360" w:afterAutospacing="0" w:line="460" w:lineRule="exac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十、项目支出</w:t>
      </w:r>
      <w:r>
        <w:rPr>
          <w:rFonts w:hint="eastAsia" w:asciiTheme="minorEastAsia" w:hAnsiTheme="minorEastAsia" w:cstheme="minorEastAsia"/>
          <w:color w:val="333333"/>
          <w:sz w:val="28"/>
          <w:szCs w:val="28"/>
        </w:rPr>
        <w:t>：指在基本支出之外为完成特定行政任务和事业发展目标所发生的支出。</w:t>
      </w:r>
    </w:p>
    <w:p>
      <w:pPr>
        <w:pStyle w:val="4"/>
        <w:widowControl/>
        <w:spacing w:before="180" w:beforeAutospacing="0" w:after="360" w:afterAutospacing="0" w:line="460" w:lineRule="exact"/>
        <w:ind w:firstLine="707"/>
        <w:rPr>
          <w:rFonts w:asciiTheme="minorEastAsia" w:hAnsiTheme="minorEastAsia" w:cstheme="minorEastAsia"/>
          <w:sz w:val="28"/>
          <w:szCs w:val="28"/>
        </w:rPr>
      </w:pPr>
      <w:r>
        <w:rPr>
          <w:rFonts w:hint="eastAsia" w:asciiTheme="minorEastAsia" w:hAnsiTheme="minorEastAsia" w:cstheme="minorEastAsia"/>
          <w:b/>
          <w:color w:val="333333"/>
          <w:sz w:val="28"/>
          <w:szCs w:val="28"/>
        </w:rPr>
        <w:t>十一、经营支出</w:t>
      </w:r>
      <w:r>
        <w:rPr>
          <w:rFonts w:hint="eastAsia" w:asciiTheme="minorEastAsia" w:hAnsiTheme="minorEastAsia" w:cstheme="minorEastAsia"/>
          <w:color w:val="333333"/>
          <w:sz w:val="28"/>
          <w:szCs w:val="28"/>
        </w:rPr>
        <w:t>：指事业单位在专业业务活动及其辅助活动之外开展非独立核算经营活动发生的支出。</w:t>
      </w:r>
    </w:p>
    <w:p>
      <w:pPr>
        <w:pStyle w:val="4"/>
        <w:widowControl/>
        <w:spacing w:before="180" w:beforeAutospacing="0" w:after="360" w:afterAutospacing="0" w:line="460" w:lineRule="exact"/>
        <w:ind w:firstLine="707"/>
        <w:rPr>
          <w:rFonts w:asciiTheme="minorEastAsia" w:hAnsiTheme="minorEastAsia" w:cstheme="minorEastAsia"/>
          <w:color w:val="333333"/>
          <w:sz w:val="28"/>
          <w:szCs w:val="28"/>
        </w:rPr>
      </w:pPr>
      <w:r>
        <w:rPr>
          <w:rFonts w:hint="eastAsia" w:asciiTheme="minorEastAsia" w:hAnsiTheme="minorEastAsia" w:cstheme="minorEastAsia"/>
          <w:b/>
          <w:color w:val="333333"/>
          <w:sz w:val="28"/>
          <w:szCs w:val="28"/>
        </w:rPr>
        <w:t>十二、</w:t>
      </w:r>
      <w:r>
        <w:rPr>
          <w:rFonts w:hint="eastAsia" w:asciiTheme="minorEastAsia" w:hAnsiTheme="minorEastAsia" w:cstheme="minorEastAsia"/>
          <w:color w:val="333333"/>
          <w:sz w:val="28"/>
          <w:szCs w:val="28"/>
        </w:rPr>
        <w:t>“三公”经费：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4"/>
        <w:widowControl/>
        <w:spacing w:before="180" w:beforeAutospacing="0" w:after="360" w:afterAutospacing="0" w:line="460" w:lineRule="exact"/>
        <w:ind w:firstLine="729"/>
        <w:rPr>
          <w:rFonts w:asciiTheme="minorEastAsia" w:hAnsiTheme="minorEastAsia" w:cstheme="minorEastAsia"/>
          <w:color w:val="333333"/>
          <w:sz w:val="28"/>
          <w:szCs w:val="28"/>
        </w:rPr>
      </w:pPr>
      <w:r>
        <w:rPr>
          <w:rFonts w:hint="eastAsia" w:asciiTheme="minorEastAsia" w:hAnsiTheme="minorEastAsia" w:cstheme="minorEastAsia"/>
          <w:color w:val="333333"/>
          <w:sz w:val="28"/>
          <w:szCs w:val="28"/>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DE7389C"/>
    <w:rsid w:val="000B1722"/>
    <w:rsid w:val="00136CBA"/>
    <w:rsid w:val="00157D1F"/>
    <w:rsid w:val="002402C2"/>
    <w:rsid w:val="00306126"/>
    <w:rsid w:val="00352F19"/>
    <w:rsid w:val="003534FE"/>
    <w:rsid w:val="00437816"/>
    <w:rsid w:val="00455493"/>
    <w:rsid w:val="00487FB2"/>
    <w:rsid w:val="00504257"/>
    <w:rsid w:val="0059409D"/>
    <w:rsid w:val="006149F2"/>
    <w:rsid w:val="006546A8"/>
    <w:rsid w:val="00683D1F"/>
    <w:rsid w:val="007468B2"/>
    <w:rsid w:val="00750E45"/>
    <w:rsid w:val="00764B81"/>
    <w:rsid w:val="007A6F87"/>
    <w:rsid w:val="007B2C34"/>
    <w:rsid w:val="007D0784"/>
    <w:rsid w:val="007E79D7"/>
    <w:rsid w:val="00812C32"/>
    <w:rsid w:val="00815A3D"/>
    <w:rsid w:val="00867A02"/>
    <w:rsid w:val="008B4757"/>
    <w:rsid w:val="009158DC"/>
    <w:rsid w:val="00937780"/>
    <w:rsid w:val="00985A8E"/>
    <w:rsid w:val="00A73E40"/>
    <w:rsid w:val="00AA546B"/>
    <w:rsid w:val="00B927FE"/>
    <w:rsid w:val="00C83684"/>
    <w:rsid w:val="00DA2BAF"/>
    <w:rsid w:val="00F113A0"/>
    <w:rsid w:val="00F3255C"/>
    <w:rsid w:val="00FC386E"/>
    <w:rsid w:val="01340F75"/>
    <w:rsid w:val="03FE7F0E"/>
    <w:rsid w:val="098217C0"/>
    <w:rsid w:val="0E980DC7"/>
    <w:rsid w:val="13605E75"/>
    <w:rsid w:val="179B676B"/>
    <w:rsid w:val="1CFB22BC"/>
    <w:rsid w:val="2A054FEB"/>
    <w:rsid w:val="2DE7389C"/>
    <w:rsid w:val="2E2B0B95"/>
    <w:rsid w:val="3DDC6AB6"/>
    <w:rsid w:val="419008B3"/>
    <w:rsid w:val="62763A6A"/>
    <w:rsid w:val="6B6E45D7"/>
    <w:rsid w:val="6BC52739"/>
    <w:rsid w:val="763C3B43"/>
    <w:rsid w:val="768870B2"/>
    <w:rsid w:val="7BC22F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20"/>
    <w:uiPriority w:val="0"/>
    <w:pPr>
      <w:tabs>
        <w:tab w:val="center" w:pos="4153"/>
        <w:tab w:val="right" w:pos="8306"/>
      </w:tabs>
      <w:snapToGrid w:val="0"/>
      <w:jc w:val="left"/>
    </w:pPr>
    <w:rPr>
      <w:sz w:val="18"/>
      <w:szCs w:val="18"/>
    </w:rPr>
  </w:style>
  <w:style w:type="paragraph" w:styleId="3">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FollowedHyperlink"/>
    <w:basedOn w:val="6"/>
    <w:qFormat/>
    <w:uiPriority w:val="0"/>
    <w:rPr>
      <w:color w:val="333333"/>
      <w:sz w:val="18"/>
      <w:szCs w:val="18"/>
      <w:u w:val="none"/>
    </w:rPr>
  </w:style>
  <w:style w:type="character" w:styleId="9">
    <w:name w:val="Emphasis"/>
    <w:basedOn w:val="6"/>
    <w:qFormat/>
    <w:uiPriority w:val="0"/>
    <w:rPr>
      <w:i/>
    </w:rPr>
  </w:style>
  <w:style w:type="character" w:styleId="10">
    <w:name w:val="Hyperlink"/>
    <w:basedOn w:val="6"/>
    <w:qFormat/>
    <w:uiPriority w:val="0"/>
    <w:rPr>
      <w:color w:val="333333"/>
      <w:sz w:val="18"/>
      <w:szCs w:val="18"/>
      <w:u w:val="none"/>
    </w:rPr>
  </w:style>
  <w:style w:type="character" w:customStyle="1" w:styleId="11">
    <w:name w:val="laiy"/>
    <w:basedOn w:val="6"/>
    <w:qFormat/>
    <w:uiPriority w:val="0"/>
  </w:style>
  <w:style w:type="character" w:customStyle="1" w:styleId="12">
    <w:name w:val="zuoz"/>
    <w:basedOn w:val="6"/>
    <w:qFormat/>
    <w:uiPriority w:val="0"/>
  </w:style>
  <w:style w:type="character" w:customStyle="1" w:styleId="13">
    <w:name w:val="update"/>
    <w:basedOn w:val="6"/>
    <w:qFormat/>
    <w:uiPriority w:val="0"/>
  </w:style>
  <w:style w:type="character" w:customStyle="1" w:styleId="14">
    <w:name w:val="hot1"/>
    <w:basedOn w:val="6"/>
    <w:qFormat/>
    <w:uiPriority w:val="0"/>
  </w:style>
  <w:style w:type="character" w:customStyle="1" w:styleId="15">
    <w:name w:val="td12"/>
    <w:basedOn w:val="6"/>
    <w:qFormat/>
    <w:uiPriority w:val="0"/>
    <w:rPr>
      <w:rFonts w:ascii="Arial" w:hAnsi="Arial" w:cs="Arial"/>
      <w:color w:val="FFFFFF"/>
      <w:sz w:val="16"/>
      <w:szCs w:val="16"/>
    </w:rPr>
  </w:style>
  <w:style w:type="character" w:customStyle="1" w:styleId="16">
    <w:name w:val="td22"/>
    <w:basedOn w:val="6"/>
    <w:uiPriority w:val="0"/>
  </w:style>
  <w:style w:type="character" w:customStyle="1" w:styleId="17">
    <w:name w:val="td32"/>
    <w:basedOn w:val="6"/>
    <w:qFormat/>
    <w:uiPriority w:val="0"/>
  </w:style>
  <w:style w:type="character" w:customStyle="1" w:styleId="18">
    <w:name w:val="home"/>
    <w:basedOn w:val="6"/>
    <w:qFormat/>
    <w:uiPriority w:val="0"/>
  </w:style>
  <w:style w:type="character" w:customStyle="1" w:styleId="19">
    <w:name w:val="页眉 Char"/>
    <w:basedOn w:val="6"/>
    <w:link w:val="3"/>
    <w:uiPriority w:val="0"/>
    <w:rPr>
      <w:rFonts w:asciiTheme="minorHAnsi" w:hAnsiTheme="minorHAnsi" w:eastAsiaTheme="minorEastAsia" w:cstheme="minorBidi"/>
      <w:kern w:val="2"/>
      <w:sz w:val="18"/>
      <w:szCs w:val="18"/>
    </w:rPr>
  </w:style>
  <w:style w:type="character" w:customStyle="1" w:styleId="20">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584</Words>
  <Characters>3331</Characters>
  <Lines>27</Lines>
  <Paragraphs>7</Paragraphs>
  <TotalTime>154</TotalTime>
  <ScaleCrop>false</ScaleCrop>
  <LinksUpToDate>false</LinksUpToDate>
  <CharactersWithSpaces>3908</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赵文欣</cp:lastModifiedBy>
  <dcterms:modified xsi:type="dcterms:W3CDTF">2021-05-21T01:25:12Z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