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绥滨县职业技术教育中心</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keepNext w:val="0"/>
        <w:keepLines w:val="0"/>
        <w:pageBreakBefore w:val="0"/>
        <w:widowControl/>
        <w:numPr>
          <w:ilvl w:val="0"/>
          <w:numId w:val="1"/>
        </w:numPr>
        <w:kinsoku/>
        <w:wordWrap/>
        <w:overflowPunct/>
        <w:topLinePunct w:val="0"/>
        <w:autoSpaceDE/>
        <w:autoSpaceDN/>
        <w:bidi w:val="0"/>
        <w:adjustRightInd/>
        <w:snapToGrid/>
        <w:spacing w:before="180" w:beforeAutospacing="0" w:after="360" w:afterAutospacing="0" w:line="450" w:lineRule="atLeast"/>
        <w:ind w:left="980" w:leftChars="0" w:firstLine="560" w:firstLineChars="200"/>
        <w:jc w:val="left"/>
        <w:textAlignment w:val="auto"/>
        <w:rPr>
          <w:rFonts w:hint="eastAsia" w:asciiTheme="minorEastAsia" w:hAnsiTheme="minorEastAsia" w:cstheme="minorEastAsia"/>
          <w:color w:val="333333"/>
          <w:sz w:val="28"/>
          <w:szCs w:val="28"/>
        </w:rPr>
      </w:pPr>
      <w:r>
        <w:rPr>
          <w:rFonts w:hint="eastAsia" w:asciiTheme="minorEastAsia" w:hAnsiTheme="minorEastAsia" w:cstheme="minorEastAsia"/>
          <w:color w:val="333333"/>
          <w:sz w:val="28"/>
          <w:szCs w:val="28"/>
        </w:rPr>
        <w:t>主要职能</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rPr>
        <w:t>实施职业教育，提高社会职业素质</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职业教育工作协调指导，教学实验基地建设，相关社会服务</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（一）</w:t>
      </w:r>
      <w:r>
        <w:rPr>
          <w:rFonts w:hint="eastAsia" w:asciiTheme="minorEastAsia" w:hAnsiTheme="minorEastAsia" w:eastAsiaTheme="minorEastAsia" w:cstheme="minorEastAsia"/>
          <w:color w:val="333333"/>
          <w:sz w:val="28"/>
          <w:szCs w:val="28"/>
        </w:rPr>
        <w:t>宣传贯彻执行党和国家的教育方针、政策、法律法规等，坚持依法治教、依法治学，贯彻执行县教体局的行政规章制度</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（二）</w:t>
      </w:r>
      <w:r>
        <w:rPr>
          <w:rFonts w:hint="eastAsia" w:asciiTheme="minorEastAsia" w:hAnsiTheme="minorEastAsia" w:eastAsiaTheme="minorEastAsia" w:cstheme="minorEastAsia"/>
          <w:color w:val="333333"/>
          <w:sz w:val="28"/>
          <w:szCs w:val="28"/>
        </w:rPr>
        <w:t>配合县委、县人民政府制定符合党的教育方针和国家教育法律法规以及本校实际的教育发展规划和学校布局调整规划，并抓好组织实施和落实工作</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（三）</w:t>
      </w:r>
      <w:r>
        <w:rPr>
          <w:rFonts w:hint="eastAsia" w:asciiTheme="minorEastAsia" w:hAnsiTheme="minorEastAsia" w:eastAsiaTheme="minorEastAsia" w:cstheme="minorEastAsia"/>
          <w:color w:val="333333"/>
          <w:sz w:val="28"/>
          <w:szCs w:val="28"/>
        </w:rPr>
        <w:t>巩固提高职业教育整体水平，为高等学校输送更多优秀的学生，培养具有扎实的文化基础和较高实践能力的高中毕业生</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（四）</w:t>
      </w:r>
      <w:r>
        <w:rPr>
          <w:rFonts w:hint="eastAsia" w:asciiTheme="minorEastAsia" w:hAnsiTheme="minorEastAsia" w:eastAsiaTheme="minorEastAsia" w:cstheme="minorEastAsia"/>
          <w:color w:val="333333"/>
          <w:sz w:val="28"/>
          <w:szCs w:val="28"/>
        </w:rPr>
        <w:t>组织开展本校的教育教学科研和教育教学改革，科研兴教，科研兴校</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负责对本校教育教学业务的具体管理，负责教育教学管理及教研教改工作，全力推进素质教育实施</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（五）</w:t>
      </w:r>
      <w:r>
        <w:rPr>
          <w:rFonts w:hint="eastAsia" w:asciiTheme="minorEastAsia" w:hAnsiTheme="minorEastAsia" w:eastAsiaTheme="minorEastAsia" w:cstheme="minorEastAsia"/>
          <w:color w:val="333333"/>
          <w:sz w:val="28"/>
          <w:szCs w:val="28"/>
        </w:rPr>
        <w:t>按照干部和教师的职数、编制和管理权限，制定切实可行的学校工作规章制度，以提高教育教学质量为目的，负责本校教师人事管理、继续教育、考核考评等工作</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（六）</w:t>
      </w:r>
      <w:r>
        <w:rPr>
          <w:rFonts w:hint="eastAsia" w:asciiTheme="minorEastAsia" w:hAnsiTheme="minorEastAsia" w:eastAsiaTheme="minorEastAsia" w:cstheme="minorEastAsia"/>
          <w:color w:val="333333"/>
          <w:sz w:val="28"/>
          <w:szCs w:val="28"/>
        </w:rPr>
        <w:t>负责本校财务和基建管理，筹措资金，改善办学条件等工作，为师生提供优美和谐的学习和工作环境</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核算和发放教职工工资，维护教职工利益，保障教职工合法权益</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（七）</w:t>
      </w:r>
      <w:r>
        <w:rPr>
          <w:rFonts w:hint="eastAsia" w:asciiTheme="minorEastAsia" w:hAnsiTheme="minorEastAsia" w:eastAsiaTheme="minorEastAsia" w:cstheme="minorEastAsia"/>
          <w:color w:val="333333"/>
          <w:sz w:val="28"/>
          <w:szCs w:val="28"/>
        </w:rPr>
        <w:t>指导、管理、检查、评价本校的教育教学工作，提高办学质量和办学效益</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按照职业教育课程计划，认真实施职业教育教学管理，全面推进素质教育，全面提高教育教学质量</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（八）</w:t>
      </w:r>
      <w:r>
        <w:rPr>
          <w:rFonts w:hint="eastAsia" w:asciiTheme="minorEastAsia" w:hAnsiTheme="minorEastAsia" w:eastAsiaTheme="minorEastAsia" w:cstheme="minorEastAsia"/>
          <w:color w:val="333333"/>
          <w:sz w:val="28"/>
          <w:szCs w:val="28"/>
        </w:rPr>
        <w:t>建立健全学生学籍管理制度，按国家教育部颁布的规定管理学生学籍，建立学生档案</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（九）</w:t>
      </w:r>
      <w:r>
        <w:rPr>
          <w:rFonts w:hint="eastAsia" w:asciiTheme="minorEastAsia" w:hAnsiTheme="minorEastAsia" w:eastAsiaTheme="minorEastAsia" w:cstheme="minorEastAsia"/>
          <w:color w:val="333333"/>
          <w:sz w:val="28"/>
          <w:szCs w:val="28"/>
        </w:rPr>
        <w:t>在县政府的领导下，积极开展学校的安全管理，不断提高安全管理水平，努力营造安全和谐的校园环境</w:t>
      </w:r>
      <w:r>
        <w:rPr>
          <w:rFonts w:hint="eastAsia" w:asciiTheme="minorEastAsia" w:hAnsiTheme="minorEastAsia" w:cstheme="minorEastAsia"/>
          <w:color w:val="333333"/>
          <w:sz w:val="28"/>
          <w:szCs w:val="28"/>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left="0" w:right="0" w:firstLine="560" w:firstLineChars="200"/>
        <w:jc w:val="left"/>
        <w:textAlignment w:val="auto"/>
        <w:outlineLvl w:val="9"/>
        <w:rPr>
          <w:rFonts w:asciiTheme="minorEastAsia" w:hAnsiTheme="minorEastAsia" w:cstheme="minorEastAsia"/>
          <w:sz w:val="28"/>
          <w:szCs w:val="28"/>
        </w:rPr>
      </w:pPr>
      <w:r>
        <w:rPr>
          <w:rFonts w:hint="eastAsia" w:asciiTheme="minorEastAsia" w:hAnsiTheme="minorEastAsia" w:eastAsiaTheme="minorEastAsia" w:cstheme="minorEastAsia"/>
          <w:color w:val="333333"/>
          <w:sz w:val="28"/>
          <w:szCs w:val="28"/>
          <w:lang w:eastAsia="zh-CN"/>
        </w:rPr>
        <w:t>（十）</w:t>
      </w:r>
      <w:r>
        <w:rPr>
          <w:rFonts w:hint="eastAsia" w:asciiTheme="minorEastAsia" w:hAnsiTheme="minorEastAsia" w:eastAsiaTheme="minorEastAsia" w:cstheme="minorEastAsia"/>
          <w:color w:val="333333"/>
          <w:sz w:val="28"/>
          <w:szCs w:val="28"/>
        </w:rPr>
        <w:t>在县政府的领导下，谋划布局，全面推进职业教育均衡发展。</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keepNext w:val="0"/>
        <w:keepLines w:val="0"/>
        <w:pageBreakBefore w:val="0"/>
        <w:widowControl/>
        <w:suppressLineNumbers w:val="0"/>
        <w:kinsoku/>
        <w:wordWrap/>
        <w:overflowPunct/>
        <w:topLinePunct w:val="0"/>
        <w:autoSpaceDE/>
        <w:autoSpaceDN/>
        <w:bidi w:val="0"/>
        <w:adjustRightInd/>
        <w:snapToGrid/>
        <w:spacing w:before="180" w:beforeAutospacing="0" w:after="360" w:afterAutospacing="0" w:line="450" w:lineRule="atLeast"/>
        <w:ind w:right="0" w:firstLine="1400" w:firstLineChars="500"/>
        <w:jc w:val="left"/>
        <w:rPr>
          <w:rFonts w:asciiTheme="minorEastAsia" w:hAnsiTheme="minorEastAsia" w:cstheme="minorEastAsia"/>
          <w:sz w:val="28"/>
          <w:szCs w:val="28"/>
        </w:rPr>
      </w:pPr>
      <w:r>
        <w:rPr>
          <w:rFonts w:hint="eastAsia" w:asciiTheme="minorEastAsia" w:hAnsiTheme="minorEastAsia" w:eastAsiaTheme="minorEastAsia" w:cstheme="minorEastAsia"/>
          <w:color w:val="333333"/>
          <w:sz w:val="28"/>
          <w:szCs w:val="28"/>
          <w:lang w:eastAsia="zh-CN"/>
        </w:rPr>
        <w:t>绥滨县职业技术教育中心为全额行政单位，内设</w:t>
      </w:r>
      <w:r>
        <w:rPr>
          <w:rFonts w:hint="eastAsia" w:asciiTheme="minorEastAsia" w:hAnsiTheme="minorEastAsia" w:eastAsiaTheme="minorEastAsia" w:cstheme="minorEastAsia"/>
          <w:color w:val="333333"/>
          <w:sz w:val="28"/>
          <w:szCs w:val="28"/>
          <w:lang w:val="en-US" w:eastAsia="zh-CN"/>
        </w:rPr>
        <w:t>10</w:t>
      </w:r>
      <w:r>
        <w:rPr>
          <w:rFonts w:hint="eastAsia" w:asciiTheme="minorEastAsia" w:hAnsiTheme="minorEastAsia" w:eastAsiaTheme="minorEastAsia" w:cstheme="minorEastAsia"/>
          <w:color w:val="333333"/>
          <w:sz w:val="28"/>
          <w:szCs w:val="28"/>
          <w:lang w:eastAsia="zh-CN"/>
        </w:rPr>
        <w:t>个内设机构，</w:t>
      </w:r>
      <w:r>
        <w:rPr>
          <w:rFonts w:hint="eastAsia" w:asciiTheme="minorEastAsia" w:hAnsiTheme="minorEastAsia" w:eastAsiaTheme="minorEastAsia" w:cstheme="minorEastAsia"/>
          <w:color w:val="333333"/>
          <w:sz w:val="28"/>
          <w:szCs w:val="28"/>
        </w:rPr>
        <w:t>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134</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0个</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134</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134</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88</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，遗属</w:t>
      </w:r>
      <w:r>
        <w:rPr>
          <w:rFonts w:hint="eastAsia" w:asciiTheme="minorEastAsia" w:hAnsiTheme="minorEastAsia" w:cstheme="minorEastAsia"/>
          <w:color w:val="333333"/>
          <w:sz w:val="28"/>
          <w:szCs w:val="28"/>
          <w:lang w:val="en-US" w:eastAsia="zh-CN"/>
        </w:rPr>
        <w:t>2人</w:t>
      </w:r>
      <w:r>
        <w:rPr>
          <w:rFonts w:hint="eastAsia" w:asciiTheme="minorEastAsia" w:hAnsiTheme="minorEastAsia" w:eastAsiaTheme="minorEastAsia" w:cstheme="minorEastAsia"/>
          <w:color w:val="333333"/>
          <w:sz w:val="28"/>
          <w:szCs w:val="28"/>
        </w:rPr>
        <w:t>。</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2562.81</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2676.56</w:t>
      </w:r>
      <w:r>
        <w:rPr>
          <w:rFonts w:hint="eastAsia" w:asciiTheme="minorEastAsia" w:hAnsiTheme="minorEastAsia" w:cstheme="minorEastAsia"/>
          <w:color w:val="373737"/>
          <w:sz w:val="28"/>
          <w:szCs w:val="28"/>
          <w:shd w:val="clear" w:color="auto" w:fill="FFFFFF"/>
        </w:rPr>
        <w:t>万元，与上年相比，收入总计增加</w:t>
      </w:r>
      <w:r>
        <w:rPr>
          <w:rFonts w:hint="eastAsia" w:asciiTheme="minorEastAsia" w:hAnsiTheme="minorEastAsia" w:cstheme="minorEastAsia"/>
          <w:color w:val="373737"/>
          <w:sz w:val="28"/>
          <w:szCs w:val="28"/>
          <w:shd w:val="clear" w:color="auto" w:fill="FFFFFF"/>
          <w:lang w:val="en-US" w:eastAsia="zh-CN"/>
        </w:rPr>
        <w:t>384.20</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17.64</w:t>
      </w:r>
      <w:r>
        <w:rPr>
          <w:rFonts w:hint="eastAsia" w:asciiTheme="minorEastAsia" w:hAnsiTheme="minorEastAsia" w:cstheme="minorEastAsia"/>
          <w:color w:val="373737"/>
          <w:sz w:val="28"/>
          <w:szCs w:val="28"/>
          <w:shd w:val="clear" w:color="auto" w:fill="FFFFFF"/>
        </w:rPr>
        <w:t>%；支出总计增加</w:t>
      </w:r>
      <w:r>
        <w:rPr>
          <w:rFonts w:hint="eastAsia" w:asciiTheme="minorEastAsia" w:hAnsiTheme="minorEastAsia" w:cstheme="minorEastAsia"/>
          <w:color w:val="373737"/>
          <w:sz w:val="28"/>
          <w:szCs w:val="28"/>
          <w:shd w:val="clear" w:color="auto" w:fill="FFFFFF"/>
          <w:lang w:val="en-US" w:eastAsia="zh-CN"/>
        </w:rPr>
        <w:t>1094.35</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69.17</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2562.81</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2527.21</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98.61</w:t>
      </w:r>
      <w:r>
        <w:rPr>
          <w:rFonts w:hint="eastAsia" w:asciiTheme="minorEastAsia" w:hAnsiTheme="minorEastAsia" w:cstheme="minorEastAsia"/>
          <w:color w:val="373737"/>
          <w:sz w:val="28"/>
          <w:szCs w:val="28"/>
          <w:shd w:val="clear" w:color="auto" w:fill="FFFFFF"/>
        </w:rPr>
        <w:t>%；其他收入</w:t>
      </w:r>
      <w:r>
        <w:rPr>
          <w:rFonts w:hint="eastAsia" w:asciiTheme="minorEastAsia" w:hAnsiTheme="minorEastAsia" w:cstheme="minorEastAsia"/>
          <w:color w:val="373737"/>
          <w:sz w:val="28"/>
          <w:szCs w:val="28"/>
          <w:shd w:val="clear" w:color="auto" w:fill="FFFFFF"/>
          <w:lang w:val="en-US" w:eastAsia="zh-CN"/>
        </w:rPr>
        <w:t>35.60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1.39</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2676.56</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2273.08</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84.93</w:t>
      </w:r>
      <w:r>
        <w:rPr>
          <w:rFonts w:hint="eastAsia" w:asciiTheme="minorEastAsia" w:hAnsiTheme="minorEastAsia" w:cstheme="minorEastAsia"/>
          <w:color w:val="373737"/>
          <w:sz w:val="28"/>
          <w:szCs w:val="28"/>
          <w:shd w:val="clear" w:color="auto" w:fill="FFFFFF"/>
        </w:rPr>
        <w:t>%；项目支出</w:t>
      </w:r>
      <w:r>
        <w:rPr>
          <w:rFonts w:hint="eastAsia" w:asciiTheme="minorEastAsia" w:hAnsiTheme="minorEastAsia" w:cstheme="minorEastAsia"/>
          <w:color w:val="373737"/>
          <w:sz w:val="28"/>
          <w:szCs w:val="28"/>
          <w:shd w:val="clear" w:color="auto" w:fill="FFFFFF"/>
          <w:lang w:val="en-US" w:eastAsia="zh-CN"/>
        </w:rPr>
        <w:t>403.48</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15.07</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2527.21</w:t>
      </w:r>
      <w:r>
        <w:rPr>
          <w:rFonts w:hint="eastAsia" w:asciiTheme="minorEastAsia" w:hAnsiTheme="minorEastAsia" w:cstheme="minorEastAsia"/>
          <w:color w:val="373737"/>
          <w:sz w:val="28"/>
          <w:szCs w:val="28"/>
          <w:shd w:val="clear" w:color="auto" w:fill="FFFFFF"/>
        </w:rPr>
        <w:t>万元，与上年相比，增加</w:t>
      </w:r>
      <w:r>
        <w:rPr>
          <w:rFonts w:hint="eastAsia" w:asciiTheme="minorEastAsia" w:hAnsiTheme="minorEastAsia" w:cstheme="minorEastAsia"/>
          <w:color w:val="373737"/>
          <w:sz w:val="28"/>
          <w:szCs w:val="28"/>
          <w:shd w:val="clear" w:color="auto" w:fill="FFFFFF"/>
          <w:lang w:val="en-US" w:eastAsia="zh-CN"/>
        </w:rPr>
        <w:t>296.14</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18.59</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2676.56</w:t>
      </w:r>
      <w:r>
        <w:rPr>
          <w:rFonts w:hint="eastAsia" w:asciiTheme="minorEastAsia" w:hAnsiTheme="minorEastAsia" w:cstheme="minorEastAsia"/>
          <w:color w:val="373737"/>
          <w:sz w:val="28"/>
          <w:szCs w:val="28"/>
          <w:shd w:val="clear" w:color="auto" w:fill="FFFFFF"/>
        </w:rPr>
        <w:t>万元，与上年相比，增加</w:t>
      </w:r>
      <w:r>
        <w:rPr>
          <w:rFonts w:hint="eastAsia" w:asciiTheme="minorEastAsia" w:hAnsiTheme="minorEastAsia" w:cstheme="minorEastAsia"/>
          <w:color w:val="373737"/>
          <w:sz w:val="28"/>
          <w:szCs w:val="28"/>
          <w:shd w:val="clear" w:color="auto" w:fill="FFFFFF"/>
          <w:lang w:val="en-US" w:eastAsia="zh-CN"/>
        </w:rPr>
        <w:t>1094.35</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69.17</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2676.56</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%。与上年相比，财政拨款支出增加</w:t>
      </w:r>
      <w:r>
        <w:rPr>
          <w:rFonts w:hint="eastAsia" w:asciiTheme="minorEastAsia" w:hAnsiTheme="minorEastAsia" w:cstheme="minorEastAsia"/>
          <w:color w:val="373737"/>
          <w:sz w:val="28"/>
          <w:szCs w:val="28"/>
          <w:shd w:val="clear" w:color="auto" w:fill="FFFFFF"/>
          <w:lang w:val="en-US" w:eastAsia="zh-CN"/>
        </w:rPr>
        <w:t>1094.35</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69.17</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2676.56</w:t>
      </w:r>
      <w:r>
        <w:rPr>
          <w:rFonts w:hint="eastAsia" w:asciiTheme="minorEastAsia" w:hAnsiTheme="minorEastAsia" w:cstheme="minorEastAsia"/>
          <w:color w:val="373737"/>
          <w:sz w:val="28"/>
          <w:szCs w:val="28"/>
          <w:shd w:val="clear" w:color="auto" w:fill="FFFFFF"/>
        </w:rPr>
        <w:t>万元，主要用于以下方面：</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工资福利（类）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1289.47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48.18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商品和服务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560.49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20.94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对个人和家庭的补助（类）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425.52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15.90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债务利息及费用支出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1.09</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0.04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其他资本性</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14.94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1912.03</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2676.56</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139.99</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r>
        <w:rPr>
          <w:rFonts w:hint="eastAsia" w:asciiTheme="minorEastAsia" w:hAnsiTheme="minorEastAsia" w:eastAsiaTheme="minorEastAsia" w:cstheme="minorEastAsia"/>
          <w:i w:val="0"/>
          <w:caps w:val="0"/>
          <w:color w:val="373737"/>
          <w:spacing w:val="0"/>
          <w:sz w:val="28"/>
          <w:szCs w:val="28"/>
          <w:shd w:val="clear" w:fill="FFFFFF"/>
          <w:vertAlign w:val="baseline"/>
        </w:rPr>
        <w:t>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w:t>
      </w:r>
      <w:r>
        <w:rPr>
          <w:rFonts w:hint="eastAsia" w:asciiTheme="minorEastAsia" w:hAnsiTheme="minorEastAsia" w:cstheme="minorEastAsia"/>
          <w:i w:val="0"/>
          <w:caps w:val="0"/>
          <w:color w:val="373737"/>
          <w:spacing w:val="0"/>
          <w:sz w:val="28"/>
          <w:szCs w:val="28"/>
          <w:shd w:val="clear" w:fill="FFFFFF"/>
          <w:vertAlign w:val="baseline"/>
          <w:lang w:eastAsia="zh-CN"/>
        </w:rPr>
        <w:t>其他资本性支出</w:t>
      </w:r>
      <w:r>
        <w:rPr>
          <w:rFonts w:hint="eastAsia" w:asciiTheme="minorEastAsia" w:hAnsiTheme="minorEastAsia" w:eastAsiaTheme="minorEastAsia" w:cstheme="minorEastAsia"/>
          <w:i w:val="0"/>
          <w:caps w:val="0"/>
          <w:color w:val="373737"/>
          <w:spacing w:val="0"/>
          <w:sz w:val="28"/>
          <w:szCs w:val="28"/>
          <w:shd w:val="clear" w:fill="FFFFFF"/>
          <w:vertAlign w:val="baseline"/>
        </w:rPr>
        <w:t>等项目资金</w:t>
      </w:r>
      <w:r>
        <w:rPr>
          <w:rFonts w:hint="eastAsia" w:asciiTheme="minorEastAsia" w:hAnsiTheme="minorEastAsia" w:cstheme="minorEastAsia"/>
          <w:color w:val="373737"/>
          <w:sz w:val="28"/>
          <w:szCs w:val="28"/>
          <w:shd w:val="clear" w:color="auto" w:fill="FFFFFF"/>
        </w:rPr>
        <w:t>。其中：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1</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.工资福利（类）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1172.75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1289.47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109.95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商品和服务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322.24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560.49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173.94</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cstheme="minorEastAsia"/>
          <w:i w:val="0"/>
          <w:caps w:val="0"/>
          <w:color w:val="373737"/>
          <w:spacing w:val="0"/>
          <w:sz w:val="28"/>
          <w:szCs w:val="28"/>
          <w:shd w:val="clear" w:fill="FFFFFF"/>
          <w:vertAlign w:val="baseline"/>
          <w:lang w:eastAsia="zh-CN"/>
        </w:rPr>
        <w:t>减少办公费和差旅费</w:t>
      </w:r>
      <w:r>
        <w:rPr>
          <w:rFonts w:hint="eastAsia" w:asciiTheme="minorEastAsia" w:hAnsiTheme="minorEastAsia" w:eastAsiaTheme="minorEastAsia" w:cstheme="minorEastAsia"/>
          <w:i w:val="0"/>
          <w:caps w:val="0"/>
          <w:color w:val="373737"/>
          <w:spacing w:val="0"/>
          <w:sz w:val="28"/>
          <w:szCs w:val="28"/>
          <w:shd w:val="clear" w:fill="FFFFFF"/>
          <w:vertAlign w:val="baseline"/>
        </w:rPr>
        <w:t>等项目资金。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.对个人和家庭的补助（类）</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0"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494.21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425.52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86.10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w:t>
      </w:r>
      <w:r>
        <w:rPr>
          <w:rFonts w:hint="eastAsia" w:asciiTheme="minorEastAsia" w:hAnsiTheme="minorEastAsia" w:cstheme="minorEastAsia"/>
          <w:i w:val="0"/>
          <w:caps w:val="0"/>
          <w:color w:val="373737"/>
          <w:spacing w:val="0"/>
          <w:sz w:val="28"/>
          <w:szCs w:val="28"/>
          <w:shd w:val="clear" w:fill="FFFFFF"/>
          <w:vertAlign w:val="baseline"/>
          <w:lang w:eastAsia="zh-CN"/>
        </w:rPr>
        <w:t>发放改革，一部分由机关事业保险局发放，一部分由单位发放</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2" w:firstLineChars="20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4.其他资本性</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25" w:afterAutospacing="0"/>
        <w:ind w:left="0" w:right="0" w:firstLine="560" w:firstLineChars="200"/>
        <w:jc w:val="left"/>
        <w:textAlignment w:val="baseline"/>
        <w:rPr>
          <w:rFonts w:asciiTheme="minorEastAsia" w:hAnsiTheme="minorEastAsia" w:cstheme="minorEastAsia"/>
          <w:color w:val="333333"/>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444.44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年度财政拨款基本支出万元，其中：人员经费</w:t>
      </w:r>
      <w:r>
        <w:rPr>
          <w:rFonts w:hint="eastAsia" w:asciiTheme="minorEastAsia" w:hAnsiTheme="minorEastAsia" w:cstheme="minorEastAsia"/>
          <w:color w:val="373737"/>
          <w:sz w:val="28"/>
          <w:szCs w:val="28"/>
          <w:shd w:val="clear" w:color="auto" w:fill="FFFFFF"/>
          <w:lang w:val="en-US" w:eastAsia="zh-CN"/>
        </w:rPr>
        <w:t>1714.99</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558.09</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w:t>
      </w:r>
      <w:r>
        <w:rPr>
          <w:rFonts w:hint="eastAsia" w:asciiTheme="minorEastAsia" w:hAnsiTheme="minorEastAsia" w:cstheme="minorEastAsia"/>
          <w:color w:val="373737"/>
          <w:sz w:val="28"/>
          <w:szCs w:val="28"/>
          <w:shd w:val="clear" w:color="auto" w:fill="FFFFFF"/>
          <w:lang w:val="en-US" w:eastAsia="zh-CN"/>
        </w:rPr>
        <w:t>0.77</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0.54</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70.13</w:t>
      </w:r>
      <w:r>
        <w:rPr>
          <w:rFonts w:hint="eastAsia" w:asciiTheme="minorEastAsia" w:hAnsiTheme="minorEastAsia" w:cstheme="minorEastAsia"/>
          <w:color w:val="373737"/>
          <w:sz w:val="28"/>
          <w:szCs w:val="28"/>
          <w:shd w:val="clear" w:color="auto" w:fill="FFFFFF"/>
        </w:rPr>
        <w:t>%，其中：因公出国（境）费支出决算为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%；公务用车购置及运行费支出决算为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%；公务接待费支出决算为</w:t>
      </w:r>
      <w:r>
        <w:rPr>
          <w:rFonts w:hint="eastAsia" w:asciiTheme="minorEastAsia" w:hAnsiTheme="minorEastAsia" w:cstheme="minorEastAsia"/>
          <w:color w:val="373737"/>
          <w:sz w:val="28"/>
          <w:szCs w:val="28"/>
          <w:shd w:val="clear" w:color="auto" w:fill="FFFFFF"/>
          <w:lang w:val="en-US" w:eastAsia="zh-CN"/>
        </w:rPr>
        <w:t>0.54</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70.13</w:t>
      </w:r>
      <w:r>
        <w:rPr>
          <w:rFonts w:hint="eastAsia" w:asciiTheme="minorEastAsia" w:hAnsiTheme="minorEastAsia" w:cstheme="minorEastAsia"/>
          <w:color w:val="373737"/>
          <w:sz w:val="28"/>
          <w:szCs w:val="28"/>
          <w:shd w:val="clear" w:color="auto" w:fill="FFFFFF"/>
        </w:rPr>
        <w:t>%。2018年度“三公”经费支出决算数</w:t>
      </w:r>
      <w:r>
        <w:rPr>
          <w:rFonts w:hint="eastAsia" w:asciiTheme="minorEastAsia" w:hAnsiTheme="minorEastAsia" w:cstheme="minorEastAsia"/>
          <w:color w:val="373737"/>
          <w:sz w:val="28"/>
          <w:szCs w:val="28"/>
          <w:shd w:val="clear" w:color="auto" w:fill="FFFFFF"/>
          <w:lang w:eastAsia="zh-CN"/>
        </w:rPr>
        <w:t>低于</w:t>
      </w:r>
      <w:r>
        <w:rPr>
          <w:rFonts w:hint="eastAsia" w:asciiTheme="minorEastAsia" w:hAnsiTheme="minorEastAsia" w:cstheme="minorEastAsia"/>
          <w:color w:val="373737"/>
          <w:sz w:val="28"/>
          <w:szCs w:val="28"/>
          <w:shd w:val="clear" w:color="auto" w:fill="FFFFFF"/>
        </w:rPr>
        <w:t>预算数。</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w:t>
      </w:r>
      <w:r>
        <w:rPr>
          <w:rFonts w:hint="eastAsia" w:asciiTheme="minorEastAsia" w:hAnsiTheme="minorEastAsia" w:cstheme="minorEastAsia"/>
          <w:color w:val="373737"/>
          <w:sz w:val="28"/>
          <w:szCs w:val="28"/>
          <w:shd w:val="clear" w:color="auto" w:fill="FFFFFF"/>
          <w:lang w:val="en-US" w:eastAsia="zh-CN"/>
        </w:rPr>
        <w:t>0.92</w:t>
      </w:r>
      <w:r>
        <w:rPr>
          <w:rFonts w:hint="eastAsia" w:asciiTheme="minorEastAsia" w:hAnsiTheme="minorEastAsia" w:cstheme="minorEastAsia"/>
          <w:color w:val="373737"/>
          <w:sz w:val="28"/>
          <w:szCs w:val="28"/>
          <w:shd w:val="clear" w:color="auto" w:fill="FFFFFF"/>
        </w:rPr>
        <w:t>万元，减少</w:t>
      </w:r>
      <w:r>
        <w:rPr>
          <w:rFonts w:hint="eastAsia" w:asciiTheme="minorEastAsia" w:hAnsiTheme="minorEastAsia" w:cstheme="minorEastAsia"/>
          <w:color w:val="373737"/>
          <w:sz w:val="28"/>
          <w:szCs w:val="28"/>
          <w:shd w:val="clear" w:color="auto" w:fill="FFFFFF"/>
          <w:lang w:val="en-US" w:eastAsia="zh-CN"/>
        </w:rPr>
        <w:t>63.01</w:t>
      </w:r>
      <w:r>
        <w:rPr>
          <w:rFonts w:hint="eastAsia" w:asciiTheme="minorEastAsia" w:hAnsiTheme="minorEastAsia" w:cstheme="minorEastAsia"/>
          <w:color w:val="373737"/>
          <w:sz w:val="28"/>
          <w:szCs w:val="28"/>
          <w:shd w:val="clear" w:color="auto" w:fill="FFFFFF"/>
        </w:rPr>
        <w:t>%，公务用车购置及运行费支出决算0万元，减少</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%，原因为：部门严格执行三公经费缩减，车改后车辆上交；公务接待费支出决算</w:t>
      </w:r>
      <w:r>
        <w:rPr>
          <w:rFonts w:hint="eastAsia" w:asciiTheme="minorEastAsia" w:hAnsiTheme="minorEastAsia" w:cstheme="minorEastAsia"/>
          <w:color w:val="373737"/>
          <w:sz w:val="28"/>
          <w:szCs w:val="28"/>
          <w:shd w:val="clear" w:color="auto" w:fill="FFFFFF"/>
          <w:lang w:val="en-US" w:eastAsia="zh-CN"/>
        </w:rPr>
        <w:t>0.54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63.01</w:t>
      </w:r>
      <w:r>
        <w:rPr>
          <w:rFonts w:hint="eastAsia" w:asciiTheme="minorEastAsia" w:hAnsiTheme="minorEastAsia" w:cstheme="minorEastAsia"/>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%；公务用车购置及运行费支出决算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0.54</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63.01</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Style w:val="7"/>
          <w:rFonts w:hint="eastAsia" w:asciiTheme="minorEastAsia" w:hAnsiTheme="minorEastAsia" w:cstheme="minorEastAsia"/>
          <w:color w:val="373737"/>
          <w:sz w:val="28"/>
          <w:szCs w:val="28"/>
          <w:shd w:val="clear" w:color="auto" w:fill="FFFFFF"/>
          <w:lang w:val="en-US" w:eastAsia="zh-CN"/>
        </w:rPr>
        <w:t>.54</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lang w:val="en-US" w:eastAsia="zh-CN"/>
        </w:rPr>
        <w:t>0.54</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lang w:val="en-US" w:eastAsia="zh-CN"/>
        </w:rPr>
        <w:t>24</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lang w:val="en-US" w:eastAsia="zh-CN"/>
        </w:rPr>
        <w:t>150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bookmarkStart w:id="0" w:name="_GoBack"/>
      <w:bookmarkEnd w:id="0"/>
      <w:r>
        <w:rPr>
          <w:rFonts w:hint="eastAsia" w:asciiTheme="minorEastAsia" w:hAnsiTheme="minorEastAsia" w:cstheme="minorEastAsia"/>
          <w:color w:val="333333"/>
          <w:sz w:val="28"/>
          <w:szCs w:val="28"/>
        </w:rPr>
        <w:t>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2018年度项目支出全面开展绩效自评。共涉及资金万元，自评覆盖率达到100%。共组织对“xxx”等 7 个项目进行了绩效评价，共涉及资金万元。从评价情况来看，本部门共开展了XXXXXX进行了绩效考核。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D9DE77"/>
    <w:multiLevelType w:val="singleLevel"/>
    <w:tmpl w:val="B4D9DE77"/>
    <w:lvl w:ilvl="0" w:tentative="0">
      <w:start w:val="1"/>
      <w:numFmt w:val="chineseCounting"/>
      <w:suff w:val="nothing"/>
      <w:lvlText w:val="%1、"/>
      <w:lvlJc w:val="left"/>
      <w:pPr>
        <w:ind w:left="98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98217C0"/>
    <w:rsid w:val="0C913C77"/>
    <w:rsid w:val="0E980DC7"/>
    <w:rsid w:val="179B676B"/>
    <w:rsid w:val="1B074E02"/>
    <w:rsid w:val="1CFB22BC"/>
    <w:rsid w:val="2A054FEB"/>
    <w:rsid w:val="2DE7389C"/>
    <w:rsid w:val="3CC621B5"/>
    <w:rsid w:val="3DDC6AB6"/>
    <w:rsid w:val="419008B3"/>
    <w:rsid w:val="62763A6A"/>
    <w:rsid w:val="651656AA"/>
    <w:rsid w:val="6B6E45D7"/>
    <w:rsid w:val="6BC52739"/>
    <w:rsid w:val="6F094457"/>
    <w:rsid w:val="736E02F2"/>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244</TotalTime>
  <ScaleCrop>false</ScaleCrop>
  <LinksUpToDate>false</LinksUpToDate>
  <CharactersWithSpaces>3510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剑胆琴心</cp:lastModifiedBy>
  <dcterms:modified xsi:type="dcterms:W3CDTF">2019-09-05T07:19:02Z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