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绥滨县人民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政府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年政府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2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根据《中华人民共和国政府信息公开条例》（以下简称《条例》）要求，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绥滨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县人民政府办公室编制了2023年度政府信息公开工作年度报告。本报告由总体情况、主动公开政府信息情况、收到和处理政府信息公开申请情况、政府信息公开行政复议和行政诉讼情况、存在的主要问题及改进情况、其他需要报告的事项等六个部分组成，所列数据统计期限自2023年1月1日起至2023年12月31日止。如需了解更多政府信息，请登录绥滨县人民政府网站查询，链接地址为：https://www.suibin.gov.cn/。如对本年度报告有任何疑问，请联系：绥滨县人民政府办公室，电话：0468-7863958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2023年，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绥滨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县人民政府办公室以习近平新时代中国特色社会主义思想为指导，深入学习贯彻党的二十大精神和习近平总书记视察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我省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重要讲话重要指示精神，按照全面推进政务公开工作的部署要求，紧紧围绕县委县政府中心工作，持续推进政务公开标准化规范化建设，着力以公开提效能、优服务、转作风，推动政务公开工作水平迈上新台阶。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（一）主动公开方面。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 2023年，全县政府信息公开单位通过政府门户网站、电子大屏、公开栏、微信公众号等方式主动向社会公开政府信息12368条。通过县政府门户网站公开政务动态等各类信息2588条，其中公开重点领域信息917条，包括：政策文件信息14条，政策解读信息6条，就业、养老、教育、医疗、公共文化、乡村振兴等重大民生信息688条；机关简介信息37条，部门预算公开141条，统计公报、重大项目建设实施情况等其他公开信息229条。通过公示栏（板）、电子屏等现场信息公开方式，公开的政府信息2002条。通过28家政务新媒体发布信息9454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（二）依申请公开方面。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 认真做好政府信息公开申请接收、登记、办理、审核、答复、归档等各个环节工作，确保依申请公开合法依规。依据省政务公开办的答复书规范文本，及时办理、细致解释、主动送达，并及时进行满意度回访。2023年我县未收到社会公众依申请公开政府信息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（三）政府信息管理方面。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加强和规范政府信息管理，做好规章、规范性文件、政府工作报告、组织机构、财政预决算等重点政府信息公开，实现全市现行有效规章、规范性文件集中统一公开并动态更新。经梳理，现行有效县政府规范性文件47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（四）政府信息公开平台建设方面。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加强政府网站和政务新媒体运营及监管机制建设，强化日常监测、季度检查和年度考评。积极推动政务服务一体化建设，广泛运用新媒体做好信息发布和政策解读，优化信息发布流程，完善信息公开手段，提升信息公开质量。力求通过形式多样的信息公开方式，让社会各界及时有效地了解政务动态，不断提升我县政府系统政务新媒体的引导力、影响力和公信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（五）监督保障方面。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根据新形势新要求不断完善政府信息公开工作机制。一是完善了政务公开组织机构,及时调整以县政府常务副县长为组长、县政府办公室主任为副组长的政务公开工作领导小组。二是加强日常指导检查，对信息更新不及时、内容不规范、错敏字等情况要求限期整改，将政务公开工作落到实处。三是加强队伍建设，要求各责任单位明确专职负责人员，确保沟通顺畅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9814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1040.76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820"/>
        <w:gridCol w:w="2798"/>
        <w:gridCol w:w="598"/>
        <w:gridCol w:w="598"/>
        <w:gridCol w:w="598"/>
        <w:gridCol w:w="598"/>
        <w:gridCol w:w="598"/>
        <w:gridCol w:w="598"/>
        <w:gridCol w:w="5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1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299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9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9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nil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567"/>
        <w:gridCol w:w="568"/>
        <w:gridCol w:w="568"/>
        <w:gridCol w:w="567"/>
        <w:gridCol w:w="568"/>
        <w:gridCol w:w="567"/>
        <w:gridCol w:w="569"/>
        <w:gridCol w:w="568"/>
        <w:gridCol w:w="569"/>
        <w:gridCol w:w="569"/>
        <w:gridCol w:w="568"/>
        <w:gridCol w:w="569"/>
        <w:gridCol w:w="569"/>
        <w:gridCol w:w="56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68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8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8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，县政府办公室严格贯彻落实《政府信息公开条例》，认真完成取得了一定成效，但与信息公开工作要求还存在一定差距：一是主动公开政府信息的时效性不够强；二是需一步加大政策解读力度，扩大解读范围；三是政务公开创新发展水平有待进一步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，县政府办公室将按照省、市政务公开工作部署要求，创新思路，以实际行动开拓政务公开工作新局面。一是加强领导，健全政务信息更新机制，加大政务信息更新力度，确保政务信息生成与发布保持同步。二是进一步强化规范性文件和一般政策类文件的解读或答疑，通过图文、列表等多种形式和多种渠道公开，便于公众了解。三是创新政务公开工作方式，提升公开实效，拓宽政府与公众互动平台，切实提升群众的参与感、获得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收取信息处理费的情况：本年度无发出收费通知，无收取信息处理费用。</w:t>
      </w:r>
    </w:p>
    <w:p/>
    <w:p/>
    <w:p/>
    <w:p/>
    <w:p/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绥滨县人民政府办公室</w:t>
      </w:r>
    </w:p>
    <w:p>
      <w:pPr>
        <w:ind w:firstLine="5440" w:firstLineChars="17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2024年1月10日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NGRkNDgwMmIwNmVjYzIyYjIwYWNlZmZjNDk0ZjIifQ=="/>
  </w:docVars>
  <w:rsids>
    <w:rsidRoot w:val="5C7240A9"/>
    <w:rsid w:val="327A7E90"/>
    <w:rsid w:val="3619790A"/>
    <w:rsid w:val="369C5AB7"/>
    <w:rsid w:val="3EF95E0C"/>
    <w:rsid w:val="421C7600"/>
    <w:rsid w:val="449E3D42"/>
    <w:rsid w:val="56643E62"/>
    <w:rsid w:val="5C7240A9"/>
    <w:rsid w:val="7CD7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color w:val="800080"/>
      <w:u w:val="none"/>
    </w:rPr>
  </w:style>
  <w:style w:type="character" w:styleId="9">
    <w:name w:val="Emphasis"/>
    <w:basedOn w:val="6"/>
    <w:autoRedefine/>
    <w:qFormat/>
    <w:uiPriority w:val="0"/>
  </w:style>
  <w:style w:type="character" w:customStyle="1" w:styleId="10">
    <w:name w:val="active1"/>
    <w:basedOn w:val="6"/>
    <w:autoRedefine/>
    <w:qFormat/>
    <w:uiPriority w:val="0"/>
    <w:rPr>
      <w:b/>
      <w:bCs/>
      <w:color w:val="347ED4"/>
    </w:rPr>
  </w:style>
  <w:style w:type="character" w:customStyle="1" w:styleId="11">
    <w:name w:val="disabled"/>
    <w:basedOn w:val="6"/>
    <w:autoRedefine/>
    <w:qFormat/>
    <w:uiPriority w:val="0"/>
    <w:rPr>
      <w:color w:val="FFE3C6"/>
      <w:bdr w:val="single" w:color="FFE3C6" w:sz="6" w:space="0"/>
    </w:rPr>
  </w:style>
  <w:style w:type="character" w:customStyle="1" w:styleId="12">
    <w:name w:val="current"/>
    <w:basedOn w:val="6"/>
    <w:autoRedefine/>
    <w:qFormat/>
    <w:uiPriority w:val="0"/>
    <w:rPr>
      <w:b/>
      <w:bCs/>
      <w:color w:val="FF6500"/>
      <w:bdr w:val="single" w:color="FF6500" w:sz="6" w:space="0"/>
      <w:shd w:val="clear" w:fill="FFBE94"/>
    </w:rPr>
  </w:style>
  <w:style w:type="character" w:customStyle="1" w:styleId="13">
    <w:name w:val="bsharetext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4161</Words>
  <Characters>4200</Characters>
  <Lines>0</Lines>
  <Paragraphs>0</Paragraphs>
  <TotalTime>10</TotalTime>
  <ScaleCrop>false</ScaleCrop>
  <LinksUpToDate>false</LinksUpToDate>
  <CharactersWithSpaces>4416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2022-01-04T09:22:00Z</dcterms:created>
  <dc:creator>梓绘圆】</dc:creator>
  <cp:lastModifiedBy>A </cp:lastModifiedBy>
  <cp:lastPrinted>2022-03-23T06:38:00Z</cp:lastPrinted>
  <dcterms:modified xsi:type="dcterms:W3CDTF">2024-01-29T03:22:03Z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F6F09E0DB6154169A3D99D38F9C9AA75</vt:lpwstr>
  </property>
</Properties>
</file>