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绥滨县交通运输局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绥滨县交通运输局坚持以习近平新时代中国特色社会主义思想为指导，深入贯彻党的十九大及十九届中央历次全会精神，按照县委、县政府有关工作部署，按照“公开为原则，不公开为例外”的总体要求，及时、准确、全面公开群众普遍关心及涉及群众切身利益的交通运输信息，全力为群众提供更加优质便捷高效的交通运输信息服务。</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2" w:beforeAutospacing="0" w:after="102" w:afterAutospacing="0" w:line="560" w:lineRule="exact"/>
        <w:ind w:left="0" w:right="0" w:firstLine="601"/>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主动公开情况。</w:t>
      </w:r>
      <w:r>
        <w:rPr>
          <w:rFonts w:hint="eastAsia" w:ascii="仿宋_GB2312" w:hAnsi="仿宋_GB2312" w:eastAsia="仿宋_GB2312" w:cs="仿宋_GB2312"/>
          <w:kern w:val="2"/>
          <w:sz w:val="32"/>
          <w:szCs w:val="32"/>
          <w:lang w:val="en-US" w:eastAsia="zh-CN" w:bidi="ar-SA"/>
        </w:rPr>
        <w:t>2021年度，主动公开政府信息总数130条。其中，内容涵盖了行政许可、行政处罚、工作动态、通知公告等方面信息。</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2" w:beforeAutospacing="0" w:after="102" w:afterAutospacing="0" w:line="560" w:lineRule="exact"/>
        <w:ind w:left="0" w:right="0" w:firstLine="601"/>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依申请公开情况。</w:t>
      </w:r>
      <w:r>
        <w:rPr>
          <w:rFonts w:hint="eastAsia" w:ascii="仿宋_GB2312" w:hAnsi="仿宋_GB2312" w:eastAsia="仿宋_GB2312" w:cs="仿宋_GB2312"/>
          <w:kern w:val="2"/>
          <w:sz w:val="32"/>
          <w:szCs w:val="32"/>
          <w:lang w:val="en-US" w:eastAsia="zh-CN" w:bidi="ar-SA"/>
        </w:rPr>
        <w:t>县交通运输局2021年未收到依申请公开信息，故无相关内容发布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（三）政府信息管理情况。</w:t>
      </w:r>
      <w:r>
        <w:rPr>
          <w:rFonts w:hint="eastAsia" w:ascii="仿宋_GB2312" w:hAnsi="仿宋_GB2312" w:eastAsia="仿宋_GB2312" w:cs="仿宋_GB2312"/>
          <w:kern w:val="2"/>
          <w:sz w:val="32"/>
          <w:szCs w:val="32"/>
          <w:lang w:val="en-US" w:eastAsia="zh-CN" w:bidi="ar-SA"/>
        </w:rPr>
        <w:t>为加强对政府信息公开工作的组织领导，我局建立健全政府信息公开工作机制，落实专人做好政府信息公开各项工作，严格执行政府信息公开的法律法规，建立健全政府信息公开申请受理答复各环节制度规范，对所公开事项内容进行审核、把关，确保公开内容的合法性、准确性、严肃性，确保公开的范围、形式、时限、程序等符合《中华人民共和国政府信息公开条例》的相关要求。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7"/>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（四）平台建设情况。</w:t>
      </w:r>
      <w:r>
        <w:rPr>
          <w:rFonts w:hint="eastAsia" w:ascii="仿宋_GB2312" w:hAnsi="仿宋_GB2312" w:eastAsia="仿宋_GB2312" w:cs="仿宋_GB2312"/>
          <w:kern w:val="2"/>
          <w:sz w:val="32"/>
          <w:szCs w:val="32"/>
          <w:lang w:val="en-US" w:eastAsia="zh-CN" w:bidi="ar-SA"/>
        </w:rPr>
        <w:t>按照政府要求，接受县政府集中监督管理，及时公开政务信息，加强信息平台的运用以及各项保障工作。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7"/>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（五）监督保障情况。</w:t>
      </w:r>
      <w:r>
        <w:rPr>
          <w:rFonts w:hint="eastAsia" w:ascii="仿宋_GB2312" w:hAnsi="仿宋_GB2312" w:eastAsia="仿宋_GB2312" w:cs="仿宋_GB2312"/>
          <w:kern w:val="2"/>
          <w:sz w:val="32"/>
          <w:szCs w:val="32"/>
          <w:lang w:val="en-US" w:eastAsia="zh-CN" w:bidi="ar-SA"/>
        </w:rPr>
        <w:t>为使政府信息公开工作落到实处，我局通过公开投诉电话、电子邮箱等方式，广泛听取社会各界的意见和要求，充分发挥社会监督的作用，并积极接受县政府的检查督导。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6"/>
        <w:tblW w:w="8325"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20"/>
        <w:gridCol w:w="1606"/>
        <w:gridCol w:w="1359"/>
        <w:gridCol w:w="2240"/>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jc w:val="center"/>
        </w:trPr>
        <w:tc>
          <w:tcPr>
            <w:tcW w:w="8085" w:type="dxa"/>
            <w:gridSpan w:val="4"/>
            <w:tcBorders>
              <w:top w:val="single" w:color="000000" w:sz="6" w:space="0"/>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第二十条第（一）项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信息内容</w:t>
            </w:r>
          </w:p>
        </w:tc>
        <w:tc>
          <w:tcPr>
            <w:tcW w:w="156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i w:val="0"/>
                <w:iCs w:val="0"/>
                <w:color w:val="434343"/>
                <w:spacing w:val="0"/>
                <w:sz w:val="24"/>
                <w:szCs w:val="24"/>
              </w:rPr>
              <w:t>本年新制发件数</w:t>
            </w:r>
          </w:p>
        </w:tc>
        <w:tc>
          <w:tcPr>
            <w:tcW w:w="132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本年废止件数</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现行有效件数</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规章</w:t>
            </w:r>
          </w:p>
        </w:tc>
        <w:tc>
          <w:tcPr>
            <w:tcW w:w="156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0</w:t>
            </w:r>
          </w:p>
        </w:tc>
        <w:tc>
          <w:tcPr>
            <w:tcW w:w="132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0</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6"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规范性文件</w:t>
            </w:r>
          </w:p>
        </w:tc>
        <w:tc>
          <w:tcPr>
            <w:tcW w:w="156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eastAsia="宋体" w:cs="宋体"/>
                <w:color w:val="434343"/>
                <w:sz w:val="24"/>
                <w:szCs w:val="24"/>
                <w:lang w:val="en-US" w:eastAsia="zh-CN"/>
              </w:rPr>
              <w:t>0</w:t>
            </w:r>
          </w:p>
        </w:tc>
        <w:tc>
          <w:tcPr>
            <w:tcW w:w="132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第二十条第（五）项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信息内容</w:t>
            </w:r>
          </w:p>
        </w:tc>
        <w:tc>
          <w:tcPr>
            <w:tcW w:w="4845"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本年处理决定数量</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行政许可</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i w:val="0"/>
                <w:iCs w:val="0"/>
                <w:color w:val="434343"/>
                <w:spacing w:val="0"/>
                <w:sz w:val="24"/>
                <w:szCs w:val="24"/>
                <w:lang w:val="en-US" w:eastAsia="zh-CN"/>
              </w:rPr>
            </w:pPr>
            <w:r>
              <w:rPr>
                <w:rFonts w:hint="eastAsia" w:ascii="宋体" w:hAnsi="宋体" w:eastAsia="宋体" w:cs="宋体"/>
                <w:i w:val="0"/>
                <w:iCs w:val="0"/>
                <w:color w:val="434343"/>
                <w:spacing w:val="0"/>
                <w:sz w:val="24"/>
                <w:szCs w:val="24"/>
                <w:lang w:val="en-US" w:eastAsia="zh-CN"/>
              </w:rPr>
              <w:t>55</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6" w:hRule="atLeas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第二十条第（六）项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信息内容</w:t>
            </w:r>
          </w:p>
        </w:tc>
        <w:tc>
          <w:tcPr>
            <w:tcW w:w="4845"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本年处理决定数量</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行政处罚</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i w:val="0"/>
                <w:iCs w:val="0"/>
                <w:color w:val="434343"/>
                <w:spacing w:val="0"/>
                <w:sz w:val="24"/>
                <w:szCs w:val="24"/>
                <w:lang w:val="en-US" w:eastAsia="zh-CN"/>
              </w:rPr>
            </w:pPr>
            <w:r>
              <w:rPr>
                <w:rFonts w:hint="eastAsia" w:ascii="宋体" w:hAnsi="宋体" w:eastAsia="宋体" w:cs="宋体"/>
                <w:i w:val="0"/>
                <w:iCs w:val="0"/>
                <w:color w:val="434343"/>
                <w:spacing w:val="0"/>
                <w:sz w:val="24"/>
                <w:szCs w:val="24"/>
                <w:lang w:val="en-US" w:eastAsia="zh-CN"/>
              </w:rPr>
              <w:t>73</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行政强制</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271" w:hRule="atLeas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第二十条第（八）项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0"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信息内容</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本年收费金额（单位：万元）</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行政事业性收费</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4"/>
                <w:szCs w:val="24"/>
              </w:rPr>
            </w:pPr>
            <w:r>
              <w:rPr>
                <w:rFonts w:hint="eastAsia" w:ascii="宋体" w:hAnsi="宋体" w:eastAsia="宋体" w:cs="宋体"/>
                <w:i w:val="0"/>
                <w:iCs w:val="0"/>
                <w:color w:val="434343"/>
                <w:spacing w:val="0"/>
                <w:sz w:val="24"/>
                <w:szCs w:val="24"/>
              </w:rPr>
              <w:t>0</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6"/>
        <w:tblW w:w="8965" w:type="dxa"/>
        <w:tblInd w:w="0" w:type="dxa"/>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8"/>
        <w:gridCol w:w="755"/>
        <w:gridCol w:w="1669"/>
        <w:gridCol w:w="918"/>
        <w:gridCol w:w="788"/>
        <w:gridCol w:w="750"/>
        <w:gridCol w:w="919"/>
        <w:gridCol w:w="900"/>
        <w:gridCol w:w="843"/>
        <w:gridCol w:w="825"/>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22" w:type="dxa"/>
            <w:gridSpan w:val="3"/>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4"/>
                <w:szCs w:val="24"/>
              </w:rPr>
            </w:pPr>
            <w:r>
              <w:rPr>
                <w:rFonts w:hint="eastAsia" w:ascii="楷体" w:hAnsi="楷体" w:eastAsia="楷体" w:cs="楷体"/>
                <w:i w:val="0"/>
                <w:iCs w:val="0"/>
                <w:caps w:val="0"/>
                <w:color w:val="434343"/>
                <w:spacing w:val="0"/>
                <w:sz w:val="24"/>
                <w:szCs w:val="24"/>
              </w:rPr>
              <w:t>（本列数据的勾稽关系为：第一项加第二项之和，等于第三项加第四项之和）</w:t>
            </w:r>
          </w:p>
        </w:tc>
        <w:tc>
          <w:tcPr>
            <w:tcW w:w="5943" w:type="dxa"/>
            <w:gridSpan w:val="7"/>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申请人情况</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22" w:type="dxa"/>
            <w:gridSpan w:val="3"/>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both"/>
              <w:textAlignment w:val="auto"/>
              <w:rPr>
                <w:rFonts w:hint="eastAsia" w:ascii="宋体" w:hAnsi="宋体" w:eastAsia="宋体" w:cs="宋体"/>
                <w:i w:val="0"/>
                <w:iCs w:val="0"/>
                <w:caps w:val="0"/>
                <w:color w:val="333333"/>
                <w:spacing w:val="0"/>
                <w:sz w:val="24"/>
                <w:szCs w:val="24"/>
              </w:rPr>
            </w:pPr>
          </w:p>
        </w:tc>
        <w:tc>
          <w:tcPr>
            <w:tcW w:w="918"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自然人</w:t>
            </w:r>
          </w:p>
        </w:tc>
        <w:tc>
          <w:tcPr>
            <w:tcW w:w="4200" w:type="dxa"/>
            <w:gridSpan w:val="5"/>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法人或其他组织</w:t>
            </w:r>
          </w:p>
        </w:tc>
        <w:tc>
          <w:tcPr>
            <w:tcW w:w="825" w:type="dxa"/>
            <w:vMerge w:val="restart"/>
            <w:tcBorders>
              <w:top w:val="single" w:color="000000" w:sz="8" w:space="0"/>
              <w:left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16" w:hRule="atLeast"/>
        </w:trPr>
        <w:tc>
          <w:tcPr>
            <w:tcW w:w="3022" w:type="dxa"/>
            <w:gridSpan w:val="3"/>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both"/>
              <w:textAlignment w:val="auto"/>
              <w:rPr>
                <w:rFonts w:hint="eastAsia" w:ascii="宋体" w:hAnsi="宋体" w:eastAsia="宋体" w:cs="宋体"/>
                <w:i w:val="0"/>
                <w:iCs w:val="0"/>
                <w:caps w:val="0"/>
                <w:color w:val="333333"/>
                <w:spacing w:val="0"/>
                <w:sz w:val="24"/>
                <w:szCs w:val="24"/>
              </w:rPr>
            </w:pPr>
          </w:p>
        </w:tc>
        <w:tc>
          <w:tcPr>
            <w:tcW w:w="918"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4"/>
                <w:szCs w:val="24"/>
              </w:rPr>
            </w:pPr>
          </w:p>
        </w:tc>
        <w:tc>
          <w:tcPr>
            <w:tcW w:w="788"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商业企业</w:t>
            </w:r>
          </w:p>
        </w:tc>
        <w:tc>
          <w:tcPr>
            <w:tcW w:w="750"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科研机构</w:t>
            </w:r>
          </w:p>
        </w:tc>
        <w:tc>
          <w:tcPr>
            <w:tcW w:w="919" w:type="dxa"/>
            <w:tcBorders>
              <w:top w:val="single" w:color="000000" w:sz="8"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社会公益组织</w:t>
            </w:r>
          </w:p>
        </w:tc>
        <w:tc>
          <w:tcPr>
            <w:tcW w:w="900" w:type="dxa"/>
            <w:tcBorders>
              <w:top w:val="single" w:color="000000" w:sz="8"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法律服务机构</w:t>
            </w:r>
          </w:p>
        </w:tc>
        <w:tc>
          <w:tcPr>
            <w:tcW w:w="843" w:type="dxa"/>
            <w:tcBorders>
              <w:top w:val="single" w:color="000000" w:sz="8"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其他</w:t>
            </w:r>
          </w:p>
        </w:tc>
        <w:tc>
          <w:tcPr>
            <w:tcW w:w="825" w:type="dxa"/>
            <w:vMerge w:val="continue"/>
            <w:tcBorders>
              <w:left w:val="single" w:color="000000" w:sz="8" w:space="0"/>
              <w:bottom w:val="single" w:color="000000" w:sz="6"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6" w:hRule="atLeast"/>
        </w:trPr>
        <w:tc>
          <w:tcPr>
            <w:tcW w:w="3022" w:type="dxa"/>
            <w:gridSpan w:val="3"/>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一、本年新收政府信息公开申请数量</w:t>
            </w:r>
          </w:p>
        </w:tc>
        <w:tc>
          <w:tcPr>
            <w:tcW w:w="918"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199"/>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6" w:space="0"/>
              <w:left w:val="single" w:color="000000" w:sz="8" w:space="0"/>
              <w:bottom w:val="single" w:color="000000" w:sz="6"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rPr>
        <w:tc>
          <w:tcPr>
            <w:tcW w:w="3022" w:type="dxa"/>
            <w:gridSpan w:val="3"/>
            <w:tcBorders>
              <w:top w:val="single" w:color="000000" w:sz="6" w:space="0"/>
              <w:left w:val="single" w:color="000000" w:sz="6"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二、上年结转政府信息公开申请数量</w:t>
            </w:r>
          </w:p>
        </w:tc>
        <w:tc>
          <w:tcPr>
            <w:tcW w:w="918"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6" w:space="0"/>
              <w:left w:val="single" w:color="000000" w:sz="8" w:space="0"/>
              <w:bottom w:val="single" w:color="auto" w:sz="4"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7" w:hRule="atLeast"/>
        </w:trPr>
        <w:tc>
          <w:tcPr>
            <w:tcW w:w="598" w:type="dxa"/>
            <w:vMerge w:val="restart"/>
            <w:tcBorders>
              <w:top w:val="single" w:color="auto" w:sz="4" w:space="0"/>
              <w:left w:val="single" w:color="auto" w:sz="4"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三、本年度办理结果</w:t>
            </w:r>
          </w:p>
        </w:tc>
        <w:tc>
          <w:tcPr>
            <w:tcW w:w="2424" w:type="dxa"/>
            <w:gridSpan w:val="2"/>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（一）予以公开</w:t>
            </w:r>
          </w:p>
        </w:tc>
        <w:tc>
          <w:tcPr>
            <w:tcW w:w="91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7"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2424" w:type="dxa"/>
            <w:gridSpan w:val="2"/>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（二）部分公开（区分处理的，只计这一情形，不计其他情形）</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（三）不予公开</w:t>
            </w:r>
          </w:p>
        </w:tc>
        <w:tc>
          <w:tcPr>
            <w:tcW w:w="1669" w:type="dxa"/>
            <w:tcBorders>
              <w:top w:val="single" w:color="000000" w:sz="8" w:space="0"/>
              <w:left w:val="single" w:color="000000" w:sz="8" w:space="0"/>
              <w:bottom w:val="single" w:color="000000" w:sz="8" w:space="0"/>
              <w:right w:val="nil"/>
            </w:tcBorders>
            <w:shd w:val="clear" w:color="auto" w:fill="FFFFFF"/>
            <w:tcMar>
              <w:lef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1.属于国家秘密</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2.其他法律行政法规禁止公开</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6"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3.危及“三安全一稳定”</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4.保护第三方合法权益</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5.属于三类内部事务信息</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6.属于四类过程性信息</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7.属于行政执法案卷</w:t>
            </w:r>
          </w:p>
        </w:tc>
        <w:tc>
          <w:tcPr>
            <w:tcW w:w="918"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auto" w:sz="4"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000000" w:sz="8" w:space="0"/>
              <w:left w:val="single" w:color="000000" w:sz="8"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auto" w:sz="4" w:space="0"/>
              <w:left w:val="single" w:color="auto" w:sz="4"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8.属于行政查询事项</w:t>
            </w:r>
          </w:p>
        </w:tc>
        <w:tc>
          <w:tcPr>
            <w:tcW w:w="91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46"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restart"/>
            <w:tcBorders>
              <w:top w:val="nil"/>
              <w:left w:val="single" w:color="000000" w:sz="8" w:space="0"/>
              <w:bottom w:val="single" w:color="000000" w:sz="8" w:space="0"/>
              <w:right w:val="single" w:color="auto" w:sz="4" w:space="0"/>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（四）无法提供</w:t>
            </w:r>
          </w:p>
        </w:tc>
        <w:tc>
          <w:tcPr>
            <w:tcW w:w="1669" w:type="dxa"/>
            <w:tcBorders>
              <w:top w:val="nil"/>
              <w:left w:val="single" w:color="auto" w:sz="4"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1.本机关不掌握相关政府信息</w:t>
            </w:r>
          </w:p>
        </w:tc>
        <w:tc>
          <w:tcPr>
            <w:tcW w:w="91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000000" w:sz="8"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nil"/>
              <w:left w:val="single" w:color="auto" w:sz="4"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2.没有现成信息需要另行制作</w:t>
            </w:r>
          </w:p>
        </w:tc>
        <w:tc>
          <w:tcPr>
            <w:tcW w:w="918"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auto" w:sz="4"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10"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3.补正后申请内容仍不明确</w:t>
            </w:r>
          </w:p>
        </w:tc>
        <w:tc>
          <w:tcPr>
            <w:tcW w:w="91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（五）不予处理</w:t>
            </w:r>
          </w:p>
        </w:tc>
        <w:tc>
          <w:tcPr>
            <w:tcW w:w="166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1.信访举报投诉类申请</w:t>
            </w:r>
          </w:p>
        </w:tc>
        <w:tc>
          <w:tcPr>
            <w:tcW w:w="91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9"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2.重复申请</w:t>
            </w:r>
          </w:p>
        </w:tc>
        <w:tc>
          <w:tcPr>
            <w:tcW w:w="91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5"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3.要求提供公开出版物</w:t>
            </w:r>
          </w:p>
        </w:tc>
        <w:tc>
          <w:tcPr>
            <w:tcW w:w="91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22"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4.无正当理由大量反复申请</w:t>
            </w:r>
          </w:p>
        </w:tc>
        <w:tc>
          <w:tcPr>
            <w:tcW w:w="91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1595"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000000" w:sz="8" w:space="0"/>
              <w:bottom w:val="single" w:color="auto" w:sz="4"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5.要求行政机关确认或重新出具已获取信息</w:t>
            </w:r>
          </w:p>
        </w:tc>
        <w:tc>
          <w:tcPr>
            <w:tcW w:w="91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2472" w:hRule="atLeast"/>
        </w:trPr>
        <w:tc>
          <w:tcPr>
            <w:tcW w:w="598"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restart"/>
            <w:tcBorders>
              <w:top w:val="single" w:color="auto" w:sz="4" w:space="0"/>
              <w:left w:val="single" w:color="auto" w:sz="4"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（六）其他处理</w:t>
            </w:r>
          </w:p>
        </w:tc>
        <w:tc>
          <w:tcPr>
            <w:tcW w:w="1669" w:type="dxa"/>
            <w:tcBorders>
              <w:top w:val="single" w:color="auto" w:sz="4" w:space="0"/>
              <w:left w:val="single" w:color="000000" w:sz="8" w:space="0"/>
              <w:bottom w:val="single" w:color="auto" w:sz="4" w:space="0"/>
              <w:right w:val="single" w:color="auto" w:sz="4" w:space="0"/>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1、申请人无正当理由逾期不补正、行政机关不再处理其政府信息公开申请 </w:t>
            </w:r>
          </w:p>
        </w:tc>
        <w:tc>
          <w:tcPr>
            <w:tcW w:w="918" w:type="dxa"/>
            <w:tcBorders>
              <w:top w:val="nil"/>
              <w:left w:val="single" w:color="auto" w:sz="4"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nil"/>
              <w:left w:val="single" w:color="000000" w:sz="8" w:space="0"/>
              <w:bottom w:val="single" w:color="000000" w:sz="6"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c>
          <w:tcPr>
            <w:tcW w:w="598"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single" w:color="auto" w:sz="4" w:space="0"/>
              <w:left w:val="single" w:color="auto" w:sz="4" w:space="0"/>
              <w:bottom w:val="double" w:color="C0C0C0" w:sz="6"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single" w:color="auto" w:sz="4"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2、申请人逾期未按收费通知要求缴纳费用、行政机关不再处理其政府信息公开申请</w:t>
            </w:r>
          </w:p>
        </w:tc>
        <w:tc>
          <w:tcPr>
            <w:tcW w:w="918" w:type="dxa"/>
            <w:tcBorders>
              <w:top w:val="single" w:color="000000" w:sz="6" w:space="0"/>
              <w:left w:val="single" w:color="000000" w:sz="6"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6" w:space="0"/>
              <w:left w:val="single" w:color="000000" w:sz="8" w:space="0"/>
              <w:bottom w:val="single" w:color="000000" w:sz="6"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757" w:hRule="atLeast"/>
        </w:trPr>
        <w:tc>
          <w:tcPr>
            <w:tcW w:w="598"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755" w:type="dxa"/>
            <w:vMerge w:val="continue"/>
            <w:tcBorders>
              <w:top w:val="nil"/>
              <w:left w:val="single" w:color="auto" w:sz="4" w:space="0"/>
              <w:bottom w:val="double" w:color="C0C0C0" w:sz="6"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1669" w:type="dxa"/>
            <w:tcBorders>
              <w:top w:val="double" w:color="C0C0C0" w:sz="6" w:space="0"/>
              <w:left w:val="single" w:color="000000" w:sz="8" w:space="0"/>
              <w:bottom w:val="double" w:color="C0C0C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3.其他</w:t>
            </w:r>
          </w:p>
        </w:tc>
        <w:tc>
          <w:tcPr>
            <w:tcW w:w="918"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6"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4"/>
                <w:szCs w:val="24"/>
              </w:rPr>
            </w:pPr>
          </w:p>
        </w:tc>
        <w:tc>
          <w:tcPr>
            <w:tcW w:w="2424" w:type="dxa"/>
            <w:gridSpan w:val="2"/>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（七）总计</w:t>
            </w:r>
          </w:p>
        </w:tc>
        <w:tc>
          <w:tcPr>
            <w:tcW w:w="91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3022" w:type="dxa"/>
            <w:gridSpan w:val="3"/>
            <w:tcBorders>
              <w:top w:val="single" w:color="000000" w:sz="8" w:space="0"/>
              <w:left w:val="single" w:color="auto" w:sz="4"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四、结转下年度继续办理</w:t>
            </w:r>
          </w:p>
        </w:tc>
        <w:tc>
          <w:tcPr>
            <w:tcW w:w="918"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88"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75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19"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90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43"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c>
          <w:tcPr>
            <w:tcW w:w="825" w:type="dxa"/>
            <w:tcBorders>
              <w:top w:val="single" w:color="000000" w:sz="8" w:space="0"/>
              <w:left w:val="single" w:color="000000" w:sz="8" w:space="0"/>
              <w:bottom w:val="single" w:color="auto" w:sz="4"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lang w:val="en-US" w:eastAsia="zh-CN"/>
              </w:rPr>
            </w:pPr>
            <w:r>
              <w:rPr>
                <w:rFonts w:hint="eastAsia" w:ascii="宋体" w:hAnsi="宋体" w:eastAsia="宋体" w:cs="宋体"/>
                <w:color w:val="434343"/>
                <w:sz w:val="24"/>
                <w:szCs w:val="24"/>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tbl>
      <w:tblPr>
        <w:tblStyle w:val="6"/>
        <w:tblW w:w="9750" w:type="dxa"/>
        <w:tblInd w:w="0" w:type="dxa"/>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22"/>
        <w:gridCol w:w="675"/>
        <w:gridCol w:w="693"/>
        <w:gridCol w:w="675"/>
        <w:gridCol w:w="675"/>
        <w:gridCol w:w="675"/>
        <w:gridCol w:w="638"/>
        <w:gridCol w:w="731"/>
        <w:gridCol w:w="675"/>
        <w:gridCol w:w="638"/>
        <w:gridCol w:w="637"/>
        <w:gridCol w:w="656"/>
        <w:gridCol w:w="619"/>
        <w:gridCol w:w="656"/>
        <w:gridCol w:w="485"/>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1" w:hRule="atLeast"/>
        </w:trPr>
        <w:tc>
          <w:tcPr>
            <w:tcW w:w="3340" w:type="dxa"/>
            <w:gridSpan w:val="5"/>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行政复议</w:t>
            </w:r>
          </w:p>
        </w:tc>
        <w:tc>
          <w:tcPr>
            <w:tcW w:w="6410" w:type="dxa"/>
            <w:gridSpan w:val="10"/>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行政诉讼</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22"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结果维持</w:t>
            </w:r>
          </w:p>
        </w:tc>
        <w:tc>
          <w:tcPr>
            <w:tcW w:w="675"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结果纠正</w:t>
            </w:r>
          </w:p>
        </w:tc>
        <w:tc>
          <w:tcPr>
            <w:tcW w:w="693"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其他结果</w:t>
            </w:r>
          </w:p>
        </w:tc>
        <w:tc>
          <w:tcPr>
            <w:tcW w:w="675"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尚未审结</w:t>
            </w:r>
          </w:p>
        </w:tc>
        <w:tc>
          <w:tcPr>
            <w:tcW w:w="675"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总计</w:t>
            </w:r>
          </w:p>
        </w:tc>
        <w:tc>
          <w:tcPr>
            <w:tcW w:w="3357" w:type="dxa"/>
            <w:gridSpan w:val="5"/>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未经复议直接起诉</w:t>
            </w:r>
          </w:p>
        </w:tc>
        <w:tc>
          <w:tcPr>
            <w:tcW w:w="3053" w:type="dxa"/>
            <w:gridSpan w:val="5"/>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复议后起诉</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c>
          <w:tcPr>
            <w:tcW w:w="622"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4"/>
                <w:szCs w:val="24"/>
              </w:rPr>
            </w:pPr>
          </w:p>
        </w:tc>
        <w:tc>
          <w:tcPr>
            <w:tcW w:w="675"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4"/>
                <w:szCs w:val="24"/>
              </w:rPr>
            </w:pPr>
          </w:p>
        </w:tc>
        <w:tc>
          <w:tcPr>
            <w:tcW w:w="69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4"/>
                <w:szCs w:val="24"/>
              </w:rPr>
            </w:pPr>
          </w:p>
        </w:tc>
        <w:tc>
          <w:tcPr>
            <w:tcW w:w="67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4"/>
                <w:szCs w:val="24"/>
              </w:rPr>
            </w:pPr>
          </w:p>
        </w:tc>
        <w:tc>
          <w:tcPr>
            <w:tcW w:w="67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4"/>
                <w:szCs w:val="24"/>
              </w:rPr>
            </w:pP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结果维持</w:t>
            </w:r>
          </w:p>
        </w:tc>
        <w:tc>
          <w:tcPr>
            <w:tcW w:w="63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结果纠正</w:t>
            </w:r>
          </w:p>
        </w:tc>
        <w:tc>
          <w:tcPr>
            <w:tcW w:w="731"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其他结果</w:t>
            </w:r>
          </w:p>
        </w:tc>
        <w:tc>
          <w:tcPr>
            <w:tcW w:w="67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尚未审结</w:t>
            </w:r>
          </w:p>
        </w:tc>
        <w:tc>
          <w:tcPr>
            <w:tcW w:w="63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总计</w:t>
            </w:r>
          </w:p>
        </w:tc>
        <w:tc>
          <w:tcPr>
            <w:tcW w:w="637"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结果维持</w:t>
            </w:r>
          </w:p>
        </w:tc>
        <w:tc>
          <w:tcPr>
            <w:tcW w:w="656"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结果纠正</w:t>
            </w:r>
          </w:p>
        </w:tc>
        <w:tc>
          <w:tcPr>
            <w:tcW w:w="6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其他结果</w:t>
            </w:r>
          </w:p>
        </w:tc>
        <w:tc>
          <w:tcPr>
            <w:tcW w:w="656"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尚未审结</w:t>
            </w:r>
          </w:p>
        </w:tc>
        <w:tc>
          <w:tcPr>
            <w:tcW w:w="48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91" w:hRule="atLeast"/>
        </w:trPr>
        <w:tc>
          <w:tcPr>
            <w:tcW w:w="622"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9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3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731"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3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37"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56"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656"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c>
          <w:tcPr>
            <w:tcW w:w="48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4"/>
                <w:szCs w:val="24"/>
              </w:rPr>
            </w:pPr>
            <w:r>
              <w:rPr>
                <w:rFonts w:hint="eastAsia" w:ascii="宋体" w:hAnsi="宋体" w:eastAsia="宋体" w:cs="宋体"/>
                <w:i w:val="0"/>
                <w:iCs w:val="0"/>
                <w:caps w:val="0"/>
                <w:color w:val="434343"/>
                <w:spacing w:val="0"/>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Calibri" w:hAnsi="Calibri" w:cs="Calibri"/>
          <w:i w:val="0"/>
          <w:iCs w:val="0"/>
          <w:caps w:val="0"/>
          <w:color w:val="666666"/>
          <w:spacing w:val="0"/>
          <w:sz w:val="24"/>
          <w:szCs w:val="24"/>
        </w:rPr>
      </w:pPr>
      <w:r>
        <w:rPr>
          <w:rFonts w:ascii="仿宋_GB2312" w:hAnsi="仿宋" w:eastAsia="仿宋_GB2312" w:cs="仿宋_GB2312"/>
          <w:i w:val="0"/>
          <w:iCs w:val="0"/>
          <w:caps w:val="0"/>
          <w:color w:val="333333"/>
          <w:spacing w:val="0"/>
          <w:sz w:val="32"/>
          <w:szCs w:val="32"/>
          <w:shd w:val="clear" w:fill="FFFFFF"/>
        </w:rPr>
        <w:t>我</w:t>
      </w:r>
      <w:r>
        <w:rPr>
          <w:rFonts w:hint="eastAsia" w:ascii="仿宋_GB2312" w:hAnsi="仿宋" w:eastAsia="仿宋_GB2312" w:cs="仿宋_GB2312"/>
          <w:i w:val="0"/>
          <w:iCs w:val="0"/>
          <w:caps w:val="0"/>
          <w:color w:val="333333"/>
          <w:spacing w:val="0"/>
          <w:sz w:val="32"/>
          <w:szCs w:val="32"/>
          <w:shd w:val="clear" w:fill="FFFFFF"/>
        </w:rPr>
        <w:t>局的政府信息公开工作虽然取得了一定成效，但与公众日益增长的交通信息需求还存在差距。主要是对政策解读、重点工作的系统性宣传有待进一步加强，信息公开内容有待于进一步规范；公开形式不够丰富，内容仍需要深入细化；一些政府信息公开不够及时，在公开信息的主动性上还需进一步加强；对所属单位政府信息公开的指导力度不够等。我局将坚持以公开为常态、不公开为例外的原则，进一步加强政府信息公开工作，强化推进决策公开、执行公开、管理公开、服务公开、结果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i w:val="0"/>
          <w:iCs w:val="0"/>
          <w:caps w:val="0"/>
          <w:color w:val="666666"/>
          <w:spacing w:val="0"/>
          <w:sz w:val="24"/>
          <w:szCs w:val="24"/>
        </w:rPr>
      </w:pPr>
      <w:r>
        <w:rPr>
          <w:rFonts w:hint="eastAsia" w:ascii="仿宋_GB2312" w:hAnsi="仿宋" w:eastAsia="仿宋_GB2312" w:cs="仿宋_GB2312"/>
          <w:b/>
          <w:bCs/>
          <w:i w:val="0"/>
          <w:iCs w:val="0"/>
          <w:caps w:val="0"/>
          <w:color w:val="333333"/>
          <w:spacing w:val="0"/>
          <w:sz w:val="32"/>
          <w:szCs w:val="32"/>
          <w:shd w:val="clear" w:fill="FFFFFF"/>
        </w:rPr>
        <w:t>一是深化交通重点领域信息公开。</w:t>
      </w:r>
      <w:r>
        <w:rPr>
          <w:rFonts w:hint="eastAsia" w:ascii="仿宋_GB2312" w:hAnsi="仿宋" w:eastAsia="仿宋_GB2312" w:cs="仿宋_GB2312"/>
          <w:i w:val="0"/>
          <w:iCs w:val="0"/>
          <w:caps w:val="0"/>
          <w:color w:val="333333"/>
          <w:spacing w:val="0"/>
          <w:sz w:val="32"/>
          <w:szCs w:val="32"/>
          <w:shd w:val="clear" w:fill="FFFFFF"/>
        </w:rPr>
        <w:t>结合交通运输实际，加大推进权责清单、市场准入负面清单、工程建设、财政资金、人事信息、政策解读、行政执法、行政许可、民生实事等重点领域信息公开力度，切实提升公开质量和实效，更好地服务经济社会发展和民生改善。适当调整完善重点领域信息公开工作机制，进一步落实信息公开责任，不断提高重点领域信息公开的时效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 w:eastAsia="仿宋_GB2312" w:cs="仿宋_GB2312"/>
          <w:i w:val="0"/>
          <w:iCs w:val="0"/>
          <w:caps w:val="0"/>
          <w:color w:val="333333"/>
          <w:spacing w:val="0"/>
          <w:sz w:val="32"/>
          <w:szCs w:val="32"/>
          <w:shd w:val="clear" w:fill="FFFFFF"/>
        </w:rPr>
      </w:pPr>
      <w:r>
        <w:rPr>
          <w:rFonts w:hint="eastAsia" w:ascii="仿宋_GB2312" w:hAnsi="仿宋" w:eastAsia="仿宋_GB2312" w:cs="仿宋_GB2312"/>
          <w:b/>
          <w:bCs/>
          <w:i w:val="0"/>
          <w:iCs w:val="0"/>
          <w:caps w:val="0"/>
          <w:color w:val="333333"/>
          <w:spacing w:val="0"/>
          <w:sz w:val="32"/>
          <w:szCs w:val="32"/>
          <w:shd w:val="clear" w:fill="FFFFFF"/>
        </w:rPr>
        <w:t>二是加大信息公开工作指导力度。</w:t>
      </w:r>
      <w:r>
        <w:rPr>
          <w:rFonts w:hint="eastAsia" w:ascii="仿宋_GB2312" w:hAnsi="仿宋" w:eastAsia="仿宋_GB2312" w:cs="仿宋_GB2312"/>
          <w:i w:val="0"/>
          <w:iCs w:val="0"/>
          <w:caps w:val="0"/>
          <w:color w:val="333333"/>
          <w:spacing w:val="0"/>
          <w:sz w:val="32"/>
          <w:szCs w:val="32"/>
          <w:shd w:val="clear" w:fill="FFFFFF"/>
        </w:rPr>
        <w:t>坚持以人为本、服务为先，加大对所属单位政府信息公开工作指导力度，将群众工作的理念、立场、方法与政府信息公开工作相融合，多方式多渠道回应群众的政府信息申请。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sz w:val="32"/>
          <w:szCs w:val="32"/>
        </w:rPr>
      </w:pPr>
      <w:r>
        <w:rPr>
          <w:rFonts w:hint="eastAsia" w:ascii="仿宋_GB2312" w:hAnsi="仿宋" w:eastAsia="仿宋_GB2312" w:cs="仿宋_GB2312"/>
          <w:b/>
          <w:bCs/>
          <w:i w:val="0"/>
          <w:iCs w:val="0"/>
          <w:caps w:val="0"/>
          <w:color w:val="333333"/>
          <w:spacing w:val="0"/>
          <w:sz w:val="32"/>
          <w:szCs w:val="32"/>
          <w:shd w:val="clear" w:fill="FFFFFF"/>
        </w:rPr>
        <w:t>三是加强信息公开制度建设。</w:t>
      </w:r>
      <w:r>
        <w:rPr>
          <w:rFonts w:hint="eastAsia" w:ascii="仿宋_GB2312" w:hAnsi="仿宋" w:eastAsia="仿宋_GB2312" w:cs="仿宋_GB2312"/>
          <w:i w:val="0"/>
          <w:iCs w:val="0"/>
          <w:caps w:val="0"/>
          <w:color w:val="333333"/>
          <w:spacing w:val="0"/>
          <w:sz w:val="32"/>
          <w:szCs w:val="32"/>
          <w:shd w:val="clear" w:fill="FFFFFF"/>
        </w:rPr>
        <w:t>深化落实好《中华人民共和国政府信息公开条例》和政府信息公开相关文件精神，完善信息公开制度，明确职责分工，丰富方法手段，不断提升信息公开工作整体水平。</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 w:eastAsia="仿宋_GB2312" w:cs="仿宋_GB2312"/>
          <w:i w:val="0"/>
          <w:iCs w:val="0"/>
          <w:caps w:val="0"/>
          <w:color w:val="333333"/>
          <w:spacing w:val="0"/>
          <w:kern w:val="0"/>
          <w:sz w:val="32"/>
          <w:szCs w:val="32"/>
          <w:shd w:val="clear" w:fill="FFFFFF"/>
          <w:lang w:val="en-US" w:eastAsia="zh-CN" w:bidi="ar"/>
        </w:rPr>
        <w:t>　无其他需要报告的事项。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580" w:lineRule="exact"/>
        <w:ind w:firstLine="3150" w:firstLineChars="1500"/>
        <w:textAlignment w:val="auto"/>
        <w:rPr>
          <w:rFonts w:hint="default" w:ascii="仿宋_GB2312" w:hAnsi="仿宋_GB2312" w:eastAsia="仿宋_GB2312" w:cs="仿宋_GB2312"/>
          <w:sz w:val="32"/>
          <w:szCs w:val="32"/>
          <w:lang w:val="en-US" w:eastAsia="zh-CN"/>
        </w:rPr>
      </w:pPr>
      <w:r>
        <w:rPr>
          <w:rFonts w:hint="eastAsia"/>
          <w:lang w:eastAsia="zh-CN"/>
        </w:rPr>
        <w:tab/>
      </w:r>
      <w:r>
        <w:rPr>
          <w:rFonts w:hint="eastAsia"/>
          <w:lang w:val="en-US" w:eastAsia="zh-CN"/>
        </w:rPr>
        <w:t xml:space="preserve">       </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B4D46"/>
    <w:multiLevelType w:val="singleLevel"/>
    <w:tmpl w:val="E59B4D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45110"/>
    <w:rsid w:val="04545110"/>
    <w:rsid w:val="050A0CA7"/>
    <w:rsid w:val="1B59258C"/>
    <w:rsid w:val="1E1F312D"/>
    <w:rsid w:val="28130EBD"/>
    <w:rsid w:val="2BDD5BA1"/>
    <w:rsid w:val="2F737F52"/>
    <w:rsid w:val="3D782C24"/>
    <w:rsid w:val="40CD6829"/>
    <w:rsid w:val="46741E18"/>
    <w:rsid w:val="4C6528AE"/>
    <w:rsid w:val="501707C9"/>
    <w:rsid w:val="573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2021-01-15T02:51:00Z</dcterms:created>
  <dc:creator>拿糖换媳妇吃</dc:creator>
  <cp:lastModifiedBy>Administrator</cp:lastModifiedBy>
  <cp:lastPrinted>2022-01-13T02:24:00Z</cp:lastPrinted>
  <dcterms:modified xsi:type="dcterms:W3CDTF">2022-01-26T02:27:17Z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8FF185B234814384BA8F777A2882B468</vt:lpwstr>
  </property>
</Properties>
</file>