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绥滨县交通运输局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2020年政府信息公开工作年度报告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一、总体情况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年度报告根据《中华人民共和国政府信息公开条例》要求，由</w:t>
      </w:r>
      <w:r>
        <w:rPr>
          <w:rFonts w:hint="eastAsia" w:ascii="仿宋_GB2312" w:hAnsi="仿宋_GB2312" w:eastAsia="仿宋_GB2312" w:cs="仿宋_GB2312"/>
          <w:sz w:val="32"/>
          <w:szCs w:val="32"/>
          <w:lang w:eastAsia="zh-CN"/>
        </w:rPr>
        <w:t>绥滨</w:t>
      </w:r>
      <w:r>
        <w:rPr>
          <w:rFonts w:hint="eastAsia" w:ascii="仿宋_GB2312" w:hAnsi="仿宋_GB2312" w:eastAsia="仿宋_GB2312" w:cs="仿宋_GB2312"/>
          <w:sz w:val="32"/>
          <w:szCs w:val="32"/>
        </w:rPr>
        <w:t>县交通运输局完成情况编制。本年度报告数据的统计期限为20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val="en-US" w:eastAsia="zh-CN"/>
        </w:rPr>
        <w:t>绥滨县交通运输局严格按照“公平、公正、便民”的总体原则和“及时、准确”的总体要求，把政府信息公开工作作为建设服务政府、透明政府、阳光政府的重要举措，切实推进政府信息公开工作。主要做了以下三方面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（一）加强领导，建立健全工作机制。</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局始终把政府信息公开作为加强和改进</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作风建设、提高机关工作效能的一项重要的工作来抓，成立了以局长为组长的政府信息公开领导小组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并根据人员变动，及时对局政府信息公开工作领导小组人员进行调整充实，健全领导机制，确保本单位政府信息工作有序开展。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（二）规范内容，提高政务信息质量。</w:t>
      </w:r>
      <w:r>
        <w:rPr>
          <w:rFonts w:hint="eastAsia" w:ascii="仿宋_GB2312" w:hAnsi="仿宋_GB2312" w:eastAsia="仿宋_GB2312" w:cs="仿宋_GB2312"/>
          <w:sz w:val="32"/>
          <w:szCs w:val="32"/>
          <w:lang w:val="en-US" w:eastAsia="zh-CN"/>
        </w:rPr>
        <w:t>主要做法：一是公开的内容更加充实。我局对政府信息公开的范围、政府信息公开的内容、政府信息公开的形式、政府信息公开的制度等作了进一步的明确，按照组织健全、制度严密、标准统一、运作规范的要求,全面做好政府信息公开内容的补充以及已公开内容的删补。二是公开的时间更加及时。针对公开项目的不同情况，确定公开时间，做到常规性工作定期公开，临时性工作随时公开，固定性工作长期公开，通过政府信息公开网站及时公开交通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w:t>
      </w:r>
      <w:r>
        <w:rPr>
          <w:rFonts w:hint="eastAsia" w:ascii="楷体" w:hAnsi="楷体" w:eastAsia="楷体" w:cs="楷体"/>
          <w:sz w:val="32"/>
          <w:szCs w:val="32"/>
          <w:lang w:val="en-US" w:eastAsia="zh-CN"/>
        </w:rPr>
        <w:t>加强交通建设市场信息公开。</w:t>
      </w:r>
      <w:r>
        <w:rPr>
          <w:rFonts w:hint="eastAsia" w:ascii="仿宋_GB2312" w:hAnsi="仿宋_GB2312" w:eastAsia="仿宋_GB2312" w:cs="仿宋_GB2312"/>
          <w:sz w:val="32"/>
          <w:szCs w:val="32"/>
        </w:rPr>
        <w:t>项目招标阶段，需在中国招标投标公共服务平台、黑龙江公共资源交易网及鹤岗市公共资源交易中心上发布招标公告并公示中标候选人。在建设阶段实行项目公示制，项目单位在施工现场设立告示牌，将项目实施的时间、规模、技术标准、施工单位、监理单位、监督单位向群众公示。在验收阶段，建设单位需在项目所在地公示验收信息等，充分营造公开透明的市场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年1-1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月份，我局交通行政窗口办理行政许可</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件，交通运输违章处罚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件，交通运输违章罚款</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二、主动公开政府信息情况</w:t>
      </w:r>
    </w:p>
    <w:tbl>
      <w:tblPr>
        <w:tblStyle w:val="6"/>
        <w:tblpPr w:leftFromText="180" w:rightFromText="180" w:vertAnchor="text" w:horzAnchor="page" w:tblpX="1620" w:tblpY="173"/>
        <w:tblOverlap w:val="never"/>
        <w:tblW w:w="8802" w:type="dxa"/>
        <w:tblInd w:w="0" w:type="dxa"/>
        <w:shd w:val="clear" w:color="auto" w:fill="auto"/>
        <w:tblLayout w:type="autofit"/>
        <w:tblCellMar>
          <w:top w:w="15" w:type="dxa"/>
          <w:left w:w="15" w:type="dxa"/>
          <w:bottom w:w="15" w:type="dxa"/>
          <w:right w:w="15" w:type="dxa"/>
        </w:tblCellMar>
      </w:tblPr>
      <w:tblGrid>
        <w:gridCol w:w="3114"/>
        <w:gridCol w:w="1875"/>
        <w:gridCol w:w="6"/>
        <w:gridCol w:w="1265"/>
        <w:gridCol w:w="2542"/>
      </w:tblGrid>
      <w:tr>
        <w:tblPrEx>
          <w:shd w:val="clear" w:color="auto" w:fill="auto"/>
          <w:tblCellMar>
            <w:top w:w="15" w:type="dxa"/>
            <w:left w:w="15" w:type="dxa"/>
            <w:bottom w:w="15" w:type="dxa"/>
            <w:right w:w="15" w:type="dxa"/>
          </w:tblCellMar>
        </w:tblPrEx>
        <w:trPr>
          <w:trHeight w:val="680" w:hRule="atLeast"/>
        </w:trPr>
        <w:tc>
          <w:tcPr>
            <w:tcW w:w="8802"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第二十条第（一）项</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kern w:val="0"/>
                <w:sz w:val="20"/>
                <w:szCs w:val="20"/>
                <w:lang w:val="en-US" w:eastAsia="zh-CN" w:bidi="ar"/>
              </w:rPr>
              <w:t>公开数量</w:t>
            </w:r>
          </w:p>
        </w:tc>
        <w:tc>
          <w:tcPr>
            <w:tcW w:w="254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对外公开总数量</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0</w:t>
            </w:r>
          </w:p>
        </w:tc>
        <w:tc>
          <w:tcPr>
            <w:tcW w:w="254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0</w:t>
            </w:r>
          </w:p>
        </w:tc>
        <w:tc>
          <w:tcPr>
            <w:tcW w:w="254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0</w:t>
            </w:r>
          </w:p>
        </w:tc>
      </w:tr>
      <w:tr>
        <w:tblPrEx>
          <w:tblCellMar>
            <w:top w:w="15" w:type="dxa"/>
            <w:left w:w="15" w:type="dxa"/>
            <w:bottom w:w="15" w:type="dxa"/>
            <w:right w:w="15" w:type="dxa"/>
          </w:tblCellMar>
        </w:tblPrEx>
        <w:trPr>
          <w:trHeight w:val="680" w:hRule="atLeast"/>
        </w:trPr>
        <w:tc>
          <w:tcPr>
            <w:tcW w:w="8802"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color w:val="000000"/>
                <w:kern w:val="0"/>
                <w:sz w:val="20"/>
                <w:szCs w:val="20"/>
                <w:lang w:val="en-US" w:eastAsia="zh-CN" w:bidi="ar"/>
              </w:rPr>
              <w:t>第二十条第（五）项</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本年增/减</w:t>
            </w:r>
          </w:p>
        </w:tc>
        <w:tc>
          <w:tcPr>
            <w:tcW w:w="254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处理决定数量</w:t>
            </w:r>
          </w:p>
        </w:tc>
      </w:tr>
      <w:tr>
        <w:tblPrEx>
          <w:tblCellMar>
            <w:top w:w="15" w:type="dxa"/>
            <w:left w:w="15" w:type="dxa"/>
            <w:bottom w:w="15" w:type="dxa"/>
            <w:right w:w="15" w:type="dxa"/>
          </w:tblCellMar>
        </w:tblPrEx>
        <w:trPr>
          <w:trHeight w:val="630" w:hRule="atLeast"/>
        </w:trPr>
        <w:tc>
          <w:tcPr>
            <w:tcW w:w="3114" w:type="dxa"/>
            <w:tcBorders>
              <w:top w:val="nil"/>
              <w:left w:val="single" w:color="auto" w:sz="8" w:space="0"/>
              <w:bottom w:val="single" w:color="auto" w:sz="4"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行政许可</w:t>
            </w:r>
          </w:p>
        </w:tc>
        <w:tc>
          <w:tcPr>
            <w:tcW w:w="1881" w:type="dxa"/>
            <w:gridSpan w:val="2"/>
            <w:tcBorders>
              <w:top w:val="nil"/>
              <w:left w:val="nil"/>
              <w:bottom w:val="single" w:color="auto" w:sz="4"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default" w:eastAsiaTheme="minorEastAsia"/>
                <w:lang w:val="en-US" w:eastAsia="zh-CN"/>
              </w:rPr>
            </w:pPr>
            <w:r>
              <w:rPr>
                <w:rFonts w:hint="eastAsia"/>
                <w:lang w:val="en-US" w:eastAsia="zh-CN"/>
              </w:rPr>
              <w:t>21</w:t>
            </w:r>
          </w:p>
        </w:tc>
        <w:tc>
          <w:tcPr>
            <w:tcW w:w="1265"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eastAsiaTheme="minorEastAsia"/>
                <w:lang w:val="en-US" w:eastAsia="zh-CN"/>
              </w:rPr>
            </w:pPr>
            <w:r>
              <w:rPr>
                <w:rFonts w:hint="eastAsia"/>
                <w:lang w:val="en-US" w:eastAsia="zh-CN"/>
              </w:rPr>
              <w:t>0</w:t>
            </w:r>
          </w:p>
        </w:tc>
        <w:tc>
          <w:tcPr>
            <w:tcW w:w="2542"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default"/>
                <w:lang w:val="en-US"/>
              </w:rPr>
            </w:pPr>
            <w:r>
              <w:rPr>
                <w:rFonts w:hint="eastAsia" w:ascii="宋体" w:hAnsi="宋体" w:eastAsia="宋体" w:cs="宋体"/>
                <w:kern w:val="0"/>
                <w:sz w:val="20"/>
                <w:szCs w:val="20"/>
                <w:lang w:val="en-US" w:eastAsia="zh-CN" w:bidi="ar"/>
              </w:rPr>
              <w:t>58</w:t>
            </w:r>
          </w:p>
        </w:tc>
      </w:tr>
      <w:tr>
        <w:tblPrEx>
          <w:tblCellMar>
            <w:top w:w="15" w:type="dxa"/>
            <w:left w:w="15" w:type="dxa"/>
            <w:bottom w:w="15" w:type="dxa"/>
            <w:right w:w="15" w:type="dxa"/>
          </w:tblCellMar>
        </w:tblPrEx>
        <w:trPr>
          <w:trHeight w:val="680" w:hRule="atLeast"/>
        </w:trPr>
        <w:tc>
          <w:tcPr>
            <w:tcW w:w="3114" w:type="dxa"/>
            <w:tcBorders>
              <w:top w:val="single" w:color="auto" w:sz="4" w:space="0"/>
              <w:left w:val="single" w:color="auto" w:sz="4" w:space="0"/>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其他对外管理服务事项</w:t>
            </w:r>
          </w:p>
        </w:tc>
        <w:tc>
          <w:tcPr>
            <w:tcW w:w="1881" w:type="dxa"/>
            <w:gridSpan w:val="2"/>
            <w:tcBorders>
              <w:top w:val="single" w:color="auto" w:sz="4" w:space="0"/>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0</w:t>
            </w:r>
          </w:p>
        </w:tc>
        <w:tc>
          <w:tcPr>
            <w:tcW w:w="1265"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0</w:t>
            </w:r>
          </w:p>
        </w:tc>
        <w:tc>
          <w:tcPr>
            <w:tcW w:w="2542" w:type="dxa"/>
            <w:tcBorders>
              <w:top w:val="single" w:color="auto" w:sz="4" w:space="0"/>
              <w:left w:val="nil"/>
              <w:bottom w:val="single" w:color="auto" w:sz="8" w:space="0"/>
              <w:right w:val="single" w:color="auto" w:sz="4"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0</w:t>
            </w:r>
          </w:p>
        </w:tc>
      </w:tr>
      <w:tr>
        <w:tblPrEx>
          <w:tblCellMar>
            <w:top w:w="15" w:type="dxa"/>
            <w:left w:w="15" w:type="dxa"/>
            <w:bottom w:w="15" w:type="dxa"/>
            <w:right w:w="15" w:type="dxa"/>
          </w:tblCellMar>
        </w:tblPrEx>
        <w:trPr>
          <w:trHeight w:val="680" w:hRule="atLeast"/>
        </w:trPr>
        <w:tc>
          <w:tcPr>
            <w:tcW w:w="8802" w:type="dxa"/>
            <w:gridSpan w:val="5"/>
            <w:tcBorders>
              <w:top w:val="nil"/>
              <w:left w:val="single" w:color="auto" w:sz="4" w:space="0"/>
              <w:bottom w:val="single" w:color="auto" w:sz="8" w:space="0"/>
              <w:right w:val="single" w:color="auto" w:sz="4"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第二十条第（六）项</w:t>
            </w:r>
          </w:p>
        </w:tc>
      </w:tr>
      <w:tr>
        <w:tblPrEx>
          <w:tblCellMar>
            <w:top w:w="15" w:type="dxa"/>
            <w:left w:w="15" w:type="dxa"/>
            <w:bottom w:w="15" w:type="dxa"/>
            <w:right w:w="15" w:type="dxa"/>
          </w:tblCellMar>
        </w:tblPrEx>
        <w:trPr>
          <w:trHeight w:val="680" w:hRule="atLeast"/>
        </w:trPr>
        <w:tc>
          <w:tcPr>
            <w:tcW w:w="3114" w:type="dxa"/>
            <w:tcBorders>
              <w:top w:val="nil"/>
              <w:left w:val="single" w:color="auto" w:sz="4"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本年增/减</w:t>
            </w:r>
          </w:p>
        </w:tc>
        <w:tc>
          <w:tcPr>
            <w:tcW w:w="2542" w:type="dxa"/>
            <w:tcBorders>
              <w:top w:val="nil"/>
              <w:left w:val="nil"/>
              <w:bottom w:val="single" w:color="auto" w:sz="8" w:space="0"/>
              <w:right w:val="single" w:color="auto" w:sz="4"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处理决定数量</w:t>
            </w:r>
          </w:p>
        </w:tc>
      </w:tr>
      <w:tr>
        <w:tblPrEx>
          <w:tblCellMar>
            <w:top w:w="15" w:type="dxa"/>
            <w:left w:w="15" w:type="dxa"/>
            <w:bottom w:w="15" w:type="dxa"/>
            <w:right w:w="15" w:type="dxa"/>
          </w:tblCellMar>
        </w:tblPrEx>
        <w:trPr>
          <w:trHeight w:val="680" w:hRule="atLeast"/>
        </w:trPr>
        <w:tc>
          <w:tcPr>
            <w:tcW w:w="3114" w:type="dxa"/>
            <w:tcBorders>
              <w:top w:val="nil"/>
              <w:left w:val="single" w:color="auto" w:sz="4" w:space="0"/>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default" w:eastAsiaTheme="minorEastAsia"/>
                <w:lang w:val="en-US" w:eastAsia="zh-CN"/>
              </w:rPr>
            </w:pPr>
            <w:r>
              <w:rPr>
                <w:rFonts w:hint="eastAsia"/>
                <w:lang w:val="en-US" w:eastAsia="zh-CN"/>
              </w:rPr>
              <w:t>100</w:t>
            </w:r>
          </w:p>
        </w:tc>
        <w:tc>
          <w:tcPr>
            <w:tcW w:w="126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eastAsiaTheme="minorEastAsia"/>
                <w:lang w:val="en-US" w:eastAsia="zh-CN"/>
              </w:rPr>
            </w:pPr>
            <w:r>
              <w:rPr>
                <w:rFonts w:hint="eastAsia"/>
                <w:lang w:val="en-US" w:eastAsia="zh-CN"/>
              </w:rPr>
              <w:t>0</w:t>
            </w:r>
          </w:p>
        </w:tc>
        <w:tc>
          <w:tcPr>
            <w:tcW w:w="2542" w:type="dxa"/>
            <w:tcBorders>
              <w:top w:val="nil"/>
              <w:left w:val="nil"/>
              <w:bottom w:val="single" w:color="auto" w:sz="8" w:space="0"/>
              <w:right w:val="single" w:color="auto" w:sz="4"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1</w:t>
            </w:r>
          </w:p>
        </w:tc>
      </w:tr>
      <w:tr>
        <w:tblPrEx>
          <w:tblCellMar>
            <w:top w:w="15" w:type="dxa"/>
            <w:left w:w="15" w:type="dxa"/>
            <w:bottom w:w="15" w:type="dxa"/>
            <w:right w:w="15" w:type="dxa"/>
          </w:tblCellMar>
        </w:tblPrEx>
        <w:trPr>
          <w:trHeight w:val="680" w:hRule="atLeast"/>
        </w:trPr>
        <w:tc>
          <w:tcPr>
            <w:tcW w:w="3114" w:type="dxa"/>
            <w:tcBorders>
              <w:top w:val="nil"/>
              <w:left w:val="single" w:color="auto" w:sz="4" w:space="0"/>
              <w:bottom w:val="single" w:color="auto" w:sz="4"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行政强制</w:t>
            </w:r>
          </w:p>
        </w:tc>
        <w:tc>
          <w:tcPr>
            <w:tcW w:w="1881" w:type="dxa"/>
            <w:gridSpan w:val="2"/>
            <w:tcBorders>
              <w:top w:val="nil"/>
              <w:left w:val="nil"/>
              <w:bottom w:val="single" w:color="auto" w:sz="4"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default" w:eastAsiaTheme="minorEastAsia"/>
                <w:lang w:val="en-US" w:eastAsia="zh-CN"/>
              </w:rPr>
            </w:pPr>
            <w:r>
              <w:rPr>
                <w:rFonts w:hint="eastAsia"/>
                <w:lang w:val="en-US" w:eastAsia="zh-CN"/>
              </w:rPr>
              <w:t>10</w:t>
            </w:r>
          </w:p>
        </w:tc>
        <w:tc>
          <w:tcPr>
            <w:tcW w:w="1265"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eastAsiaTheme="minorEastAsia"/>
                <w:lang w:val="en-US" w:eastAsia="zh-CN"/>
              </w:rPr>
            </w:pPr>
            <w:r>
              <w:rPr>
                <w:rFonts w:hint="eastAsia"/>
                <w:lang w:val="en-US" w:eastAsia="zh-CN"/>
              </w:rPr>
              <w:t>0</w:t>
            </w:r>
          </w:p>
        </w:tc>
        <w:tc>
          <w:tcPr>
            <w:tcW w:w="2542" w:type="dxa"/>
            <w:tcBorders>
              <w:top w:val="nil"/>
              <w:left w:val="nil"/>
              <w:bottom w:val="single" w:color="auto" w:sz="4" w:space="0"/>
              <w:right w:val="single" w:color="auto" w:sz="4"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0</w:t>
            </w:r>
          </w:p>
        </w:tc>
      </w:tr>
      <w:tr>
        <w:tblPrEx>
          <w:tblCellMar>
            <w:top w:w="15" w:type="dxa"/>
            <w:left w:w="15" w:type="dxa"/>
            <w:bottom w:w="15" w:type="dxa"/>
            <w:right w:w="15" w:type="dxa"/>
          </w:tblCellMar>
        </w:tblPrEx>
        <w:trPr>
          <w:trHeight w:val="680" w:hRule="atLeast"/>
        </w:trPr>
        <w:tc>
          <w:tcPr>
            <w:tcW w:w="8802" w:type="dxa"/>
            <w:gridSpan w:val="5"/>
            <w:tcBorders>
              <w:top w:val="single" w:color="auto" w:sz="4"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第二十条第（八）项</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上一年项目数量</w:t>
            </w:r>
          </w:p>
        </w:tc>
        <w:tc>
          <w:tcPr>
            <w:tcW w:w="3807"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本年增/减</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3807"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trHeight w:val="680" w:hRule="atLeast"/>
        </w:trPr>
        <w:tc>
          <w:tcPr>
            <w:tcW w:w="8802"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第二十条第（九）项</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采购项目数量</w:t>
            </w:r>
          </w:p>
        </w:tc>
        <w:tc>
          <w:tcPr>
            <w:tcW w:w="3807" w:type="dxa"/>
            <w:gridSpan w:val="2"/>
            <w:tcBorders>
              <w:top w:val="single" w:color="auto" w:sz="8" w:space="0"/>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采购总金额</w:t>
            </w:r>
          </w:p>
        </w:tc>
      </w:tr>
      <w:tr>
        <w:tblPrEx>
          <w:tblCellMar>
            <w:top w:w="15" w:type="dxa"/>
            <w:left w:w="15" w:type="dxa"/>
            <w:bottom w:w="15" w:type="dxa"/>
            <w:right w:w="15" w:type="dxa"/>
          </w:tblCellMar>
        </w:tblPrEx>
        <w:trPr>
          <w:trHeight w:val="680" w:hRule="atLeast"/>
        </w:trPr>
        <w:tc>
          <w:tcPr>
            <w:tcW w:w="3114"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0</w:t>
            </w:r>
          </w:p>
        </w:tc>
        <w:tc>
          <w:tcPr>
            <w:tcW w:w="3807" w:type="dxa"/>
            <w:gridSpan w:val="2"/>
            <w:tcBorders>
              <w:top w:val="nil"/>
              <w:left w:val="nil"/>
              <w:bottom w:val="single" w:color="auto" w:sz="8" w:space="0"/>
              <w:right w:val="single" w:color="000000"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6"/>
        <w:tblW w:w="9071" w:type="dxa"/>
        <w:jc w:val="center"/>
        <w:shd w:val="clear" w:color="auto" w:fill="auto"/>
        <w:tblLayout w:type="autofit"/>
        <w:tblCellMar>
          <w:top w:w="15" w:type="dxa"/>
          <w:left w:w="15" w:type="dxa"/>
          <w:bottom w:w="15" w:type="dxa"/>
          <w:right w:w="15" w:type="dxa"/>
        </w:tblCellMar>
      </w:tblPr>
      <w:tblGrid>
        <w:gridCol w:w="494"/>
        <w:gridCol w:w="855"/>
        <w:gridCol w:w="2130"/>
        <w:gridCol w:w="825"/>
        <w:gridCol w:w="765"/>
        <w:gridCol w:w="765"/>
        <w:gridCol w:w="825"/>
        <w:gridCol w:w="990"/>
        <w:gridCol w:w="720"/>
        <w:gridCol w:w="702"/>
      </w:tblGrid>
      <w:tr>
        <w:tblPrEx>
          <w:shd w:val="clear" w:color="auto" w:fill="auto"/>
          <w:tblCellMar>
            <w:top w:w="15" w:type="dxa"/>
            <w:left w:w="15" w:type="dxa"/>
            <w:bottom w:w="15" w:type="dxa"/>
            <w:right w:w="15"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申请人情况</w:t>
            </w:r>
          </w:p>
        </w:tc>
      </w:tr>
      <w:tr>
        <w:tblPrEx>
          <w:tblCellMar>
            <w:top w:w="15" w:type="dxa"/>
            <w:left w:w="15" w:type="dxa"/>
            <w:bottom w:w="15" w:type="dxa"/>
            <w:right w:w="15"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总计</w:t>
            </w:r>
          </w:p>
        </w:tc>
      </w:tr>
      <w:tr>
        <w:tblPrEx>
          <w:tblCellMar>
            <w:top w:w="15" w:type="dxa"/>
            <w:left w:w="15" w:type="dxa"/>
            <w:bottom w:w="15" w:type="dxa"/>
            <w:right w:w="15"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商业企业</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科研机构</w:t>
            </w:r>
          </w:p>
        </w:tc>
        <w:tc>
          <w:tcPr>
            <w:tcW w:w="8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社会公益组织</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法律服务机构</w:t>
            </w:r>
          </w:p>
        </w:tc>
        <w:tc>
          <w:tcPr>
            <w:tcW w:w="7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pPr>
            <w:r>
              <w:rPr>
                <w:rFonts w:hint="eastAsia" w:ascii="宋体" w:hAnsi="宋体" w:eastAsia="宋体" w:cs="宋体"/>
                <w:kern w:val="0"/>
                <w:sz w:val="20"/>
                <w:szCs w:val="20"/>
                <w:lang w:val="en-US" w:eastAsia="zh-CN" w:bidi="ar"/>
              </w:rPr>
              <w:t>一、本年新收政府信息公开申请数量</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pPr>
            <w:r>
              <w:rPr>
                <w:rFonts w:hint="eastAsia" w:ascii="宋体" w:hAnsi="宋体" w:eastAsia="宋体" w:cs="宋体"/>
                <w:kern w:val="0"/>
                <w:sz w:val="20"/>
                <w:szCs w:val="20"/>
                <w:lang w:val="en-US" w:eastAsia="zh-CN" w:bidi="ar"/>
              </w:rPr>
              <w:t>二、上年结转政府信息公开申请数量</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restart"/>
            <w:tcBorders>
              <w:top w:val="single" w:color="auto" w:sz="4" w:space="0"/>
              <w:left w:val="single" w:color="auto" w:sz="4" w:space="0"/>
              <w:bottom w:val="single" w:color="auto" w:sz="8" w:space="0"/>
              <w:right w:val="single" w:color="auto" w:sz="4"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三、本年度办理结果</w:t>
            </w:r>
          </w:p>
        </w:tc>
        <w:tc>
          <w:tcPr>
            <w:tcW w:w="298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985" w:type="dxa"/>
            <w:gridSpan w:val="2"/>
            <w:tcBorders>
              <w:top w:val="single" w:color="auto" w:sz="4" w:space="0"/>
              <w:left w:val="nil"/>
              <w:bottom w:val="single" w:color="auto" w:sz="8" w:space="0"/>
              <w:right w:val="single" w:color="auto" w:sz="4"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4"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restart"/>
            <w:tcBorders>
              <w:top w:val="nil"/>
              <w:left w:val="nil"/>
              <w:bottom w:val="single" w:color="auto" w:sz="4"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2130"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single" w:color="auto" w:sz="4" w:space="0"/>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bookmarkStart w:id="0" w:name="_GoBack"/>
            <w:bookmarkEnd w:id="0"/>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494" w:type="dxa"/>
            <w:vMerge w:val="continue"/>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四、结转下年度继续办理</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8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7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firstLine="640" w:firstLineChars="200"/>
        <w:jc w:val="both"/>
        <w:rPr>
          <w:rFonts w:hint="eastAsia" w:ascii="黑体" w:hAnsi="黑体" w:eastAsia="黑体" w:cs="黑体"/>
          <w:b w:val="0"/>
          <w:bCs/>
          <w:sz w:val="32"/>
          <w:szCs w:val="32"/>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tbl>
      <w:tblPr>
        <w:tblStyle w:val="6"/>
        <w:tblW w:w="9071" w:type="dxa"/>
        <w:jc w:val="center"/>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复议后起诉</w:t>
            </w:r>
          </w:p>
        </w:tc>
      </w:tr>
      <w:tr>
        <w:tblPrEx>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0"/>
                <w:szCs w:val="20"/>
                <w:lang w:val="en-US" w:eastAsia="zh-CN" w:bidi="ar"/>
              </w:rPr>
              <w:t>总计</w:t>
            </w:r>
          </w:p>
        </w:tc>
      </w:tr>
      <w:tr>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pPr>
            <w:r>
              <w:rPr>
                <w:rFonts w:hint="eastAsia" w:ascii="宋体" w:hAnsi="宋体" w:eastAsia="宋体" w:cs="宋体"/>
                <w:kern w:val="0"/>
                <w:sz w:val="24"/>
                <w:szCs w:val="24"/>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存在问题：一是政府信息公开内容还不够全面，一些群众普遍关心的问题在公开的广度及深度上有待进一步加强。二是干部职工的政府信息公开意识还不够强。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改进情况：一是加大对政府信息公开工作的宣传力度。进一步统一思想，提高对政府信息公开工作重要性的认识，深刻领会政府信息公开工作对建设服务型、责任型、效率型和廉洁型政府的重要性，切实增强做好政府信息公开工作的积极性、主动性。二是加强业务培训。加强对全局干部职工政府信息公开的</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教育和督促检查，通过业务培训等方式，加强业务指导，加大政府信息公开工作推进力度。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下一步，我局将继续加大政府信息公开力度，增强工作的透明度和公开性，进一步拓展政府门户网站信息公开渠道，方便公众查阅政府信息，推动我局政府信息公开工作更上新台阶。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（一）继续强化权责清单管理与应用。以清单管理推动减权放权，各类清单及时向社会公开。深化单位权责清单公开工作，让公众了解放权情况。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加大推行“双随机、一公开”监管全覆盖。围绕年内实现“双随机、一公开”监管全覆盖要求，汇总形成并统一公布本单位随机抽查事项清单，明确抽查依据、主体、内容、方式等，及时公开抽查结果和查处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（三）大力推进“互联网＋政务服务。加快完善电子证照系统，促进行政审批服务全程网办，加快实体政务大厅与网上服务平台融合发展，让企业和群众办事更加便捷。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微软雅黑" w:hAnsi="微软雅黑" w:eastAsia="微软雅黑" w:cs="微软雅黑"/>
          <w:i w:val="0"/>
          <w:caps w:val="0"/>
          <w:color w:val="333333"/>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580" w:lineRule="exact"/>
        <w:ind w:firstLine="3360" w:firstLineChars="1600"/>
        <w:textAlignment w:val="auto"/>
        <w:rPr>
          <w:rFonts w:hint="eastAsia" w:ascii="仿宋_GB2312" w:hAnsi="仿宋_GB2312" w:eastAsia="仿宋_GB2312" w:cs="仿宋_GB2312"/>
          <w:sz w:val="32"/>
          <w:szCs w:val="32"/>
          <w:lang w:eastAsia="zh-CN"/>
        </w:rPr>
      </w:pPr>
      <w:r>
        <w:rPr>
          <w:rFonts w:hint="eastAsia"/>
          <w:lang w:eastAsia="zh-CN"/>
        </w:rPr>
        <w:tab/>
      </w:r>
      <w:r>
        <w:rPr>
          <w:rFonts w:hint="eastAsia"/>
          <w:lang w:val="en-US" w:eastAsia="zh-CN"/>
        </w:rPr>
        <w:t xml:space="preserve">         </w:t>
      </w:r>
      <w:r>
        <w:rPr>
          <w:rFonts w:hint="eastAsia" w:ascii="仿宋_GB2312" w:hAnsi="仿宋_GB2312" w:eastAsia="仿宋_GB2312" w:cs="仿宋_GB2312"/>
          <w:sz w:val="32"/>
          <w:szCs w:val="32"/>
          <w:lang w:eastAsia="zh-CN"/>
        </w:rPr>
        <w:t>绥滨县交通运输局</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2021年1月18日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45110"/>
    <w:rsid w:val="04545110"/>
    <w:rsid w:val="050A0CA7"/>
    <w:rsid w:val="1B59258C"/>
    <w:rsid w:val="28130EBD"/>
    <w:rsid w:val="2BDD5BA1"/>
    <w:rsid w:val="2F737F52"/>
    <w:rsid w:val="40CD6829"/>
    <w:rsid w:val="4C6528AE"/>
    <w:rsid w:val="573F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2021-01-15T02:51:00Z</dcterms:created>
  <dc:creator>拿糖换媳妇吃</dc:creator>
  <cp:lastModifiedBy>拿糖换媳妇吃</cp:lastModifiedBy>
  <cp:lastPrinted>2021-01-20T06:22:33Z</cp:lastPrinted>
  <dcterms:modified xsi:type="dcterms:W3CDTF">2021-01-20T06:25:13Z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