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top"/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绥滨县福兴满族乡人民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政府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2021年政府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信息公开工作年度报告</w:t>
      </w:r>
    </w:p>
    <w:p>
      <w:pPr>
        <w:pStyle w:val="5"/>
        <w:widowControl/>
        <w:shd w:val="clear" w:color="auto" w:fill="FFFFFF"/>
        <w:spacing w:before="376" w:beforeAutospacing="0" w:afterAutospacing="0" w:line="540" w:lineRule="atLeast"/>
        <w:textAlignment w:val="top"/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　</w:t>
      </w: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　一、总体情况</w:t>
      </w:r>
    </w:p>
    <w:p>
      <w:pPr>
        <w:pStyle w:val="5"/>
        <w:widowControl/>
        <w:shd w:val="clear" w:color="auto" w:fill="FFFFFF"/>
        <w:spacing w:before="376" w:beforeAutospacing="0" w:afterAutospacing="0" w:line="540" w:lineRule="atLeast"/>
        <w:ind w:firstLine="640" w:firstLineChars="200"/>
        <w:textAlignment w:val="top"/>
        <w:rPr>
          <w:rFonts w:ascii="仿宋" w:hAnsi="仿宋" w:eastAsia="仿宋" w:cs="Helvetica"/>
          <w:color w:val="333333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sz w:val="32"/>
          <w:szCs w:val="32"/>
        </w:rPr>
        <w:t>福兴乡始终坚持贯彻落实《中华人民共和国政府信息公开条例》,高度重视政务公开工作,成立了以</w:t>
      </w:r>
      <w:r>
        <w:rPr>
          <w:rFonts w:hint="eastAsia" w:ascii="仿宋" w:hAnsi="仿宋" w:eastAsia="仿宋" w:cs="Helvetica"/>
          <w:color w:val="333333"/>
          <w:sz w:val="32"/>
          <w:szCs w:val="32"/>
          <w:lang w:eastAsia="zh-CN"/>
        </w:rPr>
        <w:t>政府乡长</w:t>
      </w:r>
      <w:r>
        <w:rPr>
          <w:rFonts w:hint="eastAsia" w:ascii="仿宋" w:hAnsi="仿宋" w:eastAsia="仿宋" w:cs="Helvetica"/>
          <w:color w:val="333333"/>
          <w:sz w:val="32"/>
          <w:szCs w:val="32"/>
        </w:rPr>
        <w:t>为组长,分管副乡长为副组长的政务公开领导小组,并下设办公室,负责政务公开的指日常工作。确保政务公开不流于形式,健全预先审核和备案制度。严格履行由专职信息员初审后,将符合公开的信息报送分管领导审核,经主管领导签字把关手续,并对公开信息进行备案,确保政务公开各项工作落到实处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tabs>
          <w:tab w:val="left" w:pos="4515"/>
        </w:tabs>
        <w:ind w:firstLine="640" w:firstLineChars="200"/>
        <w:jc w:val="left"/>
        <w:rPr>
          <w:rFonts w:ascii="仿宋" w:hAnsi="仿宋" w:eastAsia="仿宋" w:cs="Helvetica"/>
          <w:color w:val="333333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hint="default" w:ascii="仿宋" w:hAnsi="仿宋" w:eastAsia="仿宋" w:cs="Helvetica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Helvetica"/>
          <w:color w:val="333333"/>
          <w:sz w:val="32"/>
          <w:szCs w:val="32"/>
          <w:lang w:val="en-US" w:eastAsia="zh-CN"/>
        </w:rPr>
        <w:t>2021年累计主动公开政府信息18条，福兴乡始终把信息公开作为服务社会的重要举措，在重视网络载体建设的同时，通过各种形式及时将工作动态与相关信息向社会发布，在信息发布机制上，以公开与保密相结合的原则，做到不因公开而造成泄密，也不因保密而不敢公开。工作动态信息由相关科室信息员及时提供，经办公室具体负责人进行初审，并由分管领导审签，层层把关，既实现了信息及时公开，又满足了信息保密的需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hint="eastAsia" w:ascii="仿宋" w:hAnsi="仿宋" w:eastAsia="仿宋" w:cs="Helvetica"/>
          <w:color w:val="333333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Helvetica"/>
          <w:color w:val="333333"/>
          <w:sz w:val="32"/>
          <w:szCs w:val="32"/>
        </w:rPr>
        <w:t>依申请公开政府信息情况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hint="eastAsia" w:ascii="仿宋" w:hAnsi="仿宋" w:eastAsia="仿宋" w:cs="Helvetica"/>
          <w:color w:val="333333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sz w:val="32"/>
          <w:szCs w:val="32"/>
        </w:rPr>
        <w:t>20</w:t>
      </w:r>
      <w:r>
        <w:rPr>
          <w:rFonts w:hint="eastAsia" w:ascii="仿宋" w:hAnsi="仿宋" w:eastAsia="仿宋" w:cs="Helvetica"/>
          <w:color w:val="333333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Helvetica"/>
          <w:color w:val="333333"/>
          <w:sz w:val="32"/>
          <w:szCs w:val="32"/>
        </w:rPr>
        <w:t>年，</w:t>
      </w:r>
      <w:r>
        <w:rPr>
          <w:rFonts w:hint="eastAsia" w:ascii="仿宋" w:hAnsi="仿宋" w:eastAsia="仿宋" w:cs="Helvetica"/>
          <w:color w:val="333333"/>
          <w:sz w:val="32"/>
          <w:szCs w:val="32"/>
          <w:lang w:eastAsia="zh-CN"/>
        </w:rPr>
        <w:t>我乡</w:t>
      </w:r>
      <w:r>
        <w:rPr>
          <w:rFonts w:hint="eastAsia" w:ascii="仿宋" w:hAnsi="仿宋" w:eastAsia="仿宋" w:cs="Helvetica"/>
          <w:color w:val="333333"/>
          <w:sz w:val="32"/>
          <w:szCs w:val="32"/>
        </w:rPr>
        <w:t>无依申请公开信息。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tLeast"/>
        <w:ind w:firstLine="640" w:firstLineChars="200"/>
        <w:jc w:val="left"/>
        <w:rPr>
          <w:rFonts w:hint="eastAsia" w:ascii="仿宋" w:hAnsi="仿宋" w:eastAsia="仿宋" w:cs="Helvetica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Helvetica"/>
          <w:color w:val="333333"/>
          <w:sz w:val="32"/>
          <w:szCs w:val="32"/>
          <w:lang w:val="en-US" w:eastAsia="zh-CN"/>
        </w:rPr>
        <w:t>（三）加强政府信息管理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360" w:right="240" w:firstLine="564"/>
        <w:jc w:val="both"/>
        <w:rPr>
          <w:rFonts w:hint="eastAsia" w:ascii="仿宋" w:hAnsi="仿宋" w:eastAsia="仿宋" w:cs="Helvetica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Helvetica"/>
          <w:color w:val="333333"/>
          <w:sz w:val="32"/>
          <w:szCs w:val="32"/>
          <w:lang w:val="en-US" w:eastAsia="zh-CN"/>
        </w:rPr>
        <w:t>我乡严格按照县政府的统一要求、部署，一是规范了公开内容，凡是事关乡发展的重大政务、与广大人民群众利益密切相关的事物，以及群众关注多、疑问多的热点、难点问题，都已列入了公开内容;二是公开了举报电话，使全乡政务公开工作得到了准确及时监督;三是严格按时公开。按时完成公开上墙任务，确保公开的时效性和准确性，加强了公开内容建设和信息发布审核，对公开信息的采集、编辑、审核、发布等各个环节作出了具体规定，确保信息来源准确、内容客观真实、公开流程规范，全年无泄密行为发生。使政务服务更加透明，行政行为日趋规范，切实保证了政务公开工作的实效性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tLeast"/>
        <w:ind w:firstLine="640" w:firstLineChars="200"/>
        <w:jc w:val="left"/>
        <w:rPr>
          <w:rFonts w:hint="eastAsia" w:ascii="仿宋" w:hAnsi="仿宋" w:eastAsia="仿宋" w:cs="Helvetica"/>
          <w:color w:val="333333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Helvetica"/>
          <w:color w:val="333333"/>
          <w:sz w:val="32"/>
          <w:szCs w:val="32"/>
        </w:rPr>
        <w:t>政府信息公开平台建设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tLeast"/>
        <w:ind w:firstLine="640" w:firstLineChars="200"/>
        <w:jc w:val="left"/>
        <w:rPr>
          <w:rFonts w:hint="eastAsia" w:ascii="仿宋" w:hAnsi="仿宋" w:eastAsia="仿宋" w:cs="Helvetica"/>
          <w:color w:val="333333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sz w:val="32"/>
          <w:szCs w:val="32"/>
        </w:rPr>
        <w:t>我乡结合实际采取了灵活多样的形式开展政务公开工作。一是以服务窗口为载体公开政务信息</w:t>
      </w:r>
      <w:r>
        <w:rPr>
          <w:rFonts w:hint="eastAsia" w:ascii="仿宋" w:hAnsi="仿宋" w:eastAsia="仿宋" w:cs="Helvetica"/>
          <w:color w:val="333333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Helvetica"/>
          <w:color w:val="333333"/>
          <w:sz w:val="32"/>
          <w:szCs w:val="32"/>
        </w:rPr>
        <w:t>二是以电子大屏幕</w:t>
      </w:r>
      <w:r>
        <w:rPr>
          <w:rFonts w:hint="eastAsia" w:ascii="仿宋" w:hAnsi="仿宋" w:eastAsia="仿宋" w:cs="Helvetica"/>
          <w:color w:val="333333"/>
          <w:sz w:val="32"/>
          <w:szCs w:val="32"/>
          <w:lang w:eastAsia="zh-CN"/>
        </w:rPr>
        <w:t>公示栏等方式</w:t>
      </w:r>
      <w:r>
        <w:rPr>
          <w:rFonts w:hint="eastAsia" w:ascii="仿宋" w:hAnsi="仿宋" w:eastAsia="仿宋" w:cs="Helvetica"/>
          <w:color w:val="333333"/>
          <w:sz w:val="32"/>
          <w:szCs w:val="32"/>
        </w:rPr>
        <w:t>，及时公开各类政务信息。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tLeast"/>
        <w:ind w:firstLine="640" w:firstLineChars="200"/>
        <w:jc w:val="left"/>
        <w:rPr>
          <w:rFonts w:hint="eastAsia" w:ascii="仿宋" w:hAnsi="仿宋" w:eastAsia="仿宋" w:cs="Helvetica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Helvetica"/>
          <w:color w:val="333333"/>
          <w:sz w:val="32"/>
          <w:szCs w:val="32"/>
          <w:lang w:val="en-US" w:eastAsia="zh-CN"/>
        </w:rPr>
        <w:t>（五）强化监督保障体机制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tLeast"/>
        <w:ind w:firstLine="640" w:firstLineChars="200"/>
        <w:jc w:val="left"/>
        <w:rPr>
          <w:rFonts w:hint="eastAsia" w:ascii="仿宋" w:hAnsi="仿宋" w:eastAsia="仿宋" w:cs="Helvetica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Helvetica"/>
          <w:color w:val="333333"/>
          <w:sz w:val="32"/>
          <w:szCs w:val="32"/>
          <w:lang w:val="en-US" w:eastAsia="zh-CN"/>
        </w:rPr>
        <w:t>按照新上级要求，我乡严格执行政务公开监督保障体机制，同时，采取定期督查与不定期抽查相结合的办法，以及设置举报电话等方式，对全乡政府信息公开工作进行全面监督，对存在的问题立知立改，保障政府信息公开工作有效推进。</w:t>
      </w:r>
    </w:p>
    <w:p>
      <w:pPr>
        <w:pStyle w:val="5"/>
        <w:widowControl/>
        <w:shd w:val="clear" w:color="auto" w:fill="FFFFFF"/>
        <w:spacing w:before="376" w:beforeAutospacing="0" w:afterAutospacing="0" w:line="540" w:lineRule="atLeast"/>
        <w:ind w:firstLine="640" w:firstLineChars="200"/>
        <w:textAlignment w:val="top"/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1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26"/>
        <w:gridCol w:w="1787"/>
        <w:gridCol w:w="1446"/>
        <w:gridCol w:w="18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hint="default" w:ascii="微软雅黑" w:hAnsi="微软雅黑" w:eastAsia="微软雅黑" w:cs="Helvetic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hint="default" w:ascii="微软雅黑" w:hAnsi="微软雅黑" w:eastAsia="微软雅黑" w:cs="Helvetic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1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1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hint="eastAsia" w:ascii="微软雅黑" w:hAnsi="微软雅黑" w:eastAsia="微软雅黑" w:cs="Helvetic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1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1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hint="eastAsia" w:ascii="微软雅黑" w:hAnsi="微软雅黑" w:eastAsia="微软雅黑" w:cs="Helvetic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1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hint="eastAsia" w:ascii="微软雅黑" w:hAnsi="微软雅黑" w:eastAsia="微软雅黑" w:cs="Helvetic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1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hint="eastAsia" w:ascii="微软雅黑" w:hAnsi="微软雅黑" w:eastAsia="微软雅黑" w:cs="Helvetic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shd w:val="clear" w:color="auto" w:fill="FFFFFF"/>
        <w:adjustRightInd/>
        <w:snapToGrid/>
        <w:spacing w:after="0" w:line="500" w:lineRule="atLeast"/>
        <w:ind w:firstLine="640" w:firstLineChars="200"/>
        <w:rPr>
          <w:rFonts w:hint="eastAsia" w:ascii="黑体" w:hAnsi="黑体" w:eastAsia="黑体" w:cs="Helvetica"/>
          <w:color w:val="333333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Helvetica"/>
          <w:color w:val="333333"/>
          <w:sz w:val="32"/>
          <w:szCs w:val="32"/>
        </w:rPr>
        <w:t>收到和处理政府信息公开申请情况</w:t>
      </w:r>
    </w:p>
    <w:tbl>
      <w:tblPr>
        <w:tblStyle w:val="6"/>
        <w:tblW w:w="90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816"/>
        <w:gridCol w:w="2653"/>
        <w:gridCol w:w="563"/>
        <w:gridCol w:w="654"/>
        <w:gridCol w:w="733"/>
        <w:gridCol w:w="880"/>
        <w:gridCol w:w="867"/>
        <w:gridCol w:w="680"/>
        <w:gridCol w:w="6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自然人</w:t>
            </w:r>
          </w:p>
        </w:tc>
        <w:tc>
          <w:tcPr>
            <w:tcW w:w="381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商业企业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科研机构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社会公益组织</w:t>
            </w:r>
          </w:p>
        </w:tc>
        <w:tc>
          <w:tcPr>
            <w:tcW w:w="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法律服务机构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6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三、本年度办理结果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楷体" w:hAnsi="楷体" w:eastAsia="楷体" w:cs="Helvetica"/>
                <w:color w:val="333333"/>
                <w:sz w:val="20"/>
                <w:szCs w:val="20"/>
              </w:rPr>
              <w:t>（一）予以公开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楷体" w:hAnsi="楷体" w:eastAsia="楷体" w:cs="Helvetica"/>
                <w:color w:val="333333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楷体" w:hAnsi="楷体" w:eastAsia="楷体" w:cs="Helvetica"/>
                <w:color w:val="333333"/>
                <w:sz w:val="20"/>
                <w:szCs w:val="20"/>
              </w:rPr>
              <w:t>（三）不予公开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楷体" w:hAnsi="楷体" w:eastAsia="楷体" w:cs="Helvetica"/>
                <w:color w:val="333333"/>
                <w:sz w:val="20"/>
                <w:szCs w:val="20"/>
              </w:rPr>
              <w:t>1.属于国家秘密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楷体" w:hAnsi="楷体" w:eastAsia="楷体" w:cs="Helvetica"/>
                <w:color w:val="333333"/>
                <w:sz w:val="20"/>
                <w:szCs w:val="20"/>
              </w:rPr>
              <w:t>2.其他法律行政法规禁止公开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楷体" w:hAnsi="楷体" w:eastAsia="楷体" w:cs="Helvetica"/>
                <w:color w:val="333333"/>
                <w:sz w:val="20"/>
                <w:szCs w:val="20"/>
              </w:rPr>
              <w:t>3.危及“三安全一稳定”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楷体" w:hAnsi="楷体" w:eastAsia="楷体" w:cs="Helvetica"/>
                <w:color w:val="333333"/>
                <w:sz w:val="20"/>
                <w:szCs w:val="20"/>
              </w:rPr>
              <w:t>4.保护第三方合法权益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楷体" w:hAnsi="楷体" w:eastAsia="楷体" w:cs="Helvetica"/>
                <w:color w:val="333333"/>
                <w:sz w:val="20"/>
                <w:szCs w:val="20"/>
              </w:rPr>
              <w:t>5.属于三类内部事务信息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楷体" w:hAnsi="楷体" w:eastAsia="楷体" w:cs="Helvetica"/>
                <w:color w:val="333333"/>
                <w:sz w:val="20"/>
                <w:szCs w:val="20"/>
              </w:rPr>
              <w:t>6.属于四类过程性信息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楷体" w:hAnsi="楷体" w:eastAsia="楷体" w:cs="Helvetica"/>
                <w:color w:val="333333"/>
                <w:sz w:val="20"/>
                <w:szCs w:val="20"/>
              </w:rPr>
              <w:t>7.属于行政执法案卷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楷体" w:hAnsi="楷体" w:eastAsia="楷体" w:cs="Helvetica"/>
                <w:color w:val="333333"/>
                <w:sz w:val="20"/>
                <w:szCs w:val="20"/>
              </w:rPr>
              <w:t>8.属于行政查询事项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楷体" w:hAnsi="楷体" w:eastAsia="楷体" w:cs="Helvetica"/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楷体" w:hAnsi="楷体" w:eastAsia="楷体" w:cs="Helvetica"/>
                <w:color w:val="333333"/>
                <w:sz w:val="20"/>
                <w:szCs w:val="20"/>
              </w:rPr>
              <w:t>1.本机关不掌握相关政府信息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楷体" w:hAnsi="楷体" w:eastAsia="楷体" w:cs="Helvetica"/>
                <w:color w:val="333333"/>
                <w:sz w:val="20"/>
                <w:szCs w:val="20"/>
              </w:rPr>
              <w:t>2.没有现成信息需要另行制作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楷体" w:hAnsi="楷体" w:eastAsia="楷体" w:cs="Helvetica"/>
                <w:color w:val="333333"/>
                <w:sz w:val="20"/>
                <w:szCs w:val="20"/>
              </w:rPr>
              <w:t>3.补正后申请内容仍不明确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楷体" w:hAnsi="楷体" w:eastAsia="楷体" w:cs="Helvetica"/>
                <w:color w:val="333333"/>
                <w:sz w:val="20"/>
                <w:szCs w:val="20"/>
              </w:rPr>
              <w:t>（五）不予处理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楷体" w:hAnsi="楷体" w:eastAsia="楷体" w:cs="Helvetica"/>
                <w:color w:val="333333"/>
                <w:sz w:val="20"/>
                <w:szCs w:val="20"/>
              </w:rPr>
              <w:t>1.信访举报投诉类申请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楷体" w:hAnsi="楷体" w:eastAsia="楷体" w:cs="Helvetica"/>
                <w:color w:val="333333"/>
                <w:sz w:val="20"/>
                <w:szCs w:val="20"/>
              </w:rPr>
              <w:t>2.重复申请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楷体" w:hAnsi="楷体" w:eastAsia="楷体" w:cs="Helvetica"/>
                <w:color w:val="333333"/>
                <w:sz w:val="20"/>
                <w:szCs w:val="20"/>
              </w:rPr>
              <w:t>3.要求提供公开出版物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楷体" w:hAnsi="楷体" w:eastAsia="楷体" w:cs="Helvetica"/>
                <w:color w:val="333333"/>
                <w:sz w:val="20"/>
                <w:szCs w:val="20"/>
              </w:rPr>
              <w:t>4.无正当理由大量反复申请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楷体" w:hAnsi="楷体" w:eastAsia="楷体" w:cs="Helvetica"/>
                <w:color w:val="333333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楷体" w:hAnsi="楷体" w:eastAsia="楷体" w:cs="Helvetica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hint="eastAsia" w:ascii="楷体" w:hAnsi="楷体" w:eastAsia="楷体" w:cs="Helvetica"/>
                <w:color w:val="333333"/>
                <w:sz w:val="20"/>
                <w:szCs w:val="20"/>
              </w:rPr>
            </w:pPr>
            <w:r>
              <w:rPr>
                <w:rFonts w:hint="eastAsia" w:ascii="楷体" w:hAnsi="楷体" w:eastAsia="楷体" w:cs="Helvetica"/>
                <w:color w:val="333333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hint="eastAsia" w:ascii="楷体" w:hAnsi="楷体" w:eastAsia="楷体" w:cs="Helvetica"/>
                <w:color w:val="333333"/>
                <w:sz w:val="20"/>
                <w:szCs w:val="20"/>
              </w:rPr>
            </w:pPr>
            <w:r>
              <w:rPr>
                <w:rFonts w:hint="eastAsia" w:ascii="楷体" w:hAnsi="楷体" w:eastAsia="楷体" w:cs="Helvetica"/>
                <w:color w:val="333333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hint="eastAsia" w:ascii="楷体" w:hAnsi="楷体" w:eastAsia="楷体" w:cs="Helvetica"/>
                <w:color w:val="333333"/>
                <w:sz w:val="20"/>
                <w:szCs w:val="20"/>
              </w:rPr>
            </w:pPr>
            <w:r>
              <w:rPr>
                <w:rFonts w:hint="eastAsia" w:ascii="楷体" w:hAnsi="楷体" w:eastAsia="楷体" w:cs="Helvetica"/>
                <w:color w:val="333333"/>
                <w:sz w:val="20"/>
                <w:szCs w:val="20"/>
              </w:rPr>
              <w:t>3.其他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楷体" w:hAnsi="楷体" w:eastAsia="楷体" w:cs="Helvetica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87" w:type="dxa"/>
            <w:gridSpan w:val="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宋体" w:hAnsi="宋体" w:eastAsia="宋体" w:cs="Helvetica"/>
                <w:color w:val="333333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宋体" w:hAnsi="宋体" w:eastAsia="宋体" w:cs="Helvetica"/>
                <w:color w:val="333333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宋体" w:hAnsi="宋体" w:eastAsia="宋体" w:cs="Helvetica"/>
                <w:color w:val="333333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宋体" w:hAnsi="宋体" w:eastAsia="宋体" w:cs="Helvetica"/>
                <w:color w:val="333333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宋体" w:hAnsi="宋体" w:eastAsia="宋体" w:cs="Helvetica"/>
                <w:color w:val="333333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500" w:lineRule="atLeast"/>
        <w:rPr>
          <w:rFonts w:hint="eastAsia" w:ascii="黑体" w:hAnsi="黑体" w:eastAsia="黑体" w:cs="Helvetica"/>
          <w:color w:val="333333"/>
          <w:sz w:val="32"/>
          <w:szCs w:val="32"/>
        </w:rPr>
      </w:pPr>
    </w:p>
    <w:p>
      <w:pPr>
        <w:numPr>
          <w:ilvl w:val="0"/>
          <w:numId w:val="0"/>
        </w:numPr>
        <w:shd w:val="clear" w:color="auto" w:fill="FFFFFF"/>
        <w:adjustRightInd/>
        <w:snapToGrid/>
        <w:spacing w:after="0" w:line="500" w:lineRule="atLeast"/>
        <w:ind w:left="480" w:leftChars="0"/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p>
      <w:pPr>
        <w:numPr>
          <w:ilvl w:val="0"/>
          <w:numId w:val="0"/>
        </w:numPr>
        <w:shd w:val="clear" w:color="auto" w:fill="FFFFFF"/>
        <w:adjustRightInd/>
        <w:snapToGrid/>
        <w:spacing w:after="0" w:line="500" w:lineRule="atLeast"/>
        <w:ind w:left="480" w:leftChars="0"/>
        <w:rPr>
          <w:rFonts w:hint="eastAsia" w:ascii="黑体" w:hAnsi="黑体" w:eastAsia="黑体" w:cs="Helvetica"/>
          <w:color w:val="333333"/>
          <w:sz w:val="32"/>
          <w:szCs w:val="32"/>
        </w:rPr>
      </w:pPr>
    </w:p>
    <w:tbl>
      <w:tblPr>
        <w:tblStyle w:val="6"/>
        <w:tblW w:w="90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微软雅黑" w:hAnsi="微软雅黑" w:cs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ascii="微软雅黑" w:hAnsi="微软雅黑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20"/>
                <w:szCs w:val="20"/>
              </w:rPr>
              <w:t>0</w:t>
            </w:r>
          </w:p>
        </w:tc>
      </w:tr>
    </w:tbl>
    <w:p>
      <w:pPr>
        <w:pStyle w:val="5"/>
        <w:widowControl/>
        <w:shd w:val="clear" w:color="auto" w:fill="FFFFFF"/>
        <w:spacing w:before="376" w:beforeAutospacing="0" w:afterAutospacing="0" w:line="540" w:lineRule="atLeast"/>
        <w:textAlignment w:val="top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　</w:t>
      </w: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5"/>
        <w:shd w:val="clear" w:color="auto" w:fill="FFFFFF"/>
        <w:spacing w:before="100" w:after="100" w:line="560" w:lineRule="exact"/>
        <w:ind w:firstLine="640" w:firstLineChars="200"/>
        <w:rPr>
          <w:rFonts w:ascii="仿宋" w:hAnsi="仿宋" w:eastAsia="仿宋" w:cs="Helvetica"/>
          <w:color w:val="333333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sz w:val="32"/>
          <w:szCs w:val="32"/>
        </w:rPr>
        <w:t>我乡公开政府信息的意识有待提高；解读形式缺乏多样性、时效性；群众的参与感不强等问题。202</w:t>
      </w:r>
      <w:r>
        <w:rPr>
          <w:rFonts w:hint="eastAsia" w:ascii="仿宋" w:hAnsi="仿宋" w:eastAsia="仿宋" w:cs="Helvetica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Helvetica"/>
          <w:color w:val="333333"/>
          <w:sz w:val="32"/>
          <w:szCs w:val="32"/>
        </w:rPr>
        <w:t>年，我乡将采取以下措施加以改进：</w:t>
      </w:r>
    </w:p>
    <w:p>
      <w:pPr>
        <w:shd w:val="clear" w:color="auto" w:fill="FFFFFF"/>
        <w:adjustRightInd/>
        <w:snapToGrid/>
        <w:spacing w:after="0" w:line="500" w:lineRule="atLeast"/>
        <w:rPr>
          <w:rFonts w:ascii="微软雅黑" w:hAnsi="微软雅黑" w:cs="Helvetica"/>
          <w:color w:val="333333"/>
          <w:sz w:val="21"/>
          <w:szCs w:val="21"/>
        </w:rPr>
      </w:pPr>
      <w:r>
        <w:rPr>
          <w:rFonts w:hint="eastAsia" w:ascii="仿宋" w:hAnsi="仿宋" w:eastAsia="仿宋" w:cs="Helvetica"/>
          <w:color w:val="333333"/>
          <w:sz w:val="32"/>
          <w:szCs w:val="32"/>
        </w:rPr>
        <w:t>　</w:t>
      </w:r>
      <w:r>
        <w:rPr>
          <w:rFonts w:hint="eastAsia" w:ascii="微软雅黑" w:hAnsi="微软雅黑" w:cs="Helvetica"/>
          <w:color w:val="333333"/>
          <w:sz w:val="21"/>
          <w:szCs w:val="21"/>
        </w:rPr>
        <w:t> 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 </w:t>
      </w:r>
      <w:r>
        <w:rPr>
          <w:rFonts w:hint="eastAsia" w:ascii="楷体" w:hAnsi="楷体" w:eastAsia="楷体" w:cs="Helvetica"/>
          <w:b/>
          <w:bCs/>
          <w:color w:val="333333"/>
          <w:sz w:val="32"/>
          <w:szCs w:val="32"/>
        </w:rPr>
        <w:t>（一）统一认识，改进工作作风。</w:t>
      </w:r>
      <w:r>
        <w:rPr>
          <w:rFonts w:hint="eastAsia" w:ascii="仿宋" w:hAnsi="仿宋" w:eastAsia="仿宋" w:cs="Helvetica"/>
          <w:color w:val="333333"/>
          <w:sz w:val="32"/>
          <w:szCs w:val="32"/>
        </w:rPr>
        <w:t>主动</w:t>
      </w:r>
      <w:r>
        <w:rPr>
          <w:rFonts w:hint="eastAsia" w:ascii="仿宋" w:hAnsi="仿宋" w:eastAsia="仿宋" w:cs="Helvetica"/>
          <w:color w:val="333333"/>
          <w:sz w:val="32"/>
          <w:szCs w:val="32"/>
          <w:lang w:eastAsia="zh-CN"/>
        </w:rPr>
        <w:t>加强</w:t>
      </w:r>
      <w:r>
        <w:rPr>
          <w:rFonts w:hint="eastAsia" w:ascii="仿宋" w:hAnsi="仿宋" w:eastAsia="仿宋" w:cs="Helvetica"/>
          <w:color w:val="333333"/>
          <w:sz w:val="32"/>
          <w:szCs w:val="32"/>
        </w:rPr>
        <w:t>与上级业务部门的沟通联系，积极组织工作人员参加政府信息公开工作的培训，加强对有关政策和理论知识的学习，增强工作人员的信息公开意识，提高政府信息公开业务水平。</w:t>
      </w:r>
    </w:p>
    <w:p>
      <w:pPr>
        <w:shd w:val="clear" w:color="auto" w:fill="FFFFFF"/>
        <w:adjustRightInd/>
        <w:snapToGrid/>
        <w:spacing w:after="0" w:line="500" w:lineRule="atLeast"/>
        <w:ind w:firstLine="640"/>
        <w:rPr>
          <w:rFonts w:ascii="微软雅黑" w:hAnsi="微软雅黑" w:cs="Helvetica"/>
          <w:color w:val="333333"/>
          <w:sz w:val="21"/>
          <w:szCs w:val="21"/>
        </w:rPr>
      </w:pPr>
      <w:r>
        <w:rPr>
          <w:rFonts w:hint="eastAsia" w:ascii="楷体" w:hAnsi="楷体" w:eastAsia="楷体" w:cs="Helvetica"/>
          <w:b/>
          <w:bCs/>
          <w:color w:val="333333"/>
          <w:sz w:val="32"/>
          <w:szCs w:val="32"/>
        </w:rPr>
        <w:t>（二）落到实际，建立长效机制。</w:t>
      </w:r>
      <w:r>
        <w:rPr>
          <w:rFonts w:hint="eastAsia" w:ascii="仿宋" w:hAnsi="仿宋" w:eastAsia="仿宋" w:cs="Helvetica"/>
          <w:color w:val="333333"/>
          <w:sz w:val="32"/>
          <w:szCs w:val="32"/>
        </w:rPr>
        <w:t>深化落实各项工作制度、工作责任制及措施，把政务公开工作作为长期的动态工作落到实处，切实提高政府信息公开的及时性、准确性、时效性。</w:t>
      </w:r>
    </w:p>
    <w:p>
      <w:pPr>
        <w:shd w:val="clear" w:color="auto" w:fill="FFFFFF"/>
        <w:adjustRightInd/>
        <w:snapToGrid/>
        <w:spacing w:after="0" w:line="500" w:lineRule="atLeast"/>
        <w:ind w:firstLine="640"/>
        <w:rPr>
          <w:rFonts w:ascii="微软雅黑" w:hAnsi="微软雅黑" w:cs="Helvetica"/>
          <w:color w:val="333333"/>
          <w:sz w:val="21"/>
          <w:szCs w:val="21"/>
        </w:rPr>
      </w:pPr>
      <w:r>
        <w:rPr>
          <w:rFonts w:hint="eastAsia" w:ascii="楷体" w:hAnsi="楷体" w:eastAsia="楷体" w:cs="Helvetica"/>
          <w:b/>
          <w:bCs/>
          <w:color w:val="333333"/>
          <w:sz w:val="32"/>
          <w:szCs w:val="32"/>
        </w:rPr>
        <w:t>（三）拓宽渠道，丰富公开内容。</w:t>
      </w:r>
      <w:r>
        <w:rPr>
          <w:rFonts w:hint="eastAsia" w:ascii="仿宋" w:hAnsi="仿宋" w:eastAsia="仿宋" w:cs="Helvetica"/>
          <w:color w:val="333333"/>
          <w:sz w:val="32"/>
          <w:szCs w:val="32"/>
        </w:rPr>
        <w:t>加快推进政府网站建设，强化公众参与功能，听取公众对政务信息公开工作的意见和建议，以社会需求为导向，有效推进政务公开工作。</w:t>
      </w:r>
    </w:p>
    <w:p>
      <w:pPr>
        <w:pStyle w:val="5"/>
        <w:widowControl/>
        <w:shd w:val="clear" w:color="auto" w:fill="FFFFFF"/>
        <w:spacing w:before="376" w:beforeAutospacing="0" w:afterAutospacing="0" w:line="540" w:lineRule="atLeast"/>
        <w:ind w:firstLine="645"/>
        <w:textAlignment w:val="top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六、其他需要报告的事项</w:t>
      </w:r>
    </w:p>
    <w:p>
      <w:pPr>
        <w:pStyle w:val="5"/>
        <w:widowControl/>
        <w:shd w:val="clear" w:color="auto" w:fill="FFFFFF"/>
        <w:tabs>
          <w:tab w:val="left" w:pos="1455"/>
        </w:tabs>
        <w:spacing w:before="376" w:beforeAutospacing="0" w:afterAutospacing="0" w:line="540" w:lineRule="atLeast"/>
        <w:ind w:firstLine="640" w:firstLineChars="200"/>
        <w:textAlignment w:val="top"/>
        <w:rPr>
          <w:rFonts w:ascii="仿宋" w:hAnsi="仿宋" w:eastAsia="仿宋" w:cs="Helvetica"/>
          <w:color w:val="333333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sz w:val="32"/>
          <w:szCs w:val="32"/>
        </w:rPr>
        <w:t>无</w:t>
      </w:r>
      <w:r>
        <w:rPr>
          <w:rFonts w:ascii="仿宋" w:hAnsi="仿宋" w:eastAsia="仿宋" w:cs="Helvetica"/>
          <w:color w:val="333333"/>
          <w:sz w:val="32"/>
          <w:szCs w:val="32"/>
        </w:rPr>
        <w:tab/>
      </w:r>
    </w:p>
    <w:p>
      <w:pPr>
        <w:spacing w:line="220" w:lineRule="atLeast"/>
      </w:pPr>
    </w:p>
    <w:p>
      <w:pPr>
        <w:spacing w:line="220" w:lineRule="atLeast"/>
      </w:pPr>
      <w:bookmarkStart w:id="0" w:name="_GoBack"/>
      <w:bookmarkEnd w:id="0"/>
    </w:p>
    <w:p>
      <w:pPr>
        <w:spacing w:line="220" w:lineRule="atLeas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6154"/>
    <w:rsid w:val="00064515"/>
    <w:rsid w:val="00075570"/>
    <w:rsid w:val="0012096A"/>
    <w:rsid w:val="00127129"/>
    <w:rsid w:val="00136EF4"/>
    <w:rsid w:val="00285746"/>
    <w:rsid w:val="002923F3"/>
    <w:rsid w:val="002D51E2"/>
    <w:rsid w:val="00323B43"/>
    <w:rsid w:val="003804F5"/>
    <w:rsid w:val="003D37D8"/>
    <w:rsid w:val="00402206"/>
    <w:rsid w:val="00426133"/>
    <w:rsid w:val="004358AB"/>
    <w:rsid w:val="00663257"/>
    <w:rsid w:val="00667408"/>
    <w:rsid w:val="006C488A"/>
    <w:rsid w:val="00711904"/>
    <w:rsid w:val="007134DE"/>
    <w:rsid w:val="00731AB3"/>
    <w:rsid w:val="008A51F5"/>
    <w:rsid w:val="008B7726"/>
    <w:rsid w:val="008C5126"/>
    <w:rsid w:val="00B20554"/>
    <w:rsid w:val="00B30BA8"/>
    <w:rsid w:val="00B628AF"/>
    <w:rsid w:val="00C363ED"/>
    <w:rsid w:val="00D31D50"/>
    <w:rsid w:val="00DB0F27"/>
    <w:rsid w:val="00E72CE5"/>
    <w:rsid w:val="00F917DC"/>
    <w:rsid w:val="07BF43AC"/>
    <w:rsid w:val="0BAA2B6C"/>
    <w:rsid w:val="131F4655"/>
    <w:rsid w:val="285C2EE6"/>
    <w:rsid w:val="297777C2"/>
    <w:rsid w:val="38A27CD1"/>
    <w:rsid w:val="3CF4361D"/>
    <w:rsid w:val="47B704AC"/>
    <w:rsid w:val="48A62044"/>
    <w:rsid w:val="48B74432"/>
    <w:rsid w:val="4DBD46DC"/>
    <w:rsid w:val="63264B35"/>
    <w:rsid w:val="6B064410"/>
    <w:rsid w:val="6FA26D85"/>
    <w:rsid w:val="70BC6DAD"/>
    <w:rsid w:val="78A0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 w:val="0"/>
      <w:adjustRightInd/>
      <w:snapToGrid/>
      <w:spacing w:beforeAutospacing="1" w:after="0" w:afterAutospacing="1"/>
    </w:pPr>
    <w:rPr>
      <w:rFonts w:cs="Times New Roman" w:asciiTheme="minorHAnsi" w:hAnsiTheme="minorHAnsi" w:eastAsiaTheme="minorEastAsia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styleId="11">
    <w:name w:val="HTML Code"/>
    <w:basedOn w:val="7"/>
    <w:semiHidden/>
    <w:unhideWhenUsed/>
    <w:qFormat/>
    <w:uiPriority w:val="99"/>
    <w:rPr>
      <w:rFonts w:ascii="Courier New" w:hAnsi="Courier New"/>
      <w:sz w:val="20"/>
      <w:u w:val="none"/>
    </w:rPr>
  </w:style>
  <w:style w:type="character" w:customStyle="1" w:styleId="12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hover"/>
    <w:basedOn w:val="7"/>
    <w:qFormat/>
    <w:uiPriority w:val="0"/>
    <w:rPr>
      <w:color w:val="015293"/>
    </w:rPr>
  </w:style>
  <w:style w:type="character" w:customStyle="1" w:styleId="16">
    <w:name w:val="font"/>
    <w:basedOn w:val="7"/>
    <w:qFormat/>
    <w:uiPriority w:val="0"/>
  </w:style>
  <w:style w:type="character" w:customStyle="1" w:styleId="17">
    <w:name w:val="font1"/>
    <w:basedOn w:val="7"/>
    <w:qFormat/>
    <w:uiPriority w:val="0"/>
  </w:style>
  <w:style w:type="character" w:customStyle="1" w:styleId="18">
    <w:name w:val="laypage_curr"/>
    <w:basedOn w:val="7"/>
    <w:qFormat/>
    <w:uiPriority w:val="0"/>
    <w:rPr>
      <w:color w:val="FFFDF4"/>
      <w:shd w:val="clear" w:fill="0B67A6"/>
    </w:rPr>
  </w:style>
  <w:style w:type="character" w:customStyle="1" w:styleId="19">
    <w:name w:val="dates"/>
    <w:basedOn w:val="7"/>
    <w:qFormat/>
    <w:uiPriority w:val="0"/>
  </w:style>
  <w:style w:type="character" w:customStyle="1" w:styleId="20">
    <w:name w:val="m01"/>
    <w:basedOn w:val="7"/>
    <w:qFormat/>
    <w:uiPriority w:val="0"/>
  </w:style>
  <w:style w:type="character" w:customStyle="1" w:styleId="21">
    <w:name w:val="m011"/>
    <w:basedOn w:val="7"/>
    <w:qFormat/>
    <w:uiPriority w:val="0"/>
  </w:style>
  <w:style w:type="character" w:customStyle="1" w:styleId="22">
    <w:name w:val="name"/>
    <w:basedOn w:val="7"/>
    <w:qFormat/>
    <w:uiPriority w:val="0"/>
    <w:rPr>
      <w:color w:val="6A6A6A"/>
      <w:u w:val="single"/>
    </w:rPr>
  </w:style>
  <w:style w:type="character" w:customStyle="1" w:styleId="23">
    <w:name w:val="bg02"/>
    <w:basedOn w:val="7"/>
    <w:qFormat/>
    <w:uiPriority w:val="0"/>
  </w:style>
  <w:style w:type="character" w:customStyle="1" w:styleId="24">
    <w:name w:val="tabg"/>
    <w:basedOn w:val="7"/>
    <w:qFormat/>
    <w:uiPriority w:val="0"/>
    <w:rPr>
      <w:color w:val="FFFFFF"/>
      <w:sz w:val="21"/>
      <w:szCs w:val="21"/>
    </w:rPr>
  </w:style>
  <w:style w:type="character" w:customStyle="1" w:styleId="25">
    <w:name w:val="bg01"/>
    <w:basedOn w:val="7"/>
    <w:qFormat/>
    <w:uiPriority w:val="0"/>
  </w:style>
  <w:style w:type="character" w:customStyle="1" w:styleId="26">
    <w:name w:val="more4"/>
    <w:basedOn w:val="7"/>
    <w:qFormat/>
    <w:uiPriority w:val="0"/>
    <w:rPr>
      <w:color w:val="666666"/>
      <w:sz w:val="14"/>
      <w:szCs w:val="14"/>
    </w:rPr>
  </w:style>
  <w:style w:type="character" w:customStyle="1" w:styleId="27">
    <w:name w:val="more"/>
    <w:basedOn w:val="7"/>
    <w:qFormat/>
    <w:uiPriority w:val="0"/>
    <w:rPr>
      <w:color w:val="666666"/>
      <w:sz w:val="14"/>
      <w:szCs w:val="14"/>
    </w:rPr>
  </w:style>
  <w:style w:type="character" w:customStyle="1" w:styleId="28">
    <w:name w:val="font2"/>
    <w:basedOn w:val="7"/>
    <w:qFormat/>
    <w:uiPriority w:val="0"/>
  </w:style>
  <w:style w:type="character" w:customStyle="1" w:styleId="29">
    <w:name w:val="font3"/>
    <w:basedOn w:val="7"/>
    <w:qFormat/>
    <w:uiPriority w:val="0"/>
  </w:style>
  <w:style w:type="character" w:customStyle="1" w:styleId="30">
    <w:name w:val="hover18"/>
    <w:basedOn w:val="7"/>
    <w:qFormat/>
    <w:uiPriority w:val="0"/>
    <w:rPr>
      <w:color w:val="015293"/>
    </w:rPr>
  </w:style>
  <w:style w:type="character" w:customStyle="1" w:styleId="31">
    <w:name w:val="more3"/>
    <w:basedOn w:val="7"/>
    <w:qFormat/>
    <w:uiPriority w:val="0"/>
    <w:rPr>
      <w:color w:val="666666"/>
      <w:sz w:val="14"/>
      <w:szCs w:val="14"/>
    </w:rPr>
  </w:style>
  <w:style w:type="character" w:customStyle="1" w:styleId="32">
    <w:name w:val="hover17"/>
    <w:basedOn w:val="7"/>
    <w:qFormat/>
    <w:uiPriority w:val="0"/>
    <w:rPr>
      <w:color w:val="01529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385</Words>
  <Characters>2198</Characters>
  <Lines>18</Lines>
  <Paragraphs>5</Paragraphs>
  <TotalTime>167</TotalTime>
  <ScaleCrop>false</ScaleCrop>
  <LinksUpToDate>false</LinksUpToDate>
  <CharactersWithSpaces>2578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Administrator.CDNH2MJY0S6QNIM</dc:creator>
  <cp:lastModifiedBy>Administrator</cp:lastModifiedBy>
  <cp:lastPrinted>2022-01-13T05:34:00Z</cp:lastPrinted>
  <dcterms:modified xsi:type="dcterms:W3CDTF">2022-01-27T01:42:06Z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6E05A33A805744D3AD6A3A0FFF19B457</vt:lpwstr>
  </property>
</Properties>
</file>