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Lines="200" w:beforeAutospacing="0" w:afterLines="200" w:afterAutospacing="0" w:line="560" w:lineRule="exact"/>
        <w:jc w:val="center"/>
        <w:textAlignment w:val="top"/>
        <w:rPr>
          <w:rFonts w:ascii="黑体" w:hAnsi="黑体" w:eastAsia="黑体" w:cs="仿宋"/>
          <w:color w:val="000000"/>
          <w:sz w:val="44"/>
          <w:szCs w:val="44"/>
        </w:rPr>
      </w:pPr>
      <w:r>
        <w:rPr>
          <w:rStyle w:val="8"/>
          <w:rFonts w:hint="eastAsia" w:ascii="黑体" w:hAnsi="黑体" w:eastAsia="黑体" w:cs="仿宋"/>
          <w:color w:val="000000"/>
          <w:sz w:val="44"/>
          <w:szCs w:val="44"/>
          <w:shd w:val="clear" w:color="auto" w:fill="FFFFFF"/>
          <w:lang w:eastAsia="zh-CN"/>
        </w:rPr>
        <w:t>福兴乡</w:t>
      </w:r>
      <w:r>
        <w:rPr>
          <w:rStyle w:val="8"/>
          <w:rFonts w:hint="eastAsia" w:ascii="黑体" w:hAnsi="黑体" w:eastAsia="黑体" w:cs="仿宋"/>
          <w:color w:val="000000"/>
          <w:sz w:val="44"/>
          <w:szCs w:val="44"/>
          <w:shd w:val="clear" w:color="auto" w:fill="FFFFFF"/>
          <w:lang w:val="en-US" w:eastAsia="zh-CN"/>
        </w:rPr>
        <w:t>2020年</w:t>
      </w:r>
      <w:r>
        <w:rPr>
          <w:rStyle w:val="8"/>
          <w:rFonts w:hint="eastAsia" w:ascii="黑体" w:hAnsi="黑体" w:eastAsia="黑体" w:cs="仿宋"/>
          <w:color w:val="000000"/>
          <w:sz w:val="44"/>
          <w:szCs w:val="44"/>
          <w:shd w:val="clear" w:color="auto" w:fill="FFFFFF"/>
        </w:rPr>
        <w:t>政府信息公开工作年度报告</w:t>
      </w:r>
    </w:p>
    <w:p>
      <w:pPr>
        <w:pStyle w:val="5"/>
        <w:widowControl/>
        <w:shd w:val="clear" w:color="auto" w:fill="FFFFFF"/>
        <w:spacing w:before="376" w:beforeAutospacing="0" w:afterAutospacing="0" w:line="540" w:lineRule="atLeast"/>
        <w:textAlignment w:val="top"/>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　</w:t>
      </w:r>
      <w:r>
        <w:rPr>
          <w:rStyle w:val="8"/>
          <w:rFonts w:hint="eastAsia" w:ascii="仿宋" w:hAnsi="仿宋" w:eastAsia="仿宋" w:cs="仿宋"/>
          <w:color w:val="000000"/>
          <w:sz w:val="32"/>
          <w:szCs w:val="32"/>
          <w:shd w:val="clear" w:color="auto" w:fill="FFFFFF"/>
        </w:rPr>
        <w:t>　一、总体情况</w:t>
      </w:r>
    </w:p>
    <w:p>
      <w:pPr>
        <w:pStyle w:val="5"/>
        <w:widowControl/>
        <w:shd w:val="clear" w:color="auto" w:fill="FFFFFF"/>
        <w:spacing w:before="376" w:beforeAutospacing="0" w:afterAutospacing="0" w:line="540" w:lineRule="atLeast"/>
        <w:ind w:firstLine="640" w:firstLineChars="200"/>
        <w:textAlignment w:val="top"/>
        <w:rPr>
          <w:rFonts w:ascii="仿宋" w:hAnsi="仿宋" w:eastAsia="仿宋" w:cs="Helvetica"/>
          <w:color w:val="333333"/>
          <w:sz w:val="32"/>
          <w:szCs w:val="32"/>
        </w:rPr>
      </w:pPr>
      <w:r>
        <w:rPr>
          <w:rFonts w:hint="eastAsia" w:ascii="仿宋" w:hAnsi="仿宋" w:eastAsia="仿宋" w:cs="Helvetica"/>
          <w:color w:val="333333"/>
          <w:sz w:val="32"/>
          <w:szCs w:val="32"/>
        </w:rPr>
        <w:t>福兴乡始终坚持贯彻落实《中华人民共和国政府信息公开条例》,高度重视政务公开工作,成立了以书记为组长,分管副乡长为副组长的政务公开领导小组,并下设办公室,负责政务公开的指日常工作。为确保政务公开不流于形式,健全预先审核和备案制度。严格履行由专职信息员初审后,将符合公开的信息报送分管领导审核,经主管领导签字把关手续,并对公开信息进行备案,确保政务公开各项工作落到实处。</w:t>
      </w:r>
    </w:p>
    <w:p>
      <w:pPr>
        <w:pStyle w:val="5"/>
        <w:shd w:val="clear" w:color="auto" w:fill="FFFFFF"/>
        <w:spacing w:before="376" w:beforeAutospacing="0" w:afterAutospacing="0" w:line="540" w:lineRule="atLeast"/>
        <w:ind w:firstLine="643" w:firstLineChars="200"/>
        <w:textAlignment w:val="top"/>
        <w:rPr>
          <w:rFonts w:ascii="仿宋" w:hAnsi="仿宋" w:eastAsia="仿宋" w:cs="Helvetica"/>
          <w:color w:val="333333"/>
          <w:sz w:val="32"/>
          <w:szCs w:val="32"/>
        </w:rPr>
      </w:pPr>
      <w:r>
        <w:rPr>
          <w:rFonts w:hint="eastAsia" w:ascii="楷体" w:hAnsi="楷体" w:eastAsia="楷体" w:cs="Helvetica"/>
          <w:b/>
          <w:bCs/>
          <w:color w:val="333333"/>
          <w:sz w:val="32"/>
          <w:szCs w:val="32"/>
        </w:rPr>
        <w:t>1、加强组织领导，健全工作机制。</w:t>
      </w:r>
      <w:r>
        <w:rPr>
          <w:rFonts w:hint="eastAsia" w:ascii="仿宋" w:hAnsi="仿宋" w:eastAsia="仿宋" w:cs="Helvetica"/>
          <w:color w:val="333333"/>
          <w:sz w:val="32"/>
          <w:szCs w:val="32"/>
        </w:rPr>
        <w:t>结合我乡工作实际，把政府信息公开工作列入重要议事日程，召开会议专题研究政府信息公开工作，完善政府信息公开相关工作制度，报告中所列数据的统计期限为2020年1月1日至2020年12月31日。政府信息公开工作办公室设在福兴乡政府办公室，办公室坚持做好信息公开的日常工作，负责依申请公开的办理工作，明确了一名具体承办人员负责申请公开信息的办理，做到有领导分管、有工作机构负责、有专人承办，严格执行政府信息公开的各项制度，主动上传公开的政府信息，主动受理信息申请，认真做好政府信息网站的建设与维护，切实保障各项工作顺利开展。</w:t>
      </w:r>
    </w:p>
    <w:p>
      <w:pPr>
        <w:pStyle w:val="5"/>
        <w:shd w:val="clear" w:color="auto" w:fill="FFFFFF"/>
        <w:spacing w:before="376" w:beforeAutospacing="0" w:afterAutospacing="0" w:line="540" w:lineRule="atLeast"/>
        <w:ind w:firstLine="643" w:firstLineChars="200"/>
        <w:textAlignment w:val="top"/>
        <w:rPr>
          <w:rFonts w:ascii="仿宋" w:hAnsi="仿宋" w:eastAsia="仿宋" w:cs="Helvetica"/>
          <w:color w:val="333333"/>
          <w:sz w:val="32"/>
          <w:szCs w:val="32"/>
        </w:rPr>
      </w:pPr>
      <w:r>
        <w:rPr>
          <w:rFonts w:hint="eastAsia" w:ascii="楷体" w:hAnsi="楷体" w:eastAsia="楷体" w:cs="Helvetica"/>
          <w:b/>
          <w:bCs/>
          <w:color w:val="333333"/>
          <w:sz w:val="32"/>
          <w:szCs w:val="32"/>
        </w:rPr>
        <w:t>2、加强学习培训，提高思想认识。</w:t>
      </w:r>
      <w:r>
        <w:rPr>
          <w:rFonts w:hint="eastAsia" w:ascii="仿宋" w:hAnsi="仿宋" w:eastAsia="仿宋" w:cs="Helvetica"/>
          <w:color w:val="333333"/>
          <w:sz w:val="32"/>
          <w:szCs w:val="32"/>
        </w:rPr>
        <w:t>我乡认真组织全体机关工作人员学习《中华人民共和国政府信息公开条例》等相关法律法规，通过学习，增强了我局党员干部对信息公开工作重要性的认识，增强了主动抓、坚持抓的自觉性和主动性。从局党委班子领导到各科室负责人都能把信息公开工作摆上重要位置，坚持常抓不懈，自觉转观念，提高服务水平。</w:t>
      </w:r>
    </w:p>
    <w:p>
      <w:pPr>
        <w:pStyle w:val="5"/>
        <w:widowControl/>
        <w:shd w:val="clear" w:color="auto" w:fill="FFFFFF"/>
        <w:spacing w:before="376" w:beforeAutospacing="0" w:afterAutospacing="0" w:line="540" w:lineRule="atLeast"/>
        <w:ind w:firstLine="643" w:firstLineChars="200"/>
        <w:textAlignment w:val="top"/>
        <w:rPr>
          <w:rStyle w:val="8"/>
          <w:rFonts w:ascii="仿宋" w:hAnsi="仿宋" w:eastAsia="仿宋" w:cs="仿宋"/>
          <w:color w:val="000000"/>
          <w:sz w:val="32"/>
          <w:szCs w:val="32"/>
          <w:shd w:val="clear" w:color="auto" w:fill="FFFFFF"/>
        </w:rPr>
      </w:pPr>
      <w:r>
        <w:rPr>
          <w:rFonts w:hint="eastAsia" w:ascii="楷体" w:hAnsi="楷体" w:eastAsia="楷体" w:cs="Helvetica"/>
          <w:b/>
          <w:bCs/>
          <w:color w:val="333333"/>
          <w:sz w:val="32"/>
          <w:szCs w:val="32"/>
        </w:rPr>
        <w:t>3、认真</w:t>
      </w:r>
      <w:r>
        <w:rPr>
          <w:rFonts w:hint="eastAsia" w:ascii="楷体" w:hAnsi="楷体" w:eastAsia="楷体" w:cs="Helvetica"/>
          <w:b/>
          <w:bCs/>
          <w:color w:val="333333"/>
          <w:sz w:val="32"/>
          <w:szCs w:val="32"/>
          <w:lang w:eastAsia="zh-CN"/>
        </w:rPr>
        <w:t>梳理</w:t>
      </w:r>
      <w:r>
        <w:rPr>
          <w:rFonts w:hint="eastAsia" w:ascii="楷体" w:hAnsi="楷体" w:eastAsia="楷体" w:cs="Helvetica"/>
          <w:b/>
          <w:bCs/>
          <w:color w:val="333333"/>
          <w:sz w:val="32"/>
          <w:szCs w:val="32"/>
        </w:rPr>
        <w:t>文件，做好网上公开。</w:t>
      </w:r>
      <w:r>
        <w:rPr>
          <w:rFonts w:hint="eastAsia" w:ascii="仿宋" w:hAnsi="仿宋" w:eastAsia="仿宋" w:cs="Helvetica"/>
          <w:color w:val="333333"/>
          <w:sz w:val="32"/>
          <w:szCs w:val="32"/>
        </w:rPr>
        <w:t>做好网上政务信息公开工作，一是由办公室牵头，坚持政务信息公开化原则，组织各科室依据有关法律法规，对行政执法事项进行全面清理，对规范性文件进行详细</w:t>
      </w:r>
      <w:r>
        <w:rPr>
          <w:rFonts w:hint="eastAsia" w:ascii="仿宋" w:hAnsi="仿宋" w:eastAsia="仿宋" w:cs="Helvetica"/>
          <w:color w:val="333333"/>
          <w:sz w:val="32"/>
          <w:szCs w:val="32"/>
          <w:lang w:eastAsia="zh-CN"/>
        </w:rPr>
        <w:t>梳理</w:t>
      </w:r>
      <w:r>
        <w:rPr>
          <w:rFonts w:hint="eastAsia" w:ascii="仿宋" w:hAnsi="仿宋" w:eastAsia="仿宋" w:cs="Helvetica"/>
          <w:color w:val="333333"/>
          <w:sz w:val="32"/>
          <w:szCs w:val="32"/>
        </w:rPr>
        <w:t>，确定了可以公开的政</w:t>
      </w:r>
      <w:bookmarkStart w:id="0" w:name="_GoBack"/>
      <w:bookmarkEnd w:id="0"/>
      <w:r>
        <w:rPr>
          <w:rFonts w:hint="eastAsia" w:ascii="仿宋" w:hAnsi="仿宋" w:eastAsia="仿宋" w:cs="Helvetica"/>
          <w:color w:val="333333"/>
          <w:sz w:val="32"/>
          <w:szCs w:val="32"/>
        </w:rPr>
        <w:t>府信息和文件。二是做好群众关心的热点难点问题的公开，确保内容数据准确。</w:t>
      </w:r>
    </w:p>
    <w:p>
      <w:pPr>
        <w:pStyle w:val="5"/>
        <w:widowControl/>
        <w:shd w:val="clear" w:color="auto" w:fill="FFFFFF"/>
        <w:spacing w:before="376" w:beforeAutospacing="0" w:afterAutospacing="0" w:line="540" w:lineRule="atLeast"/>
        <w:textAlignment w:val="top"/>
        <w:rPr>
          <w:rFonts w:ascii="仿宋" w:hAnsi="仿宋" w:eastAsia="仿宋" w:cs="仿宋"/>
          <w:b/>
          <w:color w:val="000000"/>
          <w:sz w:val="32"/>
          <w:szCs w:val="32"/>
          <w:shd w:val="clear" w:color="auto" w:fill="FFFFFF"/>
        </w:rPr>
      </w:pPr>
      <w:r>
        <w:rPr>
          <w:rStyle w:val="8"/>
          <w:rFonts w:hint="eastAsia" w:ascii="仿宋" w:hAnsi="仿宋" w:eastAsia="仿宋" w:cs="仿宋"/>
          <w:color w:val="000000"/>
          <w:sz w:val="32"/>
          <w:szCs w:val="32"/>
          <w:shd w:val="clear" w:color="auto" w:fill="FFFFFF"/>
        </w:rPr>
        <w:t>二、主动公开政府信息情况</w:t>
      </w:r>
    </w:p>
    <w:tbl>
      <w:tblPr>
        <w:tblStyle w:val="6"/>
        <w:tblW w:w="8140" w:type="dxa"/>
        <w:jc w:val="center"/>
        <w:tblLayout w:type="autofit"/>
        <w:tblCellMar>
          <w:top w:w="15" w:type="dxa"/>
          <w:left w:w="15" w:type="dxa"/>
          <w:bottom w:w="15" w:type="dxa"/>
          <w:right w:w="15" w:type="dxa"/>
        </w:tblCellMar>
      </w:tblPr>
      <w:tblGrid>
        <w:gridCol w:w="3113"/>
        <w:gridCol w:w="1875"/>
        <w:gridCol w:w="6"/>
        <w:gridCol w:w="1265"/>
        <w:gridCol w:w="1881"/>
      </w:tblGrid>
      <w:tr>
        <w:tblPrEx>
          <w:tblCellMar>
            <w:top w:w="15" w:type="dxa"/>
            <w:left w:w="15" w:type="dxa"/>
            <w:bottom w:w="15" w:type="dxa"/>
            <w:right w:w="15"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第二十条第（一）项</w:t>
            </w:r>
          </w:p>
        </w:tc>
      </w:tr>
      <w:tr>
        <w:tblPrEx>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信息内容</w:t>
            </w:r>
          </w:p>
        </w:tc>
        <w:tc>
          <w:tcPr>
            <w:tcW w:w="1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本年新</w:t>
            </w:r>
            <w:r>
              <w:rPr>
                <w:rFonts w:hint="eastAsia" w:ascii="宋体" w:hAnsi="宋体" w:eastAsia="宋体" w:cs="Helvetica"/>
                <w:color w:val="333333"/>
                <w:sz w:val="21"/>
                <w:szCs w:val="21"/>
              </w:rPr>
              <w:br w:type="textWrapping"/>
            </w:r>
            <w:r>
              <w:rPr>
                <w:rFonts w:hint="eastAsia" w:ascii="宋体" w:hAnsi="宋体" w:eastAsia="宋体" w:cs="Helvetica"/>
                <w:color w:val="333333"/>
                <w:sz w:val="21"/>
                <w:szCs w:val="21"/>
              </w:rPr>
              <w:t>制作数量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本年新</w:t>
            </w:r>
            <w:r>
              <w:rPr>
                <w:rFonts w:hint="eastAsia" w:ascii="宋体" w:hAnsi="宋体" w:eastAsia="宋体" w:cs="Helvetica"/>
                <w:color w:val="333333"/>
                <w:sz w:val="21"/>
                <w:szCs w:val="21"/>
              </w:rPr>
              <w:br w:type="textWrapping"/>
            </w:r>
            <w:r>
              <w:rPr>
                <w:rFonts w:hint="eastAsia" w:ascii="宋体" w:hAnsi="宋体" w:eastAsia="宋体" w:cs="Helvetica"/>
                <w:color w:val="333333"/>
                <w:sz w:val="21"/>
                <w:szCs w:val="21"/>
              </w:rPr>
              <w:t>公开数量</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对外公开总数量</w:t>
            </w:r>
          </w:p>
        </w:tc>
      </w:tr>
      <w:tr>
        <w:tblPrEx>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规章</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27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r>
      <w:tr>
        <w:tblPrEx>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规范性文件</w:t>
            </w:r>
          </w:p>
        </w:tc>
        <w:tc>
          <w:tcPr>
            <w:tcW w:w="18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27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r>
      <w:tr>
        <w:tblPrEx>
          <w:tblCellMar>
            <w:top w:w="15" w:type="dxa"/>
            <w:left w:w="15" w:type="dxa"/>
            <w:bottom w:w="15" w:type="dxa"/>
            <w:right w:w="15"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第二十条第（五）项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信息内容</w:t>
            </w:r>
          </w:p>
        </w:tc>
        <w:tc>
          <w:tcPr>
            <w:tcW w:w="1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本年增/减</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处理决定数量</w:t>
            </w:r>
          </w:p>
        </w:tc>
      </w:tr>
      <w:tr>
        <w:tblPrEx>
          <w:tblCellMar>
            <w:top w:w="15" w:type="dxa"/>
            <w:left w:w="15" w:type="dxa"/>
            <w:bottom w:w="15" w:type="dxa"/>
            <w:right w:w="15"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行政许可</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2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r>
      <w:tr>
        <w:tblPrEx>
          <w:tblCellMar>
            <w:top w:w="15" w:type="dxa"/>
            <w:left w:w="15" w:type="dxa"/>
            <w:bottom w:w="15" w:type="dxa"/>
            <w:right w:w="15"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其他对外管理服务事项</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2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r>
      <w:tr>
        <w:tblPrEx>
          <w:tblCellMar>
            <w:top w:w="15" w:type="dxa"/>
            <w:left w:w="15" w:type="dxa"/>
            <w:bottom w:w="15" w:type="dxa"/>
            <w:right w:w="15"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第二十条第（六）项</w:t>
            </w:r>
          </w:p>
        </w:tc>
      </w:tr>
      <w:tr>
        <w:tblPrEx>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信息内容</w:t>
            </w:r>
          </w:p>
        </w:tc>
        <w:tc>
          <w:tcPr>
            <w:tcW w:w="1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本年增/减</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处理决定数量</w:t>
            </w:r>
          </w:p>
        </w:tc>
      </w:tr>
      <w:tr>
        <w:tblPrEx>
          <w:tblCellMar>
            <w:top w:w="15" w:type="dxa"/>
            <w:left w:w="15" w:type="dxa"/>
            <w:bottom w:w="15" w:type="dxa"/>
            <w:right w:w="15"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行政处罚</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2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r>
      <w:tr>
        <w:tblPrEx>
          <w:tblCellMar>
            <w:top w:w="15" w:type="dxa"/>
            <w:left w:w="15" w:type="dxa"/>
            <w:bottom w:w="15" w:type="dxa"/>
            <w:right w:w="15"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行政强制</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2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188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r>
      <w:tr>
        <w:tblPrEx>
          <w:tblCellMar>
            <w:top w:w="15" w:type="dxa"/>
            <w:left w:w="15" w:type="dxa"/>
            <w:bottom w:w="15" w:type="dxa"/>
            <w:right w:w="15"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第二十条第（八）项</w:t>
            </w:r>
          </w:p>
        </w:tc>
      </w:tr>
      <w:tr>
        <w:tblPrEx>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信息内容</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上一年项目数量</w:t>
            </w:r>
          </w:p>
        </w:tc>
        <w:tc>
          <w:tcPr>
            <w:tcW w:w="314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本年增/减</w:t>
            </w:r>
          </w:p>
        </w:tc>
      </w:tr>
      <w:tr>
        <w:tblPrEx>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行政事业性收费</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c>
          <w:tcPr>
            <w:tcW w:w="31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0</w:t>
            </w:r>
          </w:p>
        </w:tc>
      </w:tr>
      <w:tr>
        <w:tblPrEx>
          <w:tblCellMar>
            <w:top w:w="15" w:type="dxa"/>
            <w:left w:w="15" w:type="dxa"/>
            <w:bottom w:w="15" w:type="dxa"/>
            <w:right w:w="15"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第二十条第（九）项</w:t>
            </w:r>
          </w:p>
        </w:tc>
      </w:tr>
      <w:tr>
        <w:tblPrEx>
          <w:tblCellMar>
            <w:top w:w="15" w:type="dxa"/>
            <w:left w:w="15" w:type="dxa"/>
            <w:bottom w:w="15" w:type="dxa"/>
            <w:right w:w="15"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信息内容</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采购项目数量</w:t>
            </w:r>
          </w:p>
        </w:tc>
        <w:tc>
          <w:tcPr>
            <w:tcW w:w="3146"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1"/>
                <w:szCs w:val="21"/>
              </w:rPr>
              <w:t>采购总金额</w:t>
            </w:r>
          </w:p>
        </w:tc>
      </w:tr>
      <w:tr>
        <w:tblPrEx>
          <w:tblCellMar>
            <w:top w:w="15" w:type="dxa"/>
            <w:left w:w="15" w:type="dxa"/>
            <w:bottom w:w="15" w:type="dxa"/>
            <w:right w:w="15"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1"/>
                <w:szCs w:val="21"/>
              </w:rPr>
              <w:t>政府集中采购</w:t>
            </w:r>
          </w:p>
        </w:tc>
        <w:tc>
          <w:tcPr>
            <w:tcW w:w="188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微软雅黑" w:hAnsi="微软雅黑" w:cs="Helvetica"/>
                <w:color w:val="333333"/>
                <w:sz w:val="18"/>
                <w:szCs w:val="18"/>
              </w:rPr>
              <w:t>2</w:t>
            </w:r>
          </w:p>
        </w:tc>
        <w:tc>
          <w:tcPr>
            <w:tcW w:w="314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微软雅黑" w:hAnsi="微软雅黑" w:cs="Helvetica"/>
                <w:color w:val="333333"/>
                <w:sz w:val="18"/>
                <w:szCs w:val="18"/>
              </w:rPr>
              <w:t>565.4</w:t>
            </w:r>
          </w:p>
        </w:tc>
      </w:tr>
    </w:tbl>
    <w:p>
      <w:pPr>
        <w:shd w:val="clear" w:color="auto" w:fill="FFFFFF"/>
        <w:adjustRightInd/>
        <w:snapToGrid/>
        <w:spacing w:after="0" w:line="500" w:lineRule="atLeast"/>
        <w:ind w:firstLine="320" w:firstLineChars="100"/>
        <w:rPr>
          <w:rFonts w:ascii="微软雅黑" w:hAnsi="微软雅黑" w:cs="Helvetica"/>
          <w:color w:val="333333"/>
          <w:sz w:val="21"/>
          <w:szCs w:val="21"/>
        </w:rPr>
      </w:pPr>
      <w:r>
        <w:rPr>
          <w:rFonts w:hint="eastAsia" w:ascii="黑体" w:hAnsi="黑体" w:eastAsia="黑体" w:cs="Helvetica"/>
          <w:color w:val="333333"/>
          <w:sz w:val="32"/>
          <w:szCs w:val="32"/>
        </w:rPr>
        <w:t>三、收到和处理政府信息公开申请情况</w:t>
      </w:r>
    </w:p>
    <w:tbl>
      <w:tblPr>
        <w:tblStyle w:val="6"/>
        <w:tblW w:w="9071" w:type="dxa"/>
        <w:jc w:val="center"/>
        <w:tblLayout w:type="autofit"/>
        <w:tblCellMar>
          <w:top w:w="15" w:type="dxa"/>
          <w:left w:w="15" w:type="dxa"/>
          <w:bottom w:w="15" w:type="dxa"/>
          <w:right w:w="15" w:type="dxa"/>
        </w:tblCellMar>
      </w:tblPr>
      <w:tblGrid>
        <w:gridCol w:w="618"/>
        <w:gridCol w:w="816"/>
        <w:gridCol w:w="2340"/>
        <w:gridCol w:w="712"/>
        <w:gridCol w:w="738"/>
        <w:gridCol w:w="738"/>
        <w:gridCol w:w="793"/>
        <w:gridCol w:w="942"/>
        <w:gridCol w:w="697"/>
        <w:gridCol w:w="677"/>
      </w:tblGrid>
      <w:tr>
        <w:tblPrEx>
          <w:tblCellMar>
            <w:top w:w="15" w:type="dxa"/>
            <w:left w:w="15" w:type="dxa"/>
            <w:bottom w:w="15" w:type="dxa"/>
            <w:right w:w="15" w:type="dxa"/>
          </w:tblCellMar>
        </w:tblPrEx>
        <w:trPr>
          <w:jc w:val="center"/>
        </w:trPr>
        <w:tc>
          <w:tcPr>
            <w:tcW w:w="3774"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（本列数据的勾稽关系为：第一项加第二项之和，等于第三项加第四项之和）</w:t>
            </w:r>
          </w:p>
        </w:tc>
        <w:tc>
          <w:tcPr>
            <w:tcW w:w="5297"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申请人情况</w:t>
            </w:r>
          </w:p>
        </w:tc>
      </w:tr>
      <w:tr>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71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自然人</w:t>
            </w:r>
          </w:p>
        </w:tc>
        <w:tc>
          <w:tcPr>
            <w:tcW w:w="3908"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法人或其他组织</w:t>
            </w:r>
          </w:p>
        </w:tc>
        <w:tc>
          <w:tcPr>
            <w:tcW w:w="67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总计</w:t>
            </w:r>
          </w:p>
        </w:tc>
      </w:tr>
      <w:tr>
        <w:tblPrEx>
          <w:tblCellMar>
            <w:top w:w="15" w:type="dxa"/>
            <w:left w:w="15" w:type="dxa"/>
            <w:bottom w:w="15" w:type="dxa"/>
            <w:right w:w="15"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商业企业</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科研机构</w:t>
            </w:r>
          </w:p>
        </w:tc>
        <w:tc>
          <w:tcPr>
            <w:tcW w:w="79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社会公益组织</w:t>
            </w:r>
          </w:p>
        </w:tc>
        <w:tc>
          <w:tcPr>
            <w:tcW w:w="94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法律服务机构</w:t>
            </w:r>
          </w:p>
        </w:tc>
        <w:tc>
          <w:tcPr>
            <w:tcW w:w="6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其他</w:t>
            </w:r>
          </w:p>
        </w:tc>
        <w:tc>
          <w:tcPr>
            <w:tcW w:w="0" w:type="auto"/>
            <w:vMerge w:val="continue"/>
            <w:tcBorders>
              <w:top w:val="single" w:color="auto" w:sz="8" w:space="0"/>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r>
      <w:tr>
        <w:tblPrEx>
          <w:tblCellMar>
            <w:top w:w="15" w:type="dxa"/>
            <w:left w:w="15" w:type="dxa"/>
            <w:bottom w:w="15" w:type="dxa"/>
            <w:right w:w="15" w:type="dxa"/>
          </w:tblCellMar>
        </w:tblPrEx>
        <w:trPr>
          <w:jc w:val="center"/>
        </w:trPr>
        <w:tc>
          <w:tcPr>
            <w:tcW w:w="3774"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0"/>
                <w:szCs w:val="20"/>
              </w:rPr>
              <w:t>一、本年新收政府信息公开申请数量</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3774"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0"/>
                <w:szCs w:val="20"/>
              </w:rPr>
              <w:t>二、上年结转政府信息公开申请数量</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618"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三、本年度办理结果</w:t>
            </w:r>
          </w:p>
        </w:tc>
        <w:tc>
          <w:tcPr>
            <w:tcW w:w="31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（一）予以公开</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31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（二）部分公开（区分处理的，只计这一情形，不计其他情形）</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81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（三）不予公开</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1.属于国家秘密</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2.其他法律行政法规禁止公开</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3.危及“三安全一稳定”</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4.保护第三方合法权益</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5.属于三类内部事务信息</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6.属于四类过程性信息</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7.属于行政执法案卷</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8.属于行政查询事项</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81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（四）无法提供</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1.本机关不掌握相关政府信息</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2.没有现成信息需要另行制作</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3.补正后申请内容仍不明确</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81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（五）不予处理</w:t>
            </w: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1.信访举报投诉类申请</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2.重复申请</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3.要求提供公开出版物</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4.无正当理由大量反复申请</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23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5.要求行政机关确认或重新出具已获取信息</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31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（六）其他处理</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315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楷体" w:hAnsi="楷体" w:eastAsia="楷体" w:cs="Helvetica"/>
                <w:color w:val="333333"/>
                <w:sz w:val="20"/>
                <w:szCs w:val="20"/>
              </w:rPr>
              <w:t>（七）总计</w:t>
            </w: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3774" w:type="dxa"/>
            <w:gridSpan w:val="3"/>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0"/>
                <w:szCs w:val="20"/>
              </w:rPr>
              <w:t>四、结转下年度继续办理</w:t>
            </w:r>
          </w:p>
        </w:tc>
        <w:tc>
          <w:tcPr>
            <w:tcW w:w="712"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738"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38"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793"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942"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97"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77" w:type="dxa"/>
            <w:tcBorders>
              <w:top w:val="nil"/>
              <w:left w:val="nil"/>
              <w:bottom w:val="nil"/>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r>
      <w:tr>
        <w:tblPrEx>
          <w:tblCellMar>
            <w:top w:w="15" w:type="dxa"/>
            <w:left w:w="15" w:type="dxa"/>
            <w:bottom w:w="15" w:type="dxa"/>
            <w:right w:w="15" w:type="dxa"/>
          </w:tblCellMar>
        </w:tblPrEx>
        <w:trPr>
          <w:jc w:val="center"/>
        </w:trPr>
        <w:tc>
          <w:tcPr>
            <w:tcW w:w="3774"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宋体" w:hAnsi="宋体" w:eastAsia="宋体" w:cs="Helvetica"/>
                <w:color w:val="333333"/>
                <w:sz w:val="20"/>
                <w:szCs w:val="20"/>
              </w:rPr>
            </w:pPr>
          </w:p>
        </w:tc>
        <w:tc>
          <w:tcPr>
            <w:tcW w:w="71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宋体" w:hAnsi="宋体" w:eastAsia="宋体" w:cs="Helvetica"/>
                <w:color w:val="333333"/>
                <w:sz w:val="20"/>
                <w:szCs w:val="20"/>
              </w:rPr>
            </w:pP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p>
        </w:tc>
        <w:tc>
          <w:tcPr>
            <w:tcW w:w="73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p>
        </w:tc>
        <w:tc>
          <w:tcPr>
            <w:tcW w:w="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宋体" w:hAnsi="宋体" w:eastAsia="宋体" w:cs="Helvetica"/>
                <w:color w:val="333333"/>
                <w:sz w:val="20"/>
                <w:szCs w:val="20"/>
              </w:rPr>
            </w:pPr>
          </w:p>
        </w:tc>
        <w:tc>
          <w:tcPr>
            <w:tcW w:w="9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p>
        </w:tc>
        <w:tc>
          <w:tcPr>
            <w:tcW w:w="6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宋体" w:hAnsi="宋体" w:eastAsia="宋体" w:cs="Helvetica"/>
                <w:color w:val="333333"/>
                <w:sz w:val="20"/>
                <w:szCs w:val="20"/>
              </w:rPr>
            </w:pPr>
          </w:p>
        </w:tc>
        <w:tc>
          <w:tcPr>
            <w:tcW w:w="67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宋体" w:hAnsi="宋体" w:eastAsia="宋体" w:cs="Helvetica"/>
                <w:color w:val="333333"/>
                <w:sz w:val="20"/>
                <w:szCs w:val="20"/>
              </w:rPr>
            </w:pPr>
          </w:p>
        </w:tc>
      </w:tr>
    </w:tbl>
    <w:p>
      <w:pPr>
        <w:shd w:val="clear" w:color="auto" w:fill="FFFFFF"/>
        <w:adjustRightInd/>
        <w:snapToGrid/>
        <w:spacing w:after="0" w:line="500" w:lineRule="atLeast"/>
        <w:ind w:firstLine="480"/>
        <w:rPr>
          <w:rFonts w:ascii="黑体" w:hAnsi="黑体" w:eastAsia="黑体" w:cs="Helvetica"/>
          <w:color w:val="333333"/>
          <w:sz w:val="32"/>
          <w:szCs w:val="32"/>
        </w:rPr>
      </w:pPr>
    </w:p>
    <w:p>
      <w:pPr>
        <w:shd w:val="clear" w:color="auto" w:fill="FFFFFF"/>
        <w:adjustRightInd/>
        <w:snapToGrid/>
        <w:spacing w:after="0" w:line="500" w:lineRule="atLeast"/>
        <w:rPr>
          <w:rFonts w:ascii="黑体" w:hAnsi="黑体" w:eastAsia="黑体" w:cs="Helvetica"/>
          <w:color w:val="333333"/>
          <w:sz w:val="32"/>
          <w:szCs w:val="32"/>
        </w:rPr>
      </w:pPr>
    </w:p>
    <w:p>
      <w:pPr>
        <w:shd w:val="clear" w:color="auto" w:fill="FFFFFF"/>
        <w:adjustRightInd/>
        <w:snapToGrid/>
        <w:spacing w:after="0" w:line="500" w:lineRule="atLeast"/>
        <w:ind w:firstLine="480"/>
        <w:rPr>
          <w:rFonts w:ascii="微软雅黑" w:hAnsi="微软雅黑" w:cs="Helvetica"/>
          <w:color w:val="333333"/>
          <w:sz w:val="21"/>
          <w:szCs w:val="21"/>
        </w:rPr>
      </w:pPr>
      <w:r>
        <w:rPr>
          <w:rFonts w:hint="eastAsia" w:ascii="黑体" w:hAnsi="黑体" w:eastAsia="黑体" w:cs="Helvetica"/>
          <w:color w:val="333333"/>
          <w:sz w:val="32"/>
          <w:szCs w:val="32"/>
        </w:rPr>
        <w:t>四、政府信息公开行政复议、行政诉讼情况</w:t>
      </w:r>
    </w:p>
    <w:tbl>
      <w:tblPr>
        <w:tblStyle w:val="6"/>
        <w:tblW w:w="9071" w:type="dxa"/>
        <w:jc w:val="cente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行政诉讼</w:t>
            </w:r>
          </w:p>
        </w:tc>
      </w:tr>
      <w:tr>
        <w:tblPrEx>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复议后起诉</w:t>
            </w:r>
          </w:p>
        </w:tc>
      </w:tr>
      <w:tr>
        <w:tblPrEx>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nil"/>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single" w:color="auto" w:sz="8" w:space="0"/>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single" w:color="auto" w:sz="8" w:space="0"/>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0" w:type="auto"/>
            <w:vMerge w:val="continue"/>
            <w:tcBorders>
              <w:top w:val="single" w:color="auto" w:sz="8" w:space="0"/>
              <w:left w:val="nil"/>
              <w:bottom w:val="single" w:color="auto" w:sz="8" w:space="0"/>
              <w:right w:val="single" w:color="auto" w:sz="8" w:space="0"/>
            </w:tcBorders>
            <w:shd w:val="clear" w:color="auto" w:fill="auto"/>
            <w:vAlign w:val="center"/>
          </w:tcPr>
          <w:p>
            <w:pPr>
              <w:adjustRightInd/>
              <w:snapToGrid/>
              <w:spacing w:after="0"/>
              <w:rPr>
                <w:rFonts w:ascii="微软雅黑" w:hAnsi="微软雅黑" w:cs="Helvetica"/>
                <w:color w:val="333333"/>
                <w:sz w:val="18"/>
                <w:szCs w:val="18"/>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其他结果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尚未审结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其他结果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总计</w:t>
            </w:r>
          </w:p>
        </w:tc>
      </w:tr>
      <w:tr>
        <w:tblPrEx>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微软雅黑" w:hAnsi="微软雅黑" w:cs="Helvetica"/>
                <w:color w:val="333333"/>
                <w:sz w:val="18"/>
                <w:szCs w:val="18"/>
              </w:rPr>
              <w:t> </w:t>
            </w:r>
            <w:r>
              <w:rPr>
                <w:rFonts w:hint="eastAsia" w:ascii="宋体" w:hAnsi="宋体" w:eastAsia="宋体" w:cs="Helvetica"/>
                <w:color w:val="333333"/>
                <w:sz w:val="20"/>
                <w:szCs w:val="20"/>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jc w:val="center"/>
              <w:rPr>
                <w:rFonts w:ascii="微软雅黑" w:hAnsi="微软雅黑" w:cs="Helvetica"/>
                <w:color w:val="333333"/>
                <w:sz w:val="18"/>
                <w:szCs w:val="18"/>
              </w:rPr>
            </w:pPr>
            <w:r>
              <w:rPr>
                <w:rFonts w:hint="eastAsia" w:ascii="宋体" w:hAnsi="宋体" w:eastAsia="宋体" w:cs="Helvetica"/>
                <w:color w:val="333333"/>
                <w:sz w:val="20"/>
                <w:szCs w:val="20"/>
              </w:rPr>
              <w:t>0</w:t>
            </w:r>
            <w:r>
              <w:rPr>
                <w:rFonts w:hint="eastAsia" w:ascii="微软雅黑" w:hAnsi="微软雅黑" w:cs="Helvetica"/>
                <w:color w:val="333333"/>
                <w:sz w:val="18"/>
                <w:szCs w:val="18"/>
              </w:rPr>
              <w:t>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snapToGrid/>
              <w:spacing w:after="0" w:line="500" w:lineRule="atLeast"/>
              <w:rPr>
                <w:rFonts w:ascii="微软雅黑" w:hAnsi="微软雅黑" w:cs="Helvetica"/>
                <w:color w:val="333333"/>
                <w:sz w:val="18"/>
                <w:szCs w:val="18"/>
              </w:rPr>
            </w:pPr>
            <w:r>
              <w:rPr>
                <w:rFonts w:hint="eastAsia" w:ascii="宋体" w:hAnsi="宋体" w:eastAsia="宋体" w:cs="Helvetica"/>
                <w:color w:val="333333"/>
                <w:sz w:val="20"/>
                <w:szCs w:val="20"/>
              </w:rPr>
              <w:t>0</w:t>
            </w:r>
          </w:p>
        </w:tc>
      </w:tr>
    </w:tbl>
    <w:p>
      <w:pPr>
        <w:pStyle w:val="5"/>
        <w:widowControl/>
        <w:shd w:val="clear" w:color="auto" w:fill="FFFFFF"/>
        <w:spacing w:before="376" w:beforeAutospacing="0" w:afterAutospacing="0" w:line="540" w:lineRule="atLeast"/>
        <w:textAlignment w:val="top"/>
        <w:rPr>
          <w:rFonts w:ascii="仿宋" w:hAnsi="仿宋" w:eastAsia="仿宋" w:cs="仿宋"/>
          <w:color w:val="000000"/>
          <w:sz w:val="32"/>
          <w:szCs w:val="32"/>
        </w:rPr>
      </w:pPr>
      <w:r>
        <w:rPr>
          <w:rStyle w:val="8"/>
          <w:rFonts w:hint="eastAsia" w:ascii="仿宋" w:hAnsi="仿宋" w:eastAsia="仿宋" w:cs="仿宋"/>
          <w:color w:val="000000"/>
          <w:sz w:val="32"/>
          <w:szCs w:val="32"/>
          <w:shd w:val="clear" w:color="auto" w:fill="FFFFFF"/>
        </w:rPr>
        <w:t>　五、存在的主要问题及改进情况</w:t>
      </w:r>
    </w:p>
    <w:p>
      <w:pPr>
        <w:pStyle w:val="5"/>
        <w:shd w:val="clear" w:color="auto" w:fill="FFFFFF"/>
        <w:spacing w:before="100" w:after="100" w:line="560" w:lineRule="exact"/>
        <w:ind w:firstLine="641"/>
        <w:rPr>
          <w:rFonts w:ascii="仿宋" w:hAnsi="仿宋" w:eastAsia="仿宋" w:cs="Helvetica"/>
          <w:color w:val="333333"/>
          <w:sz w:val="32"/>
          <w:szCs w:val="32"/>
        </w:rPr>
      </w:pPr>
      <w:r>
        <w:rPr>
          <w:rFonts w:hint="eastAsia" w:ascii="仿宋" w:hAnsi="仿宋" w:eastAsia="仿宋" w:cs="Helvetica"/>
          <w:color w:val="333333"/>
          <w:sz w:val="32"/>
          <w:szCs w:val="32"/>
        </w:rPr>
        <w:t>　我乡政府信息公开仍存在着公开政府信息的意识有待提高；解读形式缺乏多样性、时效性；群众的参与感不强等问题。2021年，我乡将采取以下措施加以改进：</w:t>
      </w:r>
    </w:p>
    <w:p>
      <w:pPr>
        <w:shd w:val="clear" w:color="auto" w:fill="FFFFFF"/>
        <w:adjustRightInd/>
        <w:snapToGrid/>
        <w:spacing w:after="0" w:line="500" w:lineRule="atLeast"/>
        <w:rPr>
          <w:rFonts w:ascii="微软雅黑" w:hAnsi="微软雅黑" w:cs="Helvetica"/>
          <w:color w:val="333333"/>
          <w:sz w:val="21"/>
          <w:szCs w:val="21"/>
        </w:rPr>
      </w:pPr>
      <w:r>
        <w:rPr>
          <w:rFonts w:hint="eastAsia" w:ascii="仿宋" w:hAnsi="仿宋" w:eastAsia="仿宋" w:cs="Helvetica"/>
          <w:color w:val="333333"/>
          <w:sz w:val="32"/>
          <w:szCs w:val="32"/>
        </w:rPr>
        <w:t>　</w:t>
      </w:r>
      <w:r>
        <w:rPr>
          <w:rFonts w:hint="eastAsia" w:ascii="微软雅黑" w:hAnsi="微软雅黑" w:cs="Helvetica"/>
          <w:color w:val="333333"/>
          <w:sz w:val="21"/>
          <w:szCs w:val="21"/>
        </w:rPr>
        <w:t> </w:t>
      </w:r>
      <w:r>
        <w:rPr>
          <w:rFonts w:hint="eastAsia" w:ascii="宋体" w:hAnsi="宋体" w:eastAsia="宋体" w:cs="宋体"/>
          <w:b/>
          <w:bCs/>
          <w:color w:val="333333"/>
          <w:sz w:val="32"/>
          <w:szCs w:val="32"/>
        </w:rPr>
        <w:t> </w:t>
      </w:r>
      <w:r>
        <w:rPr>
          <w:rFonts w:hint="eastAsia" w:ascii="楷体" w:hAnsi="楷体" w:eastAsia="楷体" w:cs="Helvetica"/>
          <w:b/>
          <w:bCs/>
          <w:color w:val="333333"/>
          <w:sz w:val="32"/>
          <w:szCs w:val="32"/>
        </w:rPr>
        <w:t>（一）统一认识，改进工作作风。</w:t>
      </w:r>
      <w:r>
        <w:rPr>
          <w:rFonts w:hint="eastAsia" w:ascii="仿宋" w:hAnsi="仿宋" w:eastAsia="仿宋" w:cs="Helvetica"/>
          <w:color w:val="333333"/>
          <w:sz w:val="32"/>
          <w:szCs w:val="32"/>
        </w:rPr>
        <w:t>主动与上级业务部门的沟通联系，积极组织工作人员参加政府信息公开工作的培训，加强对有关政策和理论知识的学习，增强工作人员的信息公开意识，提高政府信息公开业务水平。</w:t>
      </w:r>
    </w:p>
    <w:p>
      <w:pPr>
        <w:shd w:val="clear" w:color="auto" w:fill="FFFFFF"/>
        <w:adjustRightInd/>
        <w:snapToGrid/>
        <w:spacing w:after="0" w:line="500" w:lineRule="atLeast"/>
        <w:ind w:firstLine="640"/>
        <w:rPr>
          <w:rFonts w:ascii="微软雅黑" w:hAnsi="微软雅黑" w:cs="Helvetica"/>
          <w:color w:val="333333"/>
          <w:sz w:val="21"/>
          <w:szCs w:val="21"/>
        </w:rPr>
      </w:pPr>
      <w:r>
        <w:rPr>
          <w:rFonts w:hint="eastAsia" w:ascii="楷体" w:hAnsi="楷体" w:eastAsia="楷体" w:cs="Helvetica"/>
          <w:b/>
          <w:bCs/>
          <w:color w:val="333333"/>
          <w:sz w:val="32"/>
          <w:szCs w:val="32"/>
        </w:rPr>
        <w:t>（二）落到实际，建立长效机制。</w:t>
      </w:r>
      <w:r>
        <w:rPr>
          <w:rFonts w:hint="eastAsia" w:ascii="仿宋" w:hAnsi="仿宋" w:eastAsia="仿宋" w:cs="Helvetica"/>
          <w:color w:val="333333"/>
          <w:sz w:val="32"/>
          <w:szCs w:val="32"/>
        </w:rPr>
        <w:t>深化落实各项工作制度、工作责任制及措施，把政务公开工作作为长期的动态工作落到实处，切实提高政府信息公开的及时性、准确性、时效性。</w:t>
      </w:r>
    </w:p>
    <w:p>
      <w:pPr>
        <w:shd w:val="clear" w:color="auto" w:fill="FFFFFF"/>
        <w:adjustRightInd/>
        <w:snapToGrid/>
        <w:spacing w:after="0" w:line="500" w:lineRule="atLeast"/>
        <w:ind w:firstLine="640"/>
        <w:rPr>
          <w:rFonts w:hint="eastAsia" w:ascii="仿宋" w:hAnsi="仿宋" w:eastAsia="仿宋" w:cs="Helvetica"/>
          <w:color w:val="333333"/>
          <w:sz w:val="32"/>
          <w:szCs w:val="32"/>
        </w:rPr>
      </w:pPr>
      <w:r>
        <w:rPr>
          <w:rFonts w:hint="eastAsia" w:ascii="楷体" w:hAnsi="楷体" w:eastAsia="楷体" w:cs="Helvetica"/>
          <w:b/>
          <w:bCs/>
          <w:color w:val="333333"/>
          <w:sz w:val="32"/>
          <w:szCs w:val="32"/>
        </w:rPr>
        <w:t>（三）拓宽渠道，丰富公开内容。</w:t>
      </w:r>
      <w:r>
        <w:rPr>
          <w:rFonts w:hint="eastAsia" w:ascii="仿宋" w:hAnsi="仿宋" w:eastAsia="仿宋" w:cs="Helvetica"/>
          <w:color w:val="333333"/>
          <w:sz w:val="32"/>
          <w:szCs w:val="32"/>
        </w:rPr>
        <w:t>加快推进政府网站建设，强化公众参与功能，听取公众对政务信息公开工作的意见和建议，以社会需求为导向，有效推进政务公开工作。</w:t>
      </w:r>
    </w:p>
    <w:p>
      <w:pPr>
        <w:shd w:val="clear" w:color="auto" w:fill="FFFFFF"/>
        <w:adjustRightInd/>
        <w:snapToGrid/>
        <w:spacing w:after="0" w:line="500" w:lineRule="atLeast"/>
        <w:ind w:firstLine="640"/>
        <w:rPr>
          <w:rFonts w:ascii="仿宋" w:hAnsi="仿宋" w:eastAsia="仿宋" w:cs="仿宋"/>
          <w:color w:val="000000"/>
          <w:sz w:val="32"/>
          <w:szCs w:val="32"/>
        </w:rPr>
      </w:pPr>
      <w:r>
        <w:rPr>
          <w:rStyle w:val="8"/>
          <w:rFonts w:hint="eastAsia" w:ascii="仿宋" w:hAnsi="仿宋" w:eastAsia="仿宋" w:cs="仿宋"/>
          <w:color w:val="000000"/>
          <w:sz w:val="32"/>
          <w:szCs w:val="32"/>
          <w:shd w:val="clear" w:color="auto" w:fill="FFFFFF"/>
        </w:rPr>
        <w:t>六、其他需要报告的事项</w:t>
      </w:r>
    </w:p>
    <w:p>
      <w:pPr>
        <w:pStyle w:val="5"/>
        <w:widowControl/>
        <w:shd w:val="clear" w:color="auto" w:fill="FFFFFF"/>
        <w:tabs>
          <w:tab w:val="left" w:pos="1455"/>
        </w:tabs>
        <w:spacing w:before="376" w:beforeAutospacing="0" w:afterAutospacing="0" w:line="540" w:lineRule="atLeast"/>
        <w:ind w:firstLine="640" w:firstLineChars="200"/>
        <w:textAlignment w:val="top"/>
        <w:rPr>
          <w:rFonts w:ascii="仿宋" w:hAnsi="仿宋" w:eastAsia="仿宋" w:cs="Helvetica"/>
          <w:color w:val="333333"/>
          <w:sz w:val="32"/>
          <w:szCs w:val="32"/>
        </w:rPr>
      </w:pPr>
      <w:r>
        <w:rPr>
          <w:rFonts w:hint="eastAsia" w:ascii="仿宋" w:hAnsi="仿宋" w:eastAsia="仿宋" w:cs="Helvetica"/>
          <w:color w:val="333333"/>
          <w:sz w:val="32"/>
          <w:szCs w:val="32"/>
        </w:rPr>
        <w:t>无</w:t>
      </w:r>
      <w:r>
        <w:rPr>
          <w:rFonts w:ascii="仿宋" w:hAnsi="仿宋" w:eastAsia="仿宋" w:cs="Helvetica"/>
          <w:color w:val="333333"/>
          <w:sz w:val="32"/>
          <w:szCs w:val="32"/>
        </w:rPr>
        <w:tab/>
      </w:r>
    </w:p>
    <w:p>
      <w:pPr>
        <w:spacing w:line="220" w:lineRule="atLeast"/>
      </w:pPr>
    </w:p>
    <w:p>
      <w:pPr>
        <w:spacing w:line="220" w:lineRule="atLeast"/>
      </w:pPr>
    </w:p>
    <w:p>
      <w:pPr>
        <w:spacing w:line="220" w:lineRule="atLeast"/>
      </w:pPr>
    </w:p>
    <w:p>
      <w:pPr>
        <w:spacing w:line="220" w:lineRule="atLeast"/>
        <w:rPr>
          <w:rFonts w:hint="eastAsia" w:ascii="仿宋" w:hAnsi="仿宋" w:eastAsia="仿宋" w:cs="仿宋"/>
          <w:sz w:val="32"/>
          <w:szCs w:val="32"/>
        </w:rPr>
      </w:pPr>
    </w:p>
    <w:p>
      <w:pPr>
        <w:spacing w:line="220" w:lineRule="atLeas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福兴乡人民政府</w:t>
      </w:r>
    </w:p>
    <w:p>
      <w:pPr>
        <w:spacing w:line="220" w:lineRule="atLeast"/>
        <w:ind w:firstLine="4800" w:firstLineChars="15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2021年1月19日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TVlOWVjN2RlODkxN2Q1MGI5NDM5NTRlZmMzN2FiODgifQ=="/>
  </w:docVars>
  <w:rsids>
    <w:rsidRoot w:val="00D31D50"/>
    <w:rsid w:val="00046154"/>
    <w:rsid w:val="00064515"/>
    <w:rsid w:val="00075570"/>
    <w:rsid w:val="0012096A"/>
    <w:rsid w:val="00127129"/>
    <w:rsid w:val="00136EF4"/>
    <w:rsid w:val="00285746"/>
    <w:rsid w:val="002923F3"/>
    <w:rsid w:val="002D51E2"/>
    <w:rsid w:val="00323B43"/>
    <w:rsid w:val="003804F5"/>
    <w:rsid w:val="003D37D8"/>
    <w:rsid w:val="00402206"/>
    <w:rsid w:val="00426133"/>
    <w:rsid w:val="004358AB"/>
    <w:rsid w:val="00663257"/>
    <w:rsid w:val="00667408"/>
    <w:rsid w:val="006C488A"/>
    <w:rsid w:val="00711904"/>
    <w:rsid w:val="007134DE"/>
    <w:rsid w:val="00731AB3"/>
    <w:rsid w:val="008A51F5"/>
    <w:rsid w:val="008B7726"/>
    <w:rsid w:val="008C5126"/>
    <w:rsid w:val="00B20554"/>
    <w:rsid w:val="00B30BA8"/>
    <w:rsid w:val="00B628AF"/>
    <w:rsid w:val="00C363ED"/>
    <w:rsid w:val="00D31D50"/>
    <w:rsid w:val="00DB0F27"/>
    <w:rsid w:val="00E72CE5"/>
    <w:rsid w:val="00F917DC"/>
    <w:rsid w:val="02D64FD4"/>
    <w:rsid w:val="29961E1B"/>
    <w:rsid w:val="42714E50"/>
    <w:rsid w:val="4CBA1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after="0"/>
    </w:pPr>
    <w:rPr>
      <w:sz w:val="18"/>
      <w:szCs w:val="18"/>
    </w:r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uiPriority w:val="99"/>
    <w:pPr>
      <w:widowControl w:val="0"/>
      <w:adjustRightInd/>
      <w:snapToGrid/>
      <w:spacing w:beforeAutospacing="1" w:after="0" w:afterAutospacing="1"/>
    </w:pPr>
    <w:rPr>
      <w:rFonts w:cs="Times New Roman" w:asciiTheme="minorHAnsi" w:hAnsiTheme="minorHAnsi" w:eastAsiaTheme="minorEastAsia"/>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rFonts w:ascii="Tahoma" w:hAnsi="Tahoma"/>
      <w:sz w:val="18"/>
      <w:szCs w:val="18"/>
    </w:rPr>
  </w:style>
  <w:style w:type="character" w:customStyle="1" w:styleId="10">
    <w:name w:val="页脚 Char"/>
    <w:basedOn w:val="7"/>
    <w:link w:val="3"/>
    <w:semiHidden/>
    <w:uiPriority w:val="99"/>
    <w:rPr>
      <w:rFonts w:ascii="Tahoma" w:hAnsi="Tahoma"/>
      <w:sz w:val="18"/>
      <w:szCs w:val="18"/>
    </w:rPr>
  </w:style>
  <w:style w:type="character" w:customStyle="1" w:styleId="11">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385</Words>
  <Characters>2198</Characters>
  <Lines>18</Lines>
  <Paragraphs>5</Paragraphs>
  <TotalTime>7</TotalTime>
  <ScaleCrop>false</ScaleCrop>
  <LinksUpToDate>false</LinksUpToDate>
  <CharactersWithSpaces>2578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零距离不是没距离</cp:lastModifiedBy>
  <dcterms:modified xsi:type="dcterms:W3CDTF">2023-12-14T00:37:07Z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201C9D41F99A42B4B4E28F686F60FDB2_12</vt:lpwstr>
  </property>
</Properties>
</file>