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0"/>
        <w:jc w:val="center"/>
        <w:textAlignment w:val="auto"/>
        <w:rPr>
          <w:rStyle w:val="5"/>
          <w:rFonts w:hint="eastAsia" w:ascii="方正小标宋简体" w:hAnsi="方正小标宋简体" w:eastAsia="方正小标宋简体" w:cs="方正小标宋简体"/>
          <w:b w:val="0"/>
          <w:bCs/>
          <w:i w:val="0"/>
          <w:caps w:val="0"/>
          <w:color w:val="000000" w:themeColor="text1"/>
          <w:spacing w:val="0"/>
          <w:sz w:val="44"/>
          <w:szCs w:val="44"/>
          <w:u w:val="none"/>
          <w:shd w:val="clear" w:fill="FFFFFF"/>
          <w:lang w:val="en-US" w:eastAsia="zh-CN"/>
          <w14:textFill>
            <w14:solidFill>
              <w14:schemeClr w14:val="tx1"/>
            </w14:solidFill>
          </w14:textFill>
        </w:rPr>
      </w:pPr>
      <w:r>
        <w:rPr>
          <w:rStyle w:val="5"/>
          <w:rFonts w:hint="eastAsia" w:ascii="方正小标宋简体" w:hAnsi="方正小标宋简体" w:eastAsia="方正小标宋简体" w:cs="方正小标宋简体"/>
          <w:b w:val="0"/>
          <w:bCs/>
          <w:i w:val="0"/>
          <w:caps w:val="0"/>
          <w:color w:val="000000" w:themeColor="text1"/>
          <w:spacing w:val="0"/>
          <w:sz w:val="44"/>
          <w:szCs w:val="44"/>
          <w:u w:val="none"/>
          <w:shd w:val="clear" w:fill="FFFFFF"/>
          <w:lang w:val="en-US" w:eastAsia="zh-CN"/>
          <w14:textFill>
            <w14:solidFill>
              <w14:schemeClr w14:val="tx1"/>
            </w14:solidFill>
          </w14:textFill>
        </w:rPr>
        <w:t>绥滨县</w:t>
      </w:r>
      <w:r>
        <w:rPr>
          <w:rStyle w:val="5"/>
          <w:rFonts w:hint="eastAsia" w:ascii="方正小标宋简体" w:hAnsi="方正小标宋简体" w:eastAsia="方正小标宋简体" w:cs="方正小标宋简体"/>
          <w:b w:val="0"/>
          <w:bCs/>
          <w:i w:val="0"/>
          <w:caps w:val="0"/>
          <w:color w:val="000000" w:themeColor="text1"/>
          <w:spacing w:val="0"/>
          <w:sz w:val="44"/>
          <w:szCs w:val="44"/>
          <w:u w:val="none"/>
          <w:shd w:val="clear" w:fill="FFFFFF"/>
          <w14:textFill>
            <w14:solidFill>
              <w14:schemeClr w14:val="tx1"/>
            </w14:solidFill>
          </w14:textFill>
        </w:rPr>
        <w:t>退役军人事务局</w:t>
      </w:r>
      <w:r>
        <w:rPr>
          <w:rStyle w:val="5"/>
          <w:rFonts w:hint="eastAsia" w:ascii="方正小标宋简体" w:hAnsi="方正小标宋简体" w:eastAsia="方正小标宋简体" w:cs="方正小标宋简体"/>
          <w:b w:val="0"/>
          <w:bCs/>
          <w:i w:val="0"/>
          <w:caps w:val="0"/>
          <w:color w:val="000000" w:themeColor="text1"/>
          <w:spacing w:val="0"/>
          <w:sz w:val="44"/>
          <w:szCs w:val="44"/>
          <w:u w:val="none"/>
          <w:shd w:val="clear" w:fill="FFFFFF"/>
          <w:lang w:val="en-US" w:eastAsia="zh-CN"/>
          <w14:textFill>
            <w14:solidFill>
              <w14:schemeClr w14:val="tx1"/>
            </w14:solidFill>
          </w14:textFill>
        </w:rPr>
        <w:t>2020</w:t>
      </w:r>
      <w:r>
        <w:rPr>
          <w:rStyle w:val="5"/>
          <w:rFonts w:hint="eastAsia" w:ascii="方正小标宋简体" w:hAnsi="方正小标宋简体" w:eastAsia="方正小标宋简体" w:cs="方正小标宋简体"/>
          <w:b w:val="0"/>
          <w:bCs/>
          <w:i w:val="0"/>
          <w:caps w:val="0"/>
          <w:color w:val="000000" w:themeColor="text1"/>
          <w:spacing w:val="0"/>
          <w:sz w:val="44"/>
          <w:szCs w:val="44"/>
          <w:u w:val="none"/>
          <w:shd w:val="clear" w:fill="FFFFFF"/>
          <w14:textFill>
            <w14:solidFill>
              <w14:schemeClr w14:val="tx1"/>
            </w14:solidFill>
          </w14:textFill>
        </w:rPr>
        <w:t>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firstLine="0"/>
        <w:jc w:val="center"/>
        <w:textAlignment w:val="auto"/>
        <w:rPr>
          <w:rFonts w:ascii="Segoe UI" w:hAnsi="Segoe UI" w:eastAsia="Segoe UI" w:cs="Segoe UI"/>
          <w:b w:val="0"/>
          <w:i w:val="0"/>
          <w:caps w:val="0"/>
          <w:color w:val="000000" w:themeColor="text1"/>
          <w:spacing w:val="0"/>
          <w:sz w:val="24"/>
          <w:szCs w:val="24"/>
          <w:u w:val="none"/>
          <w14:textFill>
            <w14:solidFill>
              <w14:schemeClr w14:val="tx1"/>
            </w14:solidFill>
          </w14:textFill>
        </w:rPr>
      </w:pPr>
      <w:r>
        <w:rPr>
          <w:rStyle w:val="5"/>
          <w:rFonts w:hint="eastAsia" w:ascii="方正小标宋简体" w:hAnsi="方正小标宋简体" w:eastAsia="方正小标宋简体" w:cs="方正小标宋简体"/>
          <w:b w:val="0"/>
          <w:bCs/>
          <w:i w:val="0"/>
          <w:caps w:val="0"/>
          <w:color w:val="000000" w:themeColor="text1"/>
          <w:spacing w:val="0"/>
          <w:sz w:val="44"/>
          <w:szCs w:val="44"/>
          <w:u w:val="none"/>
          <w:shd w:val="clear" w:fill="FFFFFF"/>
          <w14:textFill>
            <w14:solidFill>
              <w14:schemeClr w14:val="tx1"/>
            </w14:solidFill>
          </w14:textFill>
        </w:rPr>
        <w:t>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firstLine="420"/>
        <w:jc w:val="both"/>
        <w:textAlignment w:val="auto"/>
        <w:rPr>
          <w:rFonts w:hint="eastAsia" w:ascii="宋体" w:hAnsi="宋体" w:eastAsia="宋体" w:cs="宋体"/>
          <w:sz w:val="24"/>
          <w:szCs w:val="24"/>
          <w:u w:val="none"/>
        </w:rPr>
      </w:pPr>
      <w:r>
        <w:rPr>
          <w:rFonts w:hint="eastAsia" w:ascii="宋体" w:hAnsi="宋体" w:eastAsia="宋体" w:cs="宋体"/>
          <w:b w:val="0"/>
          <w:i w:val="0"/>
          <w:caps w:val="0"/>
          <w:color w:val="212529"/>
          <w:spacing w:val="0"/>
          <w:sz w:val="24"/>
          <w:szCs w:val="24"/>
          <w:u w:val="none"/>
          <w:shd w:val="clear" w:fill="FFFFFF"/>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sz w:val="32"/>
          <w:szCs w:val="32"/>
          <w:u w:val="none"/>
        </w:rPr>
      </w:pPr>
      <w:r>
        <w:rPr>
          <w:rFonts w:hint="eastAsia" w:ascii="黑体" w:hAnsi="黑体" w:eastAsia="黑体" w:cs="黑体"/>
          <w:b w:val="0"/>
          <w:i w:val="0"/>
          <w:caps w:val="0"/>
          <w:color w:val="212529"/>
          <w:spacing w:val="0"/>
          <w:sz w:val="32"/>
          <w:szCs w:val="32"/>
          <w:u w:val="none"/>
          <w:shd w:val="clear" w:fill="FFFFFF"/>
        </w:rPr>
        <w:t>一、总体情况</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212529"/>
          <w:spacing w:val="0"/>
          <w:kern w:val="0"/>
          <w:sz w:val="32"/>
          <w:szCs w:val="32"/>
          <w:u w:val="none"/>
          <w:shd w:val="clear" w:fill="FFFFFF"/>
          <w:lang w:val="en-US" w:eastAsia="zh-CN" w:bidi="ar"/>
        </w:rPr>
        <w:t>2020年，绥滨县退役军人事务局按照县委、县政府统一部署，全面推进依法行政，进一步树立“信息公开是常态、不公开是例外”的理念，扎实做好政务信息公开工作，不断提升政府信息公开工作对服务退役军人各项事务发展的质量和水平。一年来我局依托绥滨县人民政府网公开信息，2020年主动公开政府信息42条，其中，政策文件信息4条；文件解读信息5条；工作动态信息18条；重要会议信息10条；公示公告信息5条。</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b w:val="0"/>
          <w:i w:val="0"/>
          <w:caps w:val="0"/>
          <w:color w:val="212529"/>
          <w:spacing w:val="0"/>
          <w:kern w:val="0"/>
          <w:sz w:val="32"/>
          <w:szCs w:val="32"/>
          <w:u w:val="none"/>
          <w:shd w:val="clear" w:fill="FFFFFF"/>
          <w:lang w:val="en-US" w:eastAsia="zh-CN" w:bidi="ar"/>
        </w:rPr>
        <w:t>（一）领导重视，健全工作机制。</w:t>
      </w:r>
      <w:r>
        <w:rPr>
          <w:rFonts w:hint="eastAsia" w:ascii="仿宋_GB2312" w:hAnsi="仿宋_GB2312" w:eastAsia="仿宋_GB2312" w:cs="仿宋_GB2312"/>
          <w:b w:val="0"/>
          <w:i w:val="0"/>
          <w:caps w:val="0"/>
          <w:color w:val="212529"/>
          <w:spacing w:val="0"/>
          <w:kern w:val="0"/>
          <w:sz w:val="32"/>
          <w:szCs w:val="32"/>
          <w:u w:val="none"/>
          <w:shd w:val="clear" w:fill="FFFFFF"/>
          <w:lang w:val="en-US" w:eastAsia="zh-CN" w:bidi="ar"/>
        </w:rPr>
        <w:t>局党组高度重视政府信息公开工作，认真组织学习《中华人民共和国政府信息公开条例》相关内容，并就贯彻落实提出具体意见，明确副局长何国巍同志为局分管领导，局办公室具体承担政府信息公开日常工作，并把县政府信息网作为政府信息公开的主要平台。同时，为进一步开展好政府信息公开工作，建立专人具体负责，各股室、下属单位负责人配合的工作机制。</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jc w:val="both"/>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b w:val="0"/>
          <w:i w:val="0"/>
          <w:caps w:val="0"/>
          <w:color w:val="212529"/>
          <w:spacing w:val="0"/>
          <w:kern w:val="0"/>
          <w:sz w:val="32"/>
          <w:szCs w:val="32"/>
          <w:u w:val="none"/>
          <w:shd w:val="clear" w:fill="FFFFFF"/>
          <w:lang w:val="en-US" w:eastAsia="zh-CN" w:bidi="ar"/>
        </w:rPr>
        <w:t>（二）加强学习，提高能力素质。</w:t>
      </w:r>
      <w:r>
        <w:rPr>
          <w:rFonts w:hint="eastAsia" w:ascii="仿宋_GB2312" w:hAnsi="仿宋_GB2312" w:eastAsia="仿宋_GB2312" w:cs="仿宋_GB2312"/>
          <w:b w:val="0"/>
          <w:i w:val="0"/>
          <w:caps w:val="0"/>
          <w:color w:val="212529"/>
          <w:spacing w:val="0"/>
          <w:kern w:val="0"/>
          <w:sz w:val="32"/>
          <w:szCs w:val="32"/>
          <w:u w:val="none"/>
          <w:shd w:val="clear" w:fill="FFFFFF"/>
          <w:lang w:val="en-US" w:eastAsia="zh-CN" w:bidi="ar"/>
        </w:rPr>
        <w:t>实行政府信息公开，可以提高我局工作的透明度，促进依法行政，改善服务提高行政效能，从而更好的服务于全市广大人民群众、退役军人军属以及经济社会发展。为此，我局组织工作人员积极参加各级举办的相关培训，提高政府信息公开工作人员综合素质和业务水平。负责信息公开的工作人员认真学习《条例》等相关政策以及政府信息界定、保密、办理政府信息公开申请及政策咨询等内容。通过职工大讲堂等活动的开展，组织全局干部职工进行政府信息公开工作培训，强化干部职工综合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i w:val="0"/>
          <w:caps w:val="0"/>
          <w:color w:val="212529"/>
          <w:spacing w:val="0"/>
          <w:sz w:val="32"/>
          <w:szCs w:val="32"/>
          <w:u w:val="none"/>
          <w:shd w:val="clear" w:fill="FFFFFF"/>
        </w:rPr>
      </w:pPr>
      <w:r>
        <w:rPr>
          <w:rFonts w:hint="eastAsia" w:ascii="楷体_GB2312" w:hAnsi="楷体_GB2312" w:eastAsia="楷体_GB2312" w:cs="楷体_GB2312"/>
          <w:b w:val="0"/>
          <w:i w:val="0"/>
          <w:caps w:val="0"/>
          <w:color w:val="212529"/>
          <w:spacing w:val="0"/>
          <w:kern w:val="0"/>
          <w:sz w:val="32"/>
          <w:szCs w:val="32"/>
          <w:u w:val="none"/>
          <w:shd w:val="clear" w:fill="FFFFFF"/>
          <w:lang w:val="en-US" w:eastAsia="zh-CN" w:bidi="ar"/>
        </w:rPr>
        <w:t>（三）落实责任，按时完成公开。</w:t>
      </w:r>
      <w:r>
        <w:rPr>
          <w:rFonts w:hint="eastAsia" w:ascii="仿宋_GB2312" w:hAnsi="仿宋_GB2312" w:eastAsia="仿宋_GB2312" w:cs="仿宋_GB2312"/>
          <w:b w:val="0"/>
          <w:i w:val="0"/>
          <w:caps w:val="0"/>
          <w:color w:val="212529"/>
          <w:spacing w:val="0"/>
          <w:sz w:val="32"/>
          <w:szCs w:val="32"/>
          <w:u w:val="none"/>
          <w:shd w:val="clear" w:fill="FFFFFF"/>
        </w:rPr>
        <w:t>我局政府信息公开工作做到了专人负责、专人管理。通过任务层层分解，并落实到具体股室、具体人员，切实保障政府信息公开工作的顺利推进。对公开的信息按照“谁产生、谁发布、谁审核、谁负责”的原则，对不涉密信息面向社会主动公开。</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sz w:val="32"/>
          <w:szCs w:val="32"/>
          <w:u w:val="none"/>
        </w:rPr>
      </w:pPr>
      <w:r>
        <w:rPr>
          <w:rFonts w:hint="eastAsia" w:ascii="黑体" w:hAnsi="黑体" w:eastAsia="黑体" w:cs="黑体"/>
          <w:b w:val="0"/>
          <w:i w:val="0"/>
          <w:caps w:val="0"/>
          <w:color w:val="212529"/>
          <w:spacing w:val="0"/>
          <w:sz w:val="32"/>
          <w:szCs w:val="32"/>
          <w:u w:val="none"/>
          <w:shd w:val="clear" w:fill="FFFFFF"/>
        </w:rPr>
        <w:t>二、主动公开政府信息情况</w:t>
      </w:r>
    </w:p>
    <w:tbl>
      <w:tblPr>
        <w:tblStyle w:val="3"/>
        <w:tblW w:w="8140" w:type="dxa"/>
        <w:jc w:val="center"/>
        <w:shd w:val="clear" w:color="auto" w:fill="auto"/>
        <w:tblLayout w:type="autofit"/>
        <w:tblCellMar>
          <w:top w:w="15" w:type="dxa"/>
          <w:left w:w="15" w:type="dxa"/>
          <w:bottom w:w="15" w:type="dxa"/>
          <w:right w:w="15" w:type="dxa"/>
        </w:tblCellMar>
      </w:tblPr>
      <w:tblGrid>
        <w:gridCol w:w="3113"/>
        <w:gridCol w:w="1875"/>
        <w:gridCol w:w="6"/>
        <w:gridCol w:w="1265"/>
        <w:gridCol w:w="1881"/>
      </w:tblGrid>
      <w:tr>
        <w:tblPrEx>
          <w:shd w:val="clear" w:color="auto" w:fill="auto"/>
          <w:tblCellMar>
            <w:top w:w="15" w:type="dxa"/>
            <w:left w:w="15" w:type="dxa"/>
            <w:bottom w:w="15" w:type="dxa"/>
            <w:right w:w="15"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第二十条第（一）项</w:t>
            </w:r>
          </w:p>
        </w:tc>
      </w:tr>
      <w:tr>
        <w:tblPrEx>
          <w:tblCellMar>
            <w:top w:w="15" w:type="dxa"/>
            <w:left w:w="15" w:type="dxa"/>
            <w:bottom w:w="15" w:type="dxa"/>
            <w:right w:w="15"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本年新</w:t>
            </w:r>
            <w:r>
              <w:rPr>
                <w:rFonts w:hint="eastAsia" w:ascii="宋体" w:hAnsi="宋体" w:eastAsia="宋体" w:cs="宋体"/>
                <w:b w:val="0"/>
                <w:kern w:val="0"/>
                <w:sz w:val="20"/>
                <w:szCs w:val="20"/>
                <w:u w:val="none"/>
                <w:lang w:val="en-US" w:eastAsia="zh-CN" w:bidi="ar"/>
              </w:rPr>
              <w:br w:type="textWrapping"/>
            </w:r>
            <w:r>
              <w:rPr>
                <w:rFonts w:hint="eastAsia" w:ascii="宋体" w:hAnsi="宋体" w:eastAsia="宋体" w:cs="宋体"/>
                <w:b w:val="0"/>
                <w:kern w:val="0"/>
                <w:sz w:val="20"/>
                <w:szCs w:val="20"/>
                <w:u w:val="none"/>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本年新</w:t>
            </w:r>
            <w:r>
              <w:rPr>
                <w:rFonts w:hint="eastAsia" w:ascii="宋体" w:hAnsi="宋体" w:eastAsia="宋体" w:cs="宋体"/>
                <w:b w:val="0"/>
                <w:kern w:val="0"/>
                <w:sz w:val="20"/>
                <w:szCs w:val="20"/>
                <w:u w:val="none"/>
                <w:lang w:val="en-US" w:eastAsia="zh-CN" w:bidi="ar"/>
              </w:rPr>
              <w:br w:type="textWrapping"/>
            </w:r>
            <w:r>
              <w:rPr>
                <w:rFonts w:hint="eastAsia" w:ascii="宋体" w:hAnsi="宋体" w:eastAsia="宋体" w:cs="宋体"/>
                <w:b w:val="0"/>
                <w:kern w:val="0"/>
                <w:sz w:val="20"/>
                <w:szCs w:val="20"/>
                <w:u w:val="none"/>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对外公开总数量</w:t>
            </w:r>
          </w:p>
        </w:tc>
      </w:tr>
      <w:tr>
        <w:tblPrEx>
          <w:tblCellMar>
            <w:top w:w="15" w:type="dxa"/>
            <w:left w:w="15" w:type="dxa"/>
            <w:bottom w:w="15" w:type="dxa"/>
            <w:right w:w="15"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宋体" w:hAnsi="宋体" w:eastAsia="宋体" w:cs="宋体"/>
                <w:b w:val="0"/>
                <w:kern w:val="0"/>
                <w:sz w:val="20"/>
                <w:szCs w:val="20"/>
                <w:u w:val="none"/>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c>
          <w:tcPr>
            <w:tcW w:w="127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CellMar>
            <w:top w:w="15" w:type="dxa"/>
            <w:left w:w="15" w:type="dxa"/>
            <w:bottom w:w="15" w:type="dxa"/>
            <w:right w:w="15"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宋体" w:hAnsi="宋体" w:eastAsia="宋体" w:cs="宋体"/>
                <w:b w:val="0"/>
                <w:kern w:val="0"/>
                <w:sz w:val="20"/>
                <w:szCs w:val="20"/>
                <w:u w:val="none"/>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c>
          <w:tcPr>
            <w:tcW w:w="127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CellMar>
            <w:top w:w="15" w:type="dxa"/>
            <w:left w:w="15" w:type="dxa"/>
            <w:bottom w:w="15" w:type="dxa"/>
            <w:right w:w="15"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第二十条第（五）项</w:t>
            </w:r>
          </w:p>
        </w:tc>
      </w:tr>
      <w:tr>
        <w:tblPrEx>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本年增/减</w:t>
            </w:r>
          </w:p>
        </w:tc>
        <w:tc>
          <w:tcPr>
            <w:tcW w:w="1881"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处理决定数量</w:t>
            </w:r>
          </w:p>
        </w:tc>
      </w:tr>
      <w:tr>
        <w:tblPrEx>
          <w:tblCellMar>
            <w:top w:w="15" w:type="dxa"/>
            <w:left w:w="15" w:type="dxa"/>
            <w:bottom w:w="15" w:type="dxa"/>
            <w:right w:w="15"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宋体" w:hAnsi="宋体" w:eastAsia="宋体" w:cs="宋体"/>
                <w:b w:val="0"/>
                <w:kern w:val="0"/>
                <w:sz w:val="20"/>
                <w:szCs w:val="20"/>
                <w:u w:val="none"/>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c>
          <w:tcPr>
            <w:tcW w:w="126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CellMar>
            <w:top w:w="15" w:type="dxa"/>
            <w:left w:w="15" w:type="dxa"/>
            <w:bottom w:w="15" w:type="dxa"/>
            <w:right w:w="15"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宋体" w:hAnsi="宋体" w:eastAsia="宋体" w:cs="宋体"/>
                <w:b w:val="0"/>
                <w:kern w:val="0"/>
                <w:sz w:val="20"/>
                <w:szCs w:val="20"/>
                <w:u w:val="none"/>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rFonts w:hint="eastAsia" w:eastAsiaTheme="minorEastAsia"/>
                <w:u w:val="none"/>
                <w:lang w:val="en-US" w:eastAsia="zh-CN"/>
              </w:rPr>
            </w:pPr>
            <w:r>
              <w:rPr>
                <w:rFonts w:hint="eastAsia"/>
                <w:u w:val="none"/>
                <w:lang w:val="en-US" w:eastAsia="zh-CN"/>
              </w:rPr>
              <w:t>0</w:t>
            </w:r>
          </w:p>
        </w:tc>
        <w:tc>
          <w:tcPr>
            <w:tcW w:w="126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CellMar>
            <w:top w:w="15" w:type="dxa"/>
            <w:left w:w="15" w:type="dxa"/>
            <w:bottom w:w="15" w:type="dxa"/>
            <w:right w:w="15"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第二十条第（六）项</w:t>
            </w:r>
          </w:p>
        </w:tc>
      </w:tr>
      <w:tr>
        <w:tblPrEx>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处理决定数量</w:t>
            </w:r>
          </w:p>
        </w:tc>
      </w:tr>
      <w:tr>
        <w:tblPrEx>
          <w:tblCellMar>
            <w:top w:w="15" w:type="dxa"/>
            <w:left w:w="15" w:type="dxa"/>
            <w:bottom w:w="15" w:type="dxa"/>
            <w:right w:w="15"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宋体" w:hAnsi="宋体" w:eastAsia="宋体" w:cs="宋体"/>
                <w:b w:val="0"/>
                <w:kern w:val="0"/>
                <w:sz w:val="20"/>
                <w:szCs w:val="20"/>
                <w:u w:val="none"/>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rFonts w:hint="eastAsia" w:eastAsiaTheme="minorEastAsia"/>
                <w:u w:val="none"/>
                <w:lang w:val="en-US" w:eastAsia="zh-CN"/>
              </w:rPr>
            </w:pPr>
            <w:r>
              <w:rPr>
                <w:rFonts w:hint="eastAsia"/>
                <w:u w:val="none"/>
                <w:lang w:val="en-US" w:eastAsia="zh-CN"/>
              </w:rPr>
              <w:t>0</w:t>
            </w:r>
          </w:p>
        </w:tc>
        <w:tc>
          <w:tcPr>
            <w:tcW w:w="126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CellMar>
            <w:top w:w="15" w:type="dxa"/>
            <w:left w:w="15" w:type="dxa"/>
            <w:bottom w:w="15" w:type="dxa"/>
            <w:right w:w="15"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宋体" w:hAnsi="宋体" w:eastAsia="宋体" w:cs="宋体"/>
                <w:b w:val="0"/>
                <w:kern w:val="0"/>
                <w:sz w:val="20"/>
                <w:szCs w:val="20"/>
                <w:u w:val="none"/>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c>
          <w:tcPr>
            <w:tcW w:w="126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c>
          <w:tcPr>
            <w:tcW w:w="188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CellMar>
            <w:top w:w="15" w:type="dxa"/>
            <w:left w:w="15" w:type="dxa"/>
            <w:bottom w:w="15" w:type="dxa"/>
            <w:right w:w="15"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第二十条第（八）项</w:t>
            </w:r>
          </w:p>
        </w:tc>
      </w:tr>
      <w:tr>
        <w:tblPrEx>
          <w:tblCellMar>
            <w:top w:w="15" w:type="dxa"/>
            <w:left w:w="15" w:type="dxa"/>
            <w:bottom w:w="15" w:type="dxa"/>
            <w:right w:w="15"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宋体" w:hAnsi="宋体" w:eastAsia="宋体" w:cs="宋体"/>
                <w:b w:val="0"/>
                <w:kern w:val="0"/>
                <w:sz w:val="20"/>
                <w:szCs w:val="20"/>
                <w:u w:val="none"/>
                <w:lang w:val="en-US" w:eastAsia="zh-CN" w:bidi="ar"/>
              </w:rPr>
              <w:t>上一年项目数量</w:t>
            </w:r>
          </w:p>
        </w:tc>
        <w:tc>
          <w:tcPr>
            <w:tcW w:w="3146" w:type="dxa"/>
            <w:gridSpan w:val="2"/>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本年增/减</w:t>
            </w:r>
          </w:p>
        </w:tc>
      </w:tr>
      <w:tr>
        <w:tblPrEx>
          <w:tblCellMar>
            <w:top w:w="15" w:type="dxa"/>
            <w:left w:w="15" w:type="dxa"/>
            <w:bottom w:w="15" w:type="dxa"/>
            <w:right w:w="15" w:type="dxa"/>
          </w:tblCellMar>
        </w:tblPrEx>
        <w:trPr>
          <w:trHeight w:val="9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宋体" w:hAnsi="宋体" w:eastAsia="宋体" w:cs="宋体"/>
                <w:b w:val="0"/>
                <w:kern w:val="0"/>
                <w:sz w:val="20"/>
                <w:szCs w:val="20"/>
                <w:u w:val="none"/>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c>
          <w:tcPr>
            <w:tcW w:w="314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CellMar>
            <w:top w:w="15" w:type="dxa"/>
            <w:left w:w="15" w:type="dxa"/>
            <w:bottom w:w="15" w:type="dxa"/>
            <w:right w:w="15"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第二十条第（九）项</w:t>
            </w:r>
          </w:p>
        </w:tc>
      </w:tr>
      <w:tr>
        <w:tblPrEx>
          <w:tblCellMar>
            <w:top w:w="15" w:type="dxa"/>
            <w:left w:w="15" w:type="dxa"/>
            <w:bottom w:w="15" w:type="dxa"/>
            <w:right w:w="15"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采购项目数量</w:t>
            </w:r>
          </w:p>
        </w:tc>
        <w:tc>
          <w:tcPr>
            <w:tcW w:w="3146" w:type="dxa"/>
            <w:gridSpan w:val="2"/>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采购总金额</w:t>
            </w:r>
          </w:p>
        </w:tc>
      </w:tr>
      <w:tr>
        <w:tblPrEx>
          <w:tblCellMar>
            <w:top w:w="15" w:type="dxa"/>
            <w:left w:w="15" w:type="dxa"/>
            <w:bottom w:w="15" w:type="dxa"/>
            <w:right w:w="15"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宋体" w:hAnsi="宋体" w:eastAsia="宋体" w:cs="宋体"/>
                <w:b w:val="0"/>
                <w:kern w:val="0"/>
                <w:sz w:val="20"/>
                <w:szCs w:val="20"/>
                <w:u w:val="none"/>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c>
          <w:tcPr>
            <w:tcW w:w="314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1"/>
                <w:szCs w:val="21"/>
                <w:u w:val="none"/>
                <w:lang w:val="en-US" w:eastAsia="zh-CN" w:bidi="ar"/>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32"/>
          <w:szCs w:val="32"/>
          <w:u w:val="none"/>
        </w:rPr>
      </w:pPr>
      <w:r>
        <w:rPr>
          <w:rFonts w:hint="eastAsia" w:ascii="黑体" w:hAnsi="宋体" w:eastAsia="黑体" w:cs="黑体"/>
          <w:b w:val="0"/>
          <w:i w:val="0"/>
          <w:caps w:val="0"/>
          <w:color w:val="212529"/>
          <w:spacing w:val="0"/>
          <w:sz w:val="32"/>
          <w:szCs w:val="32"/>
          <w:u w:val="none"/>
          <w:shd w:val="clear" w:fill="FFFFFF"/>
        </w:rPr>
        <w:t>三、收到和处理政府信息公开申请情况</w:t>
      </w:r>
    </w:p>
    <w:tbl>
      <w:tblPr>
        <w:tblStyle w:val="3"/>
        <w:tblW w:w="887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6"/>
        <w:gridCol w:w="852"/>
        <w:gridCol w:w="2162"/>
        <w:gridCol w:w="649"/>
        <w:gridCol w:w="739"/>
        <w:gridCol w:w="739"/>
        <w:gridCol w:w="794"/>
        <w:gridCol w:w="947"/>
        <w:gridCol w:w="697"/>
        <w:gridCol w:w="6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515"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（本列数据的勾稽关系为：第一项加第二项之和，等于第三项加第四项之和）</w:t>
            </w:r>
          </w:p>
        </w:tc>
        <w:tc>
          <w:tcPr>
            <w:tcW w:w="5362"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15"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66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法人或其他组织</w:t>
            </w:r>
          </w:p>
        </w:tc>
        <w:tc>
          <w:tcPr>
            <w:tcW w:w="6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15"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66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商业企业</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科研机构</w:t>
            </w:r>
          </w:p>
        </w:tc>
        <w:tc>
          <w:tcPr>
            <w:tcW w:w="81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其他</w:t>
            </w:r>
          </w:p>
        </w:tc>
        <w:tc>
          <w:tcPr>
            <w:tcW w:w="6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15"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宋体" w:hAnsi="宋体" w:eastAsia="宋体" w:cs="宋体"/>
                <w:b w:val="0"/>
                <w:kern w:val="0"/>
                <w:sz w:val="20"/>
                <w:szCs w:val="20"/>
                <w:u w:val="none"/>
                <w:lang w:val="en-US" w:eastAsia="zh-CN" w:bidi="ar"/>
              </w:rPr>
              <w:t>一、本年新收政府信息公开申请数量</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15"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宋体" w:hAnsi="宋体" w:eastAsia="宋体" w:cs="宋体"/>
                <w:b w:val="0"/>
                <w:kern w:val="0"/>
                <w:sz w:val="20"/>
                <w:szCs w:val="20"/>
                <w:u w:val="none"/>
                <w:lang w:val="en-US" w:eastAsia="zh-CN" w:bidi="ar"/>
              </w:rPr>
              <w:t>二、上年结转政府信息公开申请数量</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三、本年度办理结果</w:t>
            </w:r>
          </w:p>
        </w:tc>
        <w:tc>
          <w:tcPr>
            <w:tcW w:w="309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ascii="楷体" w:hAnsi="楷体" w:eastAsia="楷体" w:cs="楷体"/>
                <w:b w:val="0"/>
                <w:kern w:val="0"/>
                <w:sz w:val="20"/>
                <w:szCs w:val="20"/>
                <w:u w:val="none"/>
                <w:lang w:val="en-US" w:eastAsia="zh-CN" w:bidi="ar"/>
              </w:rPr>
              <w:t>（一）予以公开</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309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楷体" w:hAnsi="楷体" w:eastAsia="楷体" w:cs="楷体"/>
                <w:b w:val="0"/>
                <w:kern w:val="0"/>
                <w:sz w:val="20"/>
                <w:szCs w:val="20"/>
                <w:u w:val="none"/>
                <w:lang w:val="en-US" w:eastAsia="zh-CN" w:bidi="ar"/>
              </w:rPr>
              <w:t>（二）部分公开（区分处理的，只计这一情形，不计其他情形）</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65" w:hRule="atLeast"/>
          <w:jc w:val="center"/>
        </w:trPr>
        <w:tc>
          <w:tcPr>
            <w:tcW w:w="42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楷体" w:hAnsi="楷体" w:eastAsia="楷体" w:cs="楷体"/>
                <w:b w:val="0"/>
                <w:kern w:val="0"/>
                <w:sz w:val="20"/>
                <w:szCs w:val="20"/>
                <w:u w:val="none"/>
                <w:lang w:val="en-US" w:eastAsia="zh-CN" w:bidi="ar"/>
              </w:rPr>
              <w:t>（三）不予公开</w:t>
            </w:r>
          </w:p>
        </w:tc>
        <w:tc>
          <w:tcPr>
            <w:tcW w:w="22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楷体" w:hAnsi="楷体" w:eastAsia="楷体" w:cs="楷体"/>
                <w:b w:val="0"/>
                <w:kern w:val="0"/>
                <w:sz w:val="20"/>
                <w:szCs w:val="20"/>
                <w:u w:val="none"/>
                <w:lang w:val="en-US" w:eastAsia="zh-CN" w:bidi="ar"/>
              </w:rPr>
              <w:t>1.属于国家秘密</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22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楷体" w:hAnsi="楷体" w:eastAsia="楷体" w:cs="楷体"/>
                <w:b w:val="0"/>
                <w:kern w:val="0"/>
                <w:sz w:val="20"/>
                <w:szCs w:val="20"/>
                <w:u w:val="none"/>
                <w:lang w:val="en-US" w:eastAsia="zh-CN" w:bidi="ar"/>
              </w:rPr>
              <w:t>2.其他法律行政法规禁止公开</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22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楷体" w:hAnsi="楷体" w:eastAsia="楷体" w:cs="楷体"/>
                <w:b w:val="0"/>
                <w:kern w:val="0"/>
                <w:sz w:val="20"/>
                <w:szCs w:val="20"/>
                <w:u w:val="none"/>
                <w:lang w:val="en-US" w:eastAsia="zh-CN" w:bidi="ar"/>
              </w:rPr>
              <w:t>3.危及“三安全一稳定”</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22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楷体" w:hAnsi="楷体" w:eastAsia="楷体" w:cs="楷体"/>
                <w:b w:val="0"/>
                <w:kern w:val="0"/>
                <w:sz w:val="20"/>
                <w:szCs w:val="20"/>
                <w:u w:val="none"/>
                <w:lang w:val="en-US" w:eastAsia="zh-CN" w:bidi="ar"/>
              </w:rPr>
              <w:t>4.保护第三方合法权益</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22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楷体" w:hAnsi="楷体" w:eastAsia="楷体" w:cs="楷体"/>
                <w:b w:val="0"/>
                <w:kern w:val="0"/>
                <w:sz w:val="20"/>
                <w:szCs w:val="20"/>
                <w:u w:val="none"/>
                <w:lang w:val="en-US" w:eastAsia="zh-CN" w:bidi="ar"/>
              </w:rPr>
              <w:t>5.属于三类内部事务信息</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22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楷体" w:hAnsi="楷体" w:eastAsia="楷体" w:cs="楷体"/>
                <w:b w:val="0"/>
                <w:kern w:val="0"/>
                <w:sz w:val="20"/>
                <w:szCs w:val="20"/>
                <w:u w:val="none"/>
                <w:lang w:val="en-US" w:eastAsia="zh-CN" w:bidi="ar"/>
              </w:rPr>
              <w:t>6.属于四类过程性信息</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22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楷体" w:hAnsi="楷体" w:eastAsia="楷体" w:cs="楷体"/>
                <w:b w:val="0"/>
                <w:kern w:val="0"/>
                <w:sz w:val="20"/>
                <w:szCs w:val="20"/>
                <w:u w:val="none"/>
                <w:lang w:val="en-US" w:eastAsia="zh-CN" w:bidi="ar"/>
              </w:rPr>
              <w:t>7.属于行政执法案卷</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22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楷体" w:hAnsi="楷体" w:eastAsia="楷体" w:cs="楷体"/>
                <w:b w:val="0"/>
                <w:kern w:val="0"/>
                <w:sz w:val="20"/>
                <w:szCs w:val="20"/>
                <w:u w:val="none"/>
                <w:lang w:val="en-US" w:eastAsia="zh-CN" w:bidi="ar"/>
              </w:rPr>
              <w:t>8.属于行政查询事项</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楷体" w:hAnsi="楷体" w:eastAsia="楷体" w:cs="楷体"/>
                <w:b w:val="0"/>
                <w:kern w:val="0"/>
                <w:sz w:val="20"/>
                <w:szCs w:val="20"/>
                <w:u w:val="none"/>
                <w:lang w:val="en-US" w:eastAsia="zh-CN" w:bidi="ar"/>
              </w:rPr>
              <w:t>（四）无法提供</w:t>
            </w:r>
          </w:p>
        </w:tc>
        <w:tc>
          <w:tcPr>
            <w:tcW w:w="22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楷体" w:hAnsi="楷体" w:eastAsia="楷体" w:cs="楷体"/>
                <w:b w:val="0"/>
                <w:kern w:val="0"/>
                <w:sz w:val="20"/>
                <w:szCs w:val="20"/>
                <w:u w:val="none"/>
                <w:lang w:val="en-US" w:eastAsia="zh-CN" w:bidi="ar"/>
              </w:rPr>
              <w:t>1.本机关不掌握相关政府信息</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22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楷体" w:hAnsi="楷体" w:eastAsia="楷体" w:cs="楷体"/>
                <w:b w:val="0"/>
                <w:kern w:val="0"/>
                <w:sz w:val="20"/>
                <w:szCs w:val="20"/>
                <w:u w:val="none"/>
                <w:lang w:val="en-US" w:eastAsia="zh-CN" w:bidi="ar"/>
              </w:rPr>
              <w:t>2.没有现成信息需要另行制作</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22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楷体" w:hAnsi="楷体" w:eastAsia="楷体" w:cs="楷体"/>
                <w:b w:val="0"/>
                <w:kern w:val="0"/>
                <w:sz w:val="20"/>
                <w:szCs w:val="20"/>
                <w:u w:val="none"/>
                <w:lang w:val="en-US" w:eastAsia="zh-CN" w:bidi="ar"/>
              </w:rPr>
              <w:t>3.补正后申请内容仍不明确</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楷体" w:hAnsi="楷体" w:eastAsia="楷体" w:cs="楷体"/>
                <w:b w:val="0"/>
                <w:kern w:val="0"/>
                <w:sz w:val="20"/>
                <w:szCs w:val="20"/>
                <w:u w:val="none"/>
                <w:lang w:val="en-US" w:eastAsia="zh-CN" w:bidi="ar"/>
              </w:rPr>
              <w:t>（五）不予处理</w:t>
            </w:r>
          </w:p>
        </w:tc>
        <w:tc>
          <w:tcPr>
            <w:tcW w:w="22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楷体" w:hAnsi="楷体" w:eastAsia="楷体" w:cs="楷体"/>
                <w:b w:val="0"/>
                <w:kern w:val="0"/>
                <w:sz w:val="20"/>
                <w:szCs w:val="20"/>
                <w:u w:val="none"/>
                <w:lang w:val="en-US" w:eastAsia="zh-CN" w:bidi="ar"/>
              </w:rPr>
              <w:t>1.信访举报投诉类申请</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22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楷体" w:hAnsi="楷体" w:eastAsia="楷体" w:cs="楷体"/>
                <w:b w:val="0"/>
                <w:kern w:val="0"/>
                <w:sz w:val="20"/>
                <w:szCs w:val="20"/>
                <w:u w:val="none"/>
                <w:lang w:val="en-US" w:eastAsia="zh-CN" w:bidi="ar"/>
              </w:rPr>
              <w:t>2.重复申请</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22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楷体" w:hAnsi="楷体" w:eastAsia="楷体" w:cs="楷体"/>
                <w:b w:val="0"/>
                <w:kern w:val="0"/>
                <w:sz w:val="20"/>
                <w:szCs w:val="20"/>
                <w:u w:val="none"/>
                <w:lang w:val="en-US" w:eastAsia="zh-CN" w:bidi="ar"/>
              </w:rPr>
              <w:t>3.要求提供公开出版物</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22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楷体" w:hAnsi="楷体" w:eastAsia="楷体" w:cs="楷体"/>
                <w:b w:val="0"/>
                <w:kern w:val="0"/>
                <w:sz w:val="20"/>
                <w:szCs w:val="20"/>
                <w:u w:val="none"/>
                <w:lang w:val="en-US" w:eastAsia="zh-CN" w:bidi="ar"/>
              </w:rPr>
              <w:t>4.无正当理由大量反复申请</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22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楷体" w:hAnsi="楷体" w:eastAsia="楷体" w:cs="楷体"/>
                <w:b w:val="0"/>
                <w:kern w:val="0"/>
                <w:sz w:val="20"/>
                <w:szCs w:val="20"/>
                <w:u w:val="none"/>
                <w:lang w:val="en-US" w:eastAsia="zh-CN" w:bidi="ar"/>
              </w:rPr>
              <w:t>5.要求行政机关确认或重新出具已获取信息</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309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楷体" w:hAnsi="楷体" w:eastAsia="楷体" w:cs="楷体"/>
                <w:b w:val="0"/>
                <w:kern w:val="0"/>
                <w:sz w:val="20"/>
                <w:szCs w:val="20"/>
                <w:u w:val="none"/>
                <w:lang w:val="en-US" w:eastAsia="zh-CN" w:bidi="ar"/>
              </w:rPr>
              <w:t>（六）其他处理</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309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楷体" w:hAnsi="楷体" w:eastAsia="楷体" w:cs="楷体"/>
                <w:b w:val="0"/>
                <w:kern w:val="0"/>
                <w:sz w:val="20"/>
                <w:szCs w:val="20"/>
                <w:u w:val="none"/>
                <w:lang w:val="en-US" w:eastAsia="zh-CN" w:bidi="ar"/>
              </w:rPr>
              <w:t>（七）总计</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515"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宋体" w:hAnsi="宋体" w:eastAsia="宋体" w:cs="宋体"/>
                <w:b w:val="0"/>
                <w:kern w:val="0"/>
                <w:sz w:val="20"/>
                <w:szCs w:val="20"/>
                <w:u w:val="none"/>
                <w:lang w:val="en-US" w:eastAsia="zh-CN" w:bidi="ar"/>
              </w:rPr>
              <w:t>四、结转下年度继续办理</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32"/>
          <w:szCs w:val="32"/>
          <w:u w:val="none"/>
        </w:rPr>
      </w:pPr>
      <w:r>
        <w:rPr>
          <w:rFonts w:hint="eastAsia" w:ascii="黑体" w:hAnsi="宋体" w:eastAsia="黑体" w:cs="黑体"/>
          <w:b w:val="0"/>
          <w:i w:val="0"/>
          <w:caps w:val="0"/>
          <w:color w:val="212529"/>
          <w:spacing w:val="0"/>
          <w:sz w:val="32"/>
          <w:szCs w:val="32"/>
          <w:u w:val="none"/>
          <w:shd w:val="clear" w:fill="FFFFFF"/>
        </w:rPr>
        <w:t>四、政府信息公开行政复议、行政诉讼情况</w:t>
      </w:r>
    </w:p>
    <w:tbl>
      <w:tblPr>
        <w:tblStyle w:val="3"/>
        <w:tblW w:w="907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60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65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宋体"/>
                <w:sz w:val="24"/>
                <w:szCs w:val="24"/>
                <w:u w:val="none"/>
              </w:rPr>
            </w:pP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结果维持</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宋体" w:hAnsi="宋体" w:eastAsia="宋体" w:cs="宋体"/>
                <w:b w:val="0"/>
                <w:kern w:val="0"/>
                <w:sz w:val="21"/>
                <w:szCs w:val="21"/>
                <w:u w:val="none"/>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default" w:ascii="Calibri" w:hAnsi="Calibri" w:cs="Calibri" w:eastAsiaTheme="minorEastAsia"/>
                <w:b w:val="0"/>
                <w:kern w:val="0"/>
                <w:sz w:val="20"/>
                <w:szCs w:val="20"/>
                <w:u w:val="none"/>
                <w:lang w:val="en-US" w:eastAsia="zh-CN" w:bidi="ar"/>
              </w:rPr>
              <w:t> </w:t>
            </w:r>
            <w:r>
              <w:rPr>
                <w:rFonts w:hint="eastAsia" w:ascii="宋体" w:hAnsi="宋体" w:eastAsia="宋体" w:cs="宋体"/>
                <w:b w:val="0"/>
                <w:kern w:val="0"/>
                <w:sz w:val="20"/>
                <w:szCs w:val="20"/>
                <w:u w:val="none"/>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center"/>
              <w:textAlignment w:val="auto"/>
              <w:rPr>
                <w:u w:val="none"/>
              </w:rPr>
            </w:pPr>
            <w:r>
              <w:rPr>
                <w:rFonts w:hint="eastAsia" w:ascii="宋体" w:hAnsi="宋体" w:eastAsia="宋体" w:cs="宋体"/>
                <w:b w:val="0"/>
                <w:kern w:val="0"/>
                <w:sz w:val="20"/>
                <w:szCs w:val="20"/>
                <w:u w:val="none"/>
                <w:lang w:val="en-US" w:eastAsia="zh-CN" w:bidi="ar"/>
              </w:rPr>
              <w:t>0</w:t>
            </w:r>
            <w:r>
              <w:rPr>
                <w:rFonts w:hint="default" w:ascii="Calibri" w:hAnsi="Calibri" w:cs="Calibri" w:eastAsiaTheme="minorEastAsia"/>
                <w:b w:val="0"/>
                <w:kern w:val="0"/>
                <w:sz w:val="20"/>
                <w:szCs w:val="20"/>
                <w:u w:val="none"/>
                <w:lang w:val="en-US" w:eastAsia="zh-CN" w:bidi="ar"/>
              </w:rPr>
              <w:t> </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jc w:val="left"/>
              <w:textAlignment w:val="auto"/>
              <w:rPr>
                <w:u w:val="none"/>
              </w:rPr>
            </w:pPr>
            <w:r>
              <w:rPr>
                <w:rFonts w:hint="eastAsia" w:ascii="宋体" w:hAnsi="宋体" w:eastAsia="宋体" w:cs="宋体"/>
                <w:b w:val="0"/>
                <w:kern w:val="0"/>
                <w:sz w:val="21"/>
                <w:szCs w:val="21"/>
                <w:u w:val="none"/>
                <w:lang w:val="en-US" w:eastAsia="zh-CN" w:bidi="ar"/>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sz w:val="32"/>
          <w:szCs w:val="32"/>
          <w:u w:val="none"/>
        </w:rPr>
      </w:pPr>
      <w:r>
        <w:rPr>
          <w:rFonts w:hint="eastAsia" w:ascii="黑体" w:hAnsi="黑体" w:eastAsia="黑体" w:cs="黑体"/>
          <w:b w:val="0"/>
          <w:i w:val="0"/>
          <w:caps w:val="0"/>
          <w:color w:val="212529"/>
          <w:spacing w:val="0"/>
          <w:sz w:val="32"/>
          <w:szCs w:val="32"/>
          <w:u w:val="none"/>
          <w:shd w:val="clear" w:fill="FFFFFF"/>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212529"/>
          <w:spacing w:val="0"/>
          <w:sz w:val="32"/>
          <w:szCs w:val="32"/>
          <w:u w:val="none"/>
          <w:shd w:val="clear" w:fill="FFFFFF"/>
        </w:rPr>
        <w:t>通过两年来的实践，我局信息公开工作水平得到了一定的提升，但在工作开展中仍存在不足，主要表现在：公开及时性还需进一步提高；信息公开内容还不够全面。今后，我们将针对存在问题，提高思想认识，以《条例》要求为依据，提升公开意识，拓宽公开渠道，不断提高信息公开工作的效率、质量和水平，不断完善我局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sz w:val="32"/>
          <w:szCs w:val="32"/>
          <w:u w:val="none"/>
        </w:rPr>
      </w:pPr>
      <w:r>
        <w:rPr>
          <w:rFonts w:hint="eastAsia" w:ascii="黑体" w:hAnsi="黑体" w:eastAsia="黑体" w:cs="黑体"/>
          <w:b w:val="0"/>
          <w:i w:val="0"/>
          <w:caps w:val="0"/>
          <w:color w:val="212529"/>
          <w:spacing w:val="0"/>
          <w:sz w:val="32"/>
          <w:szCs w:val="32"/>
          <w:u w:val="none"/>
          <w:shd w:val="clear" w:fill="FFFFFF"/>
        </w:rPr>
        <w:t>六、其他需要报告的事项</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right="0" w:firstLine="64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val="0"/>
          <w:i w:val="0"/>
          <w:caps w:val="0"/>
          <w:color w:val="000000"/>
          <w:spacing w:val="0"/>
          <w:kern w:val="0"/>
          <w:sz w:val="32"/>
          <w:szCs w:val="32"/>
          <w:u w:val="none"/>
          <w:shd w:val="clear" w:fill="FFFFFF"/>
          <w:lang w:val="en-US" w:eastAsia="zh-CN" w:bidi="ar"/>
        </w:rPr>
        <w:t>无。</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3840" w:firstLineChars="1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绥滨县退役军人事务局</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9327D"/>
    <w:rsid w:val="03A9327D"/>
    <w:rsid w:val="187722F5"/>
    <w:rsid w:val="1A582656"/>
    <w:rsid w:val="27712609"/>
    <w:rsid w:val="3AC473C4"/>
    <w:rsid w:val="55451DFA"/>
    <w:rsid w:val="5CC0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2021-01-18T16:41:00Z</dcterms:created>
  <dc:creator>    </dc:creator>
  <cp:lastModifiedBy>落地成金</cp:lastModifiedBy>
  <dcterms:modified xsi:type="dcterms:W3CDTF">2021-01-25T06:30:21Z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