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rPr>
        <w:t>绥滨县</w:t>
      </w:r>
      <w:r>
        <w:rPr>
          <w:rFonts w:hint="eastAsia" w:ascii="黑体" w:hAnsi="黑体" w:eastAsia="黑体" w:cs="黑体"/>
          <w:color w:val="auto"/>
          <w:sz w:val="44"/>
          <w:szCs w:val="44"/>
          <w:lang w:val="en-US" w:eastAsia="zh-CN"/>
        </w:rPr>
        <w:t>林业和草原局</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z w:val="44"/>
          <w:szCs w:val="44"/>
        </w:rPr>
      </w:pPr>
      <w:r>
        <w:rPr>
          <w:rFonts w:hint="eastAsia" w:ascii="黑体" w:hAnsi="黑体" w:eastAsia="黑体" w:cs="黑体"/>
          <w:color w:val="auto"/>
          <w:sz w:val="44"/>
          <w:szCs w:val="44"/>
        </w:rPr>
        <w:t>2023年政府信息公开工作年度报告</w:t>
      </w:r>
    </w:p>
    <w:p>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hint="eastAsia" w:ascii="黑体" w:hAnsi="黑体" w:eastAsia="黑体" w:cs="黑体"/>
          <w:color w:val="auto"/>
          <w:sz w:val="44"/>
          <w:szCs w:val="44"/>
        </w:rPr>
      </w:pP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绥滨</w:t>
      </w:r>
      <w:r>
        <w:rPr>
          <w:rFonts w:hint="eastAsia" w:ascii="仿宋_GB2312" w:hAnsi="仿宋_GB2312" w:eastAsia="仿宋_GB2312" w:cs="仿宋_GB2312"/>
          <w:color w:val="auto"/>
          <w:sz w:val="32"/>
          <w:szCs w:val="32"/>
        </w:rPr>
        <w:t>县林业和草原局按照《中华人民共和国政府信息公开条例》《国务院办公厅政府信息与政务公开办公室关于印发〈中华人民共和国政府信息公开工作年度报告格式〉的通知》要求</w:t>
      </w:r>
      <w:r>
        <w:rPr>
          <w:rFonts w:hint="eastAsia" w:ascii="仿宋_GB2312" w:hAnsi="仿宋_GB2312" w:eastAsia="仿宋_GB2312" w:cs="仿宋_GB2312"/>
          <w:color w:val="auto"/>
          <w:sz w:val="32"/>
          <w:szCs w:val="32"/>
          <w:lang w:eastAsia="zh-CN"/>
        </w:rPr>
        <w:t>，能够坚持依法，主动推进政府信息公开。报告所列数据的统计期限为202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年1 月1日—202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年12月31日止。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黑体" w:hAnsi="黑体" w:eastAsia="黑体" w:cs="黑体"/>
          <w:b w:val="0"/>
          <w:bCs/>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kern w:val="0"/>
          <w:sz w:val="32"/>
          <w:szCs w:val="32"/>
          <w:shd w:val="clear" w:color="auto" w:fill="FFFFFF"/>
          <w:lang w:val="en-US" w:eastAsia="zh-CN" w:bidi="ar"/>
        </w:rPr>
        <w:t>一、总体情况。</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绥滨县林业和草原局认真贯彻落实县委、县政府关于政府信息公开工作的部署和要求，加大政务公开力度，保证了我局政府信息公开工作管理到位、责任到位、落实到位，进一步规范执法行为，提高服务质量，增加林草工作透明度，为上级、同级和服务对象提供了全方位的信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i w:val="0"/>
          <w:iCs w:val="0"/>
          <w:caps w:val="0"/>
          <w:color w:val="auto"/>
          <w:spacing w:val="0"/>
          <w:sz w:val="32"/>
          <w:szCs w:val="32"/>
          <w:shd w:val="clear" w:fill="FFFFFF"/>
          <w:lang w:eastAsia="zh-CN"/>
        </w:rPr>
        <w:t>（</w:t>
      </w:r>
      <w:r>
        <w:rPr>
          <w:rFonts w:hint="eastAsia" w:ascii="楷体" w:hAnsi="楷体" w:eastAsia="楷体" w:cs="楷体"/>
          <w:i w:val="0"/>
          <w:iCs w:val="0"/>
          <w:caps w:val="0"/>
          <w:color w:val="auto"/>
          <w:spacing w:val="0"/>
          <w:sz w:val="32"/>
          <w:szCs w:val="32"/>
          <w:shd w:val="clear" w:fill="FFFFFF"/>
          <w:lang w:val="en-US" w:eastAsia="zh-CN"/>
        </w:rPr>
        <w:t>一</w:t>
      </w:r>
      <w:r>
        <w:rPr>
          <w:rFonts w:hint="eastAsia" w:ascii="楷体" w:hAnsi="楷体" w:eastAsia="楷体" w:cs="楷体"/>
          <w:i w:val="0"/>
          <w:iCs w:val="0"/>
          <w:caps w:val="0"/>
          <w:color w:val="auto"/>
          <w:spacing w:val="0"/>
          <w:sz w:val="32"/>
          <w:szCs w:val="32"/>
          <w:shd w:val="clear" w:fill="FFFFFF"/>
          <w:lang w:eastAsia="zh-CN"/>
        </w:rPr>
        <w:t>）主动公开政府信息情况。</w:t>
      </w:r>
      <w:r>
        <w:rPr>
          <w:rFonts w:hint="eastAsia" w:ascii="仿宋_GB2312" w:hAnsi="仿宋_GB2312" w:eastAsia="仿宋_GB2312" w:cs="仿宋_GB2312"/>
          <w:color w:val="auto"/>
          <w:kern w:val="2"/>
          <w:sz w:val="32"/>
          <w:szCs w:val="32"/>
          <w:lang w:val="en-US" w:eastAsia="zh-CN" w:bidi="ar-SA"/>
        </w:rPr>
        <w:t>2023年，通过政府及部门网站等方式方法予以公开。截至目前，累计公开信息81条，其中：通过政府网站专栏公开信息4条，通过其他渠道公开政务信息77条。</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i w:val="0"/>
          <w:iCs w:val="0"/>
          <w:caps w:val="0"/>
          <w:color w:val="auto"/>
          <w:spacing w:val="0"/>
          <w:sz w:val="32"/>
          <w:szCs w:val="32"/>
          <w:shd w:val="clear" w:fill="FFFFFF"/>
        </w:rPr>
        <w:t>（二）依申请公开方面。</w:t>
      </w:r>
      <w:r>
        <w:rPr>
          <w:rFonts w:hint="eastAsia" w:ascii="仿宋_GB2312" w:hAnsi="仿宋_GB2312" w:eastAsia="仿宋_GB2312" w:cs="仿宋_GB2312"/>
          <w:color w:val="auto"/>
          <w:kern w:val="2"/>
          <w:sz w:val="32"/>
          <w:szCs w:val="32"/>
          <w:lang w:val="en-US" w:eastAsia="zh-CN" w:bidi="ar-SA"/>
        </w:rPr>
        <w:t>坚持“严格依法、方便快捷、保障权利”的原则，严格执行依申请公开答复流程和标准，确保每一个依申请公开事项答复符合《条例》。2023年，我局未接收到依申请公开事项。全年政府信息公开未收任何费用，没有发生因政府信息公开申请行政复议、提起行政诉讼情况。</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i w:val="0"/>
          <w:iCs w:val="0"/>
          <w:caps w:val="0"/>
          <w:color w:val="auto"/>
          <w:spacing w:val="0"/>
          <w:kern w:val="0"/>
          <w:sz w:val="32"/>
          <w:szCs w:val="32"/>
          <w:shd w:val="clear" w:fill="FFFFFF"/>
          <w:lang w:val="en-US" w:eastAsia="zh-CN" w:bidi="ar"/>
        </w:rPr>
        <w:t>（三）政府信息管理情况。</w:t>
      </w:r>
      <w:r>
        <w:rPr>
          <w:rFonts w:hint="eastAsia" w:ascii="仿宋_GB2312" w:hAnsi="仿宋_GB2312" w:eastAsia="仿宋_GB2312" w:cs="仿宋_GB2312"/>
          <w:color w:val="auto"/>
          <w:sz w:val="32"/>
          <w:szCs w:val="32"/>
          <w:lang w:val="en-US" w:eastAsia="zh-CN"/>
        </w:rPr>
        <w:t>持续做好政务信息公开属性源头认定工作，明确公文拟制时公开属性，实现公开属性与公文同步拟定、同步审批。坚持以“公开为常态、不公开为例外”的原则，严肃信息发布审核纪律，严格内容发布审核制度，强化分级分类审核、先审后发，明确审核主体。</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i w:val="0"/>
          <w:iCs w:val="0"/>
          <w:caps w:val="0"/>
          <w:color w:val="auto"/>
          <w:spacing w:val="0"/>
          <w:kern w:val="0"/>
          <w:sz w:val="32"/>
          <w:szCs w:val="32"/>
          <w:shd w:val="clear" w:fill="FFFFFF"/>
          <w:lang w:val="en-US" w:eastAsia="zh-CN" w:bidi="ar"/>
        </w:rPr>
        <w:t>（四）政府信息公共平台建设。</w:t>
      </w:r>
      <w:r>
        <w:rPr>
          <w:rFonts w:hint="eastAsia" w:ascii="仿宋_GB2312" w:hAnsi="仿宋_GB2312" w:eastAsia="仿宋_GB2312" w:cs="仿宋_GB2312"/>
          <w:color w:val="auto"/>
          <w:sz w:val="32"/>
          <w:szCs w:val="32"/>
          <w:lang w:val="en-US" w:eastAsia="zh-CN"/>
        </w:rPr>
        <w:t>推进“双随机、一公开”监管全覆盖，按照“随机抽取，随机选派”“谁检查、谁反馈、谁填报、谁负责”的原则开展监管。精简审批环节、优化审批流程。加快推进行政许可权力事项下放工作，对林草占地的行政许可事项进行整合，优化审批流程，减少用地企业办事环节。定期维护政务服务门户网站，完善“网上受理、后台审核、限时办结”审批服务机制，明晰工作流程，规范审批行为，确保审批各阶段、各环节无缝衔接，推进审批提速、服务提效、群众满意度提升。通过优化，省林草局负责的使用林地审核审批事项全部通过网上办理，实现从许可申请到审核、决定、送达，全程“网上办、马上办和一次办”切实提高办事透明度和机关行政效能，为公众提供更及时更准确的信息服务。</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i w:val="0"/>
          <w:iCs w:val="0"/>
          <w:caps w:val="0"/>
          <w:color w:val="auto"/>
          <w:spacing w:val="0"/>
          <w:kern w:val="0"/>
          <w:sz w:val="32"/>
          <w:szCs w:val="32"/>
          <w:shd w:val="clear" w:fill="FFFFFF"/>
          <w:lang w:val="en-US" w:eastAsia="zh-CN" w:bidi="ar"/>
        </w:rPr>
        <w:t>（五）监督保障情况。</w:t>
      </w:r>
      <w:r>
        <w:rPr>
          <w:rFonts w:hint="eastAsia" w:ascii="仿宋_GB2312" w:hAnsi="仿宋_GB2312" w:eastAsia="仿宋_GB2312" w:cs="仿宋_GB2312"/>
          <w:color w:val="auto"/>
          <w:sz w:val="32"/>
          <w:szCs w:val="32"/>
          <w:lang w:val="en-US" w:eastAsia="zh-CN"/>
        </w:rPr>
        <w:t>落实政府信息公开责任制,按照“谁主管、谁负责”的原则，完善由局长任组长、副局长任副组长，成员由有关股室负责人组成的信息公开领导小组，将政府信息公开与各项重点工作同部署同实施，切实加强监督检查，做到先审查后公开广泛接受社会公众对林草局政府信息公开工作的监督，全年未收到公民、法人或其他组织对林草局政府信息公开工作的意见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kern w:val="0"/>
          <w:sz w:val="32"/>
          <w:szCs w:val="32"/>
          <w:shd w:val="clear" w:color="auto" w:fill="FFFFFF"/>
          <w:lang w:val="en-US" w:eastAsia="zh-CN" w:bidi="ar"/>
        </w:rPr>
        <w:t>二、主动公开政府信息情况</w:t>
      </w:r>
    </w:p>
    <w:tbl>
      <w:tblPr>
        <w:tblStyle w:val="5"/>
        <w:tblW w:w="0" w:type="auto"/>
        <w:jc w:val="center"/>
        <w:tblLayout w:type="fixed"/>
        <w:tblCellMar>
          <w:top w:w="0" w:type="dxa"/>
          <w:left w:w="0" w:type="dxa"/>
          <w:bottom w:w="0" w:type="dxa"/>
          <w:right w:w="0" w:type="dxa"/>
        </w:tblCellMar>
      </w:tblPr>
      <w:tblGrid>
        <w:gridCol w:w="2105"/>
        <w:gridCol w:w="2105"/>
        <w:gridCol w:w="2105"/>
        <w:gridCol w:w="2105"/>
      </w:tblGrid>
      <w:tr>
        <w:tblPrEx>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第二十条第（一）项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本年废止件数</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规章</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cs="Calibri"/>
                <w:color w:val="auto"/>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行政规范性文件</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cs="Calibri"/>
                <w:color w:val="auto"/>
                <w:kern w:val="0"/>
                <w:sz w:val="21"/>
                <w:szCs w:val="21"/>
                <w:lang w:val="en-US" w:eastAsia="zh-CN" w:bidi="ar"/>
              </w:rPr>
              <w:t>0</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第二十条第（五）项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行政许可</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cs="Calibri"/>
                <w:color w:val="auto"/>
                <w:kern w:val="0"/>
                <w:sz w:val="21"/>
                <w:szCs w:val="21"/>
                <w:lang w:val="en-US" w:eastAsia="zh-CN" w:bidi="ar"/>
              </w:rPr>
              <w:t>65</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第二十条第（六）项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本年处理决定数量</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行政处罚</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12</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行政强制</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default"/>
                <w:color w:val="auto"/>
                <w:lang w:val="en-US"/>
              </w:rPr>
            </w:pPr>
            <w:r>
              <w:rPr>
                <w:rFonts w:hint="eastAsia" w:ascii="宋体" w:hAnsi="宋体" w:cs="宋体"/>
                <w:color w:val="auto"/>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第二十条第（八）项</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信息内容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本年收费金额（单位：万元）</w:t>
            </w:r>
          </w:p>
        </w:tc>
      </w:tr>
      <w:tr>
        <w:tblPrEx>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行政事业性收费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eastAsia="宋体"/>
                <w:color w:val="auto"/>
                <w:sz w:val="24"/>
                <w:szCs w:val="24"/>
                <w:lang w:val="en-US" w:eastAsia="zh-CN"/>
              </w:rPr>
            </w:pPr>
            <w:r>
              <w:rPr>
                <w:rFonts w:hint="eastAsia" w:ascii="宋体"/>
                <w:color w:val="auto"/>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auto"/>
          <w:spacing w:val="0"/>
          <w:kern w:val="0"/>
          <w:sz w:val="32"/>
          <w:szCs w:val="32"/>
          <w:shd w:val="clear" w:color="auto" w:fill="FFFFFF"/>
          <w:lang w:val="en-US" w:eastAsia="zh-CN" w:bidi="ar"/>
        </w:rPr>
      </w:pPr>
      <w:r>
        <w:rPr>
          <w:rFonts w:hint="eastAsia" w:ascii="黑体" w:hAnsi="黑体" w:eastAsia="黑体" w:cs="黑体"/>
          <w:b w:val="0"/>
          <w:bCs/>
          <w:i w:val="0"/>
          <w:caps w:val="0"/>
          <w:color w:val="auto"/>
          <w:spacing w:val="0"/>
          <w:kern w:val="0"/>
          <w:sz w:val="32"/>
          <w:szCs w:val="32"/>
          <w:shd w:val="clear" w:color="auto" w:fill="FFFFFF"/>
          <w:lang w:val="en-US" w:eastAsia="zh-CN" w:bidi="ar"/>
        </w:rPr>
        <w:t>三、收到和处理政府信息公开申请情况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67"/>
        <w:gridCol w:w="820"/>
        <w:gridCol w:w="2798"/>
        <w:gridCol w:w="598"/>
        <w:gridCol w:w="598"/>
        <w:gridCol w:w="598"/>
        <w:gridCol w:w="598"/>
        <w:gridCol w:w="598"/>
        <w:gridCol w:w="598"/>
        <w:gridCol w:w="5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楷体" w:hAnsi="楷体" w:eastAsia="楷体" w:cs="楷体"/>
                <w:color w:val="auto"/>
                <w:kern w:val="0"/>
                <w:sz w:val="20"/>
                <w:szCs w:val="20"/>
                <w:lang w:val="en-US" w:eastAsia="zh-CN" w:bidi="ar"/>
              </w:rPr>
              <w:t>（本列数据的勾稽关系为：第一项加第二项之和，等于第三项加第四项之和）</w:t>
            </w:r>
          </w:p>
        </w:tc>
        <w:tc>
          <w:tcPr>
            <w:tcW w:w="4186"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598"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自然人</w:t>
            </w:r>
          </w:p>
        </w:tc>
        <w:tc>
          <w:tcPr>
            <w:tcW w:w="299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法人或其他组织</w:t>
            </w:r>
          </w:p>
        </w:tc>
        <w:tc>
          <w:tcPr>
            <w:tcW w:w="5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598"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企业</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机构</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社会公益组织</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法律服务机构</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p>
        </w:tc>
        <w:tc>
          <w:tcPr>
            <w:tcW w:w="5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一、本年新收政府信息公开申请数量</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二、上年结转政府信息公开申请数量</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三、本年度办理结果</w:t>
            </w: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（一）予以公开</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（二）部分公开</w:t>
            </w:r>
            <w:r>
              <w:rPr>
                <w:rFonts w:hint="eastAsia" w:ascii="楷体" w:hAnsi="楷体" w:eastAsia="楷体" w:cs="楷体"/>
                <w:color w:val="auto"/>
                <w:kern w:val="0"/>
                <w:sz w:val="20"/>
                <w:szCs w:val="20"/>
                <w:lang w:val="en-US" w:eastAsia="zh-CN" w:bidi="ar"/>
              </w:rPr>
              <w:t>（区分处理的，只计这一情形，不计其他情形）</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（三）不予公开</w:t>
            </w: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1.属于国家秘密</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2.其他法律行政法规禁止公开</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3.危及“三安全一稳定”</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single" w:color="auto" w:sz="4" w:space="0"/>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single" w:color="auto" w:sz="4" w:space="0"/>
              <w:left w:val="nil"/>
              <w:bottom w:val="outset" w:color="auto" w:sz="8" w:space="0"/>
              <w:right w:val="single" w:color="auto" w:sz="4"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4.保护第三方合法权益</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5.属于三类内部事务信息</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6.属于四类过程性信息</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7.属于行政执法案卷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8.属于行政查询事项</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（四）无法提供</w:t>
            </w: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1.本机关不掌握相关政府信息</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2.没有现成信息需要另行制作</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3.补正后申请内容仍不明确</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（五）不予处理</w:t>
            </w: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1.信访举报投诉类申请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2.重复申请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3.要求提供公开出版物</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4.无正当理由大量反复申请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5.要求行政机关确认或重新出具已获取信息</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（六）其他处理</w:t>
            </w: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1.申请人无正当理由逾期不补正、行政机关不再处理其政府信息公开申请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both"/>
              <w:textAlignment w:val="auto"/>
              <w:outlineLvl w:val="9"/>
              <w:rPr>
                <w:color w:val="auto"/>
              </w:rPr>
            </w:pPr>
            <w:r>
              <w:rPr>
                <w:rFonts w:hint="eastAsia" w:ascii="宋体" w:hAnsi="宋体" w:eastAsia="宋体" w:cs="宋体"/>
                <w:color w:val="auto"/>
                <w:kern w:val="0"/>
                <w:sz w:val="20"/>
                <w:szCs w:val="20"/>
                <w:lang w:val="en-US" w:eastAsia="zh-CN" w:bidi="ar"/>
              </w:rPr>
              <w:t>2.申请人逾期未按收费通知要求缴纳费用、行政机关不再处理其政府信息公开申请</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820"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27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3.其他</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shd w:val="clear"/>
              <w:kinsoku/>
              <w:wordWrap/>
              <w:overflowPunct/>
              <w:topLinePunct w:val="0"/>
              <w:autoSpaceDE/>
              <w:autoSpaceDN/>
              <w:bidi w:val="0"/>
              <w:adjustRightInd/>
              <w:snapToGrid/>
              <w:spacing w:before="0" w:after="0" w:line="240" w:lineRule="exact"/>
              <w:ind w:left="0" w:leftChars="0" w:right="0" w:rightChars="0"/>
              <w:textAlignment w:val="auto"/>
              <w:outlineLvl w:val="9"/>
              <w:rPr>
                <w:rFonts w:hint="eastAsia" w:ascii="宋体"/>
                <w:color w:val="auto"/>
                <w:sz w:val="24"/>
                <w:szCs w:val="24"/>
              </w:rPr>
            </w:pPr>
          </w:p>
        </w:tc>
        <w:tc>
          <w:tcPr>
            <w:tcW w:w="3618"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（七）总计</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285"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left"/>
              <w:textAlignment w:val="auto"/>
              <w:outlineLvl w:val="9"/>
              <w:rPr>
                <w:color w:val="auto"/>
              </w:rPr>
            </w:pPr>
            <w:r>
              <w:rPr>
                <w:rFonts w:hint="eastAsia" w:ascii="宋体" w:hAnsi="宋体" w:eastAsia="宋体" w:cs="宋体"/>
                <w:color w:val="auto"/>
                <w:kern w:val="0"/>
                <w:sz w:val="20"/>
                <w:szCs w:val="20"/>
                <w:lang w:val="en-US" w:eastAsia="zh-CN" w:bidi="ar"/>
              </w:rPr>
              <w:t>四、结转下年度继续办理</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0</w:t>
            </w:r>
          </w:p>
        </w:tc>
        <w:tc>
          <w:tcPr>
            <w:tcW w:w="5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黑体" w:hAnsi="黑体" w:eastAsia="黑体" w:cs="黑体"/>
          <w:b w:val="0"/>
          <w:bCs/>
          <w:i w:val="0"/>
          <w:caps w:val="0"/>
          <w:color w:val="auto"/>
          <w:spacing w:val="0"/>
          <w:sz w:val="32"/>
          <w:szCs w:val="32"/>
        </w:rPr>
      </w:pPr>
      <w:r>
        <w:rPr>
          <w:rFonts w:hint="eastAsia" w:ascii="黑体" w:hAnsi="黑体" w:eastAsia="黑体" w:cs="黑体"/>
          <w:b w:val="0"/>
          <w:bCs/>
          <w:i w:val="0"/>
          <w:caps w:val="0"/>
          <w:color w:val="auto"/>
          <w:spacing w:val="0"/>
          <w:kern w:val="0"/>
          <w:sz w:val="32"/>
          <w:szCs w:val="32"/>
          <w:shd w:val="clear" w:color="auto" w:fill="FFFFFF"/>
          <w:lang w:val="en-US" w:eastAsia="zh-CN" w:bidi="ar"/>
        </w:rPr>
        <w:t>四、政府信息公开行政复议、行政诉讼情况</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8"/>
        <w:gridCol w:w="567"/>
        <w:gridCol w:w="568"/>
        <w:gridCol w:w="568"/>
        <w:gridCol w:w="567"/>
        <w:gridCol w:w="568"/>
        <w:gridCol w:w="567"/>
        <w:gridCol w:w="569"/>
        <w:gridCol w:w="568"/>
        <w:gridCol w:w="569"/>
        <w:gridCol w:w="569"/>
        <w:gridCol w:w="568"/>
        <w:gridCol w:w="569"/>
        <w:gridCol w:w="569"/>
        <w:gridCol w:w="5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3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行政复议</w:t>
            </w:r>
          </w:p>
        </w:tc>
        <w:tc>
          <w:tcPr>
            <w:tcW w:w="5684"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结果维持</w:t>
            </w:r>
          </w:p>
        </w:tc>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8"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7"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c>
          <w:tcPr>
            <w:tcW w:w="2841"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未经复议直接起诉</w:t>
            </w:r>
          </w:p>
        </w:tc>
        <w:tc>
          <w:tcPr>
            <w:tcW w:w="284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6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color w:val="auto"/>
                <w:sz w:val="24"/>
                <w:szCs w:val="24"/>
              </w:rPr>
            </w:pPr>
          </w:p>
        </w:tc>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color w:val="auto"/>
                <w:sz w:val="24"/>
                <w:szCs w:val="24"/>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color w:val="auto"/>
                <w:sz w:val="24"/>
                <w:szCs w:val="24"/>
              </w:rPr>
            </w:pPr>
          </w:p>
        </w:tc>
        <w:tc>
          <w:tcPr>
            <w:tcW w:w="568"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color w:val="auto"/>
                <w:sz w:val="24"/>
                <w:szCs w:val="24"/>
              </w:rPr>
            </w:pPr>
          </w:p>
        </w:tc>
        <w:tc>
          <w:tcPr>
            <w:tcW w:w="567"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color w:val="auto"/>
                <w:sz w:val="24"/>
                <w:szCs w:val="24"/>
              </w:rPr>
            </w:pP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5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56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color w:val="auto"/>
              </w:rPr>
            </w:pPr>
            <w:r>
              <w:rPr>
                <w:rFonts w:hint="eastAsia" w:ascii="宋体" w:hAnsi="宋体" w:eastAsia="宋体" w:cs="宋体"/>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0</w:t>
            </w:r>
          </w:p>
        </w:tc>
        <w:tc>
          <w:tcPr>
            <w:tcW w:w="56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240" w:lineRule="exact"/>
              <w:ind w:left="0" w:leftChars="0" w:right="0" w:rightChars="0" w:firstLine="0"/>
              <w:jc w:val="center"/>
              <w:textAlignment w:val="auto"/>
              <w:outlineLvl w:val="9"/>
              <w:rPr>
                <w:rFonts w:hint="eastAsia"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bidi="ar"/>
              </w:rPr>
              <w:t>0</w:t>
            </w:r>
          </w:p>
        </w:tc>
        <w:tc>
          <w:tcPr>
            <w:tcW w:w="568"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shd w:val="clear"/>
              <w:kinsoku/>
              <w:wordWrap/>
              <w:overflowPunct/>
              <w:topLinePunct w:val="0"/>
              <w:autoSpaceDE/>
              <w:autoSpaceDN/>
              <w:bidi w:val="0"/>
              <w:adjustRightInd/>
              <w:snapToGrid/>
              <w:spacing w:before="0" w:after="0" w:line="240" w:lineRule="exact"/>
              <w:ind w:left="0" w:leftChars="0" w:right="0" w:rightChars="0"/>
              <w:jc w:val="center"/>
              <w:textAlignment w:val="auto"/>
              <w:outlineLvl w:val="9"/>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p>
        </w:tc>
      </w:tr>
    </w:tbl>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五、存在的主要问题及改进情况</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存在的主要问题和困难。一是信息更新还不够及时，公开质量有待提高。二是部分工作人员政府信息公开的意识有待进一步提高，主动公开政府信息的责任意识还比较薄弱。三是政府公开工作力量薄弱，队伍建设还需加强，需要加大人员配置。</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改进措施。下一步我局将认真落实政府信息公开工作要求，及时更新政府信息公开工作，提高公开质量，提高工作人员政府信息公开的意识，加强政府公开队伍建设不断规范工作程序，创新工作方式，推动政府信息公开工作实现制度化、规范化。</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六、其他需要报告的事项</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绥滨县林业和草原局</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2024年1月10日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庞中华简体 V2007">
    <w:panose1 w:val="02000600000000000000"/>
    <w:charset w:val="86"/>
    <w:family w:val="auto"/>
    <w:pitch w:val="default"/>
    <w:sig w:usb0="FFFFFFFF" w:usb1="E9FFFFFF" w:usb2="0000003F" w:usb3="00000000" w:csb0="603F00FF" w:csb1="FFFF0000"/>
  </w:font>
  <w:font w:name="方正小标宋_GBK">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奶布儿细手写">
    <w:panose1 w:val="02010600010101010101"/>
    <w:charset w:val="86"/>
    <w:family w:val="auto"/>
    <w:pitch w:val="default"/>
    <w:sig w:usb0="00000001" w:usb1="080E0000" w:usb2="00000000" w:usb3="00000000" w:csb0="00040003"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RkNDgwMmIwNmVjYzIyYjIwYWNlZmZjNDk0ZjIifQ=="/>
  </w:docVars>
  <w:rsids>
    <w:rsidRoot w:val="5C7240A9"/>
    <w:rsid w:val="04B350A8"/>
    <w:rsid w:val="05D97FED"/>
    <w:rsid w:val="421C7600"/>
    <w:rsid w:val="449E3D42"/>
    <w:rsid w:val="57A85920"/>
    <w:rsid w:val="5C7240A9"/>
    <w:rsid w:val="6172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autoRedefine/>
    <w:qFormat/>
    <w:uiPriority w:val="0"/>
  </w:style>
  <w:style w:type="character" w:customStyle="1" w:styleId="10">
    <w:name w:val="active1"/>
    <w:basedOn w:val="6"/>
    <w:autoRedefine/>
    <w:qFormat/>
    <w:uiPriority w:val="0"/>
    <w:rPr>
      <w:b/>
      <w:bCs/>
      <w:color w:val="347ED4"/>
    </w:rPr>
  </w:style>
  <w:style w:type="character" w:customStyle="1" w:styleId="11">
    <w:name w:val="disabled"/>
    <w:basedOn w:val="6"/>
    <w:autoRedefine/>
    <w:qFormat/>
    <w:uiPriority w:val="0"/>
    <w:rPr>
      <w:color w:val="FFE3C6"/>
      <w:bdr w:val="single" w:color="FFE3C6" w:sz="6" w:space="0"/>
    </w:rPr>
  </w:style>
  <w:style w:type="character" w:customStyle="1" w:styleId="12">
    <w:name w:val="current"/>
    <w:basedOn w:val="6"/>
    <w:autoRedefine/>
    <w:qFormat/>
    <w:uiPriority w:val="0"/>
    <w:rPr>
      <w:b/>
      <w:bCs/>
      <w:color w:val="FF6500"/>
      <w:bdr w:val="single" w:color="FF6500" w:sz="6" w:space="0"/>
      <w:shd w:val="clear" w:fill="FFBE94"/>
    </w:rPr>
  </w:style>
  <w:style w:type="character" w:customStyle="1" w:styleId="13">
    <w:name w:val="bsharetext"/>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4161</Words>
  <Characters>4200</Characters>
  <Lines>0</Lines>
  <Paragraphs>0</Paragraphs>
  <TotalTime>30</TotalTime>
  <ScaleCrop>false</ScaleCrop>
  <LinksUpToDate>false</LinksUpToDate>
  <CharactersWithSpaces>4416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2022-01-04T09:22:00Z</dcterms:created>
  <dc:creator>梓绘圆】</dc:creator>
  <cp:lastModifiedBy>A </cp:lastModifiedBy>
  <cp:lastPrinted>2024-01-02T07:26:00Z</cp:lastPrinted>
  <dcterms:modified xsi:type="dcterms:W3CDTF">2024-01-27T01:45:46Z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F6F09E0DB6154169A3D99D38F9C9AA75</vt:lpwstr>
  </property>
</Properties>
</file>