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鹤岗市</w:t>
      </w:r>
      <w:r>
        <w:rPr>
          <w:rFonts w:hint="eastAsia" w:ascii="宋体" w:hAnsi="宋体" w:eastAsia="宋体" w:cs="宋体"/>
          <w:b/>
          <w:bCs/>
          <w:sz w:val="44"/>
          <w:szCs w:val="44"/>
        </w:rPr>
        <w:t>工程建设领域“</w:t>
      </w:r>
      <w:r>
        <w:rPr>
          <w:rFonts w:hint="eastAsia" w:ascii="宋体" w:hAnsi="宋体" w:eastAsia="宋体" w:cs="宋体"/>
          <w:b/>
          <w:bCs/>
          <w:sz w:val="44"/>
          <w:szCs w:val="44"/>
          <w:lang w:eastAsia="zh-CN"/>
        </w:rPr>
        <w:t>水电热气讯</w:t>
      </w:r>
      <w:r>
        <w:rPr>
          <w:rFonts w:hint="eastAsia" w:ascii="宋体" w:hAnsi="宋体" w:eastAsia="宋体" w:cs="宋体"/>
          <w:b/>
          <w:bCs/>
          <w:sz w:val="44"/>
          <w:szCs w:val="44"/>
        </w:rPr>
        <w:t>”</w:t>
      </w:r>
      <w:r>
        <w:rPr>
          <w:rFonts w:hint="eastAsia" w:ascii="宋体" w:hAnsi="宋体" w:eastAsia="宋体" w:cs="宋体"/>
          <w:b/>
          <w:bCs/>
          <w:sz w:val="44"/>
          <w:szCs w:val="44"/>
          <w:lang w:val="en-US" w:eastAsia="zh-CN"/>
        </w:rPr>
        <w:t>市政公共服务</w:t>
      </w:r>
      <w:r>
        <w:rPr>
          <w:rFonts w:hint="eastAsia" w:ascii="宋体" w:hAnsi="宋体" w:eastAsia="宋体" w:cs="宋体"/>
          <w:b/>
          <w:bCs/>
          <w:sz w:val="44"/>
          <w:szCs w:val="44"/>
        </w:rPr>
        <w:t>集联</w:t>
      </w:r>
      <w:r>
        <w:rPr>
          <w:rFonts w:hint="eastAsia" w:ascii="宋体" w:hAnsi="宋体" w:eastAsia="宋体" w:cs="宋体"/>
          <w:b/>
          <w:bCs/>
          <w:sz w:val="44"/>
          <w:szCs w:val="44"/>
          <w:lang w:val="en-US" w:eastAsia="zh-CN"/>
        </w:rPr>
        <w:t>办理改革方案</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44"/>
          <w:szCs w:val="44"/>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一、工作原则</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Cs/>
          <w:snapToGrid/>
          <w:kern w:val="2"/>
          <w:sz w:val="32"/>
          <w:szCs w:val="32"/>
          <w:lang w:val="en-US" w:eastAsia="zh-CN" w:bidi="ar-SA"/>
        </w:rPr>
        <w:t>坚持以习近平新时代中国特色社会主义思想为指导，深入贯彻习近平总书记重要讲话重要指示批示精神，全面落实党的二十大精神，认真落实党中央、国务院对优化营商环境工作的部署和省委省政府、市委市政府的工作要求，着力提升工程建设领域“水电热气讯”市政公共服务办理服务水平。到2023年底，实现我市工程建设领域“水电热气讯”市政公共服务集联办理，提升服务水平，清理各个环节以及接入工程和其他各类违法违规收费。以“工程建设项目审批制度改革管理系统”为基础，以数字化改革为引领，促进市政公共服务集联办理、互协互通，让市政公共服务效率更高、成本更低、运行更安全，为我市营商环境持续向好积极赋能。</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二、工作任务</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1.推行集中联合报装“一网通办”“一窗综办”。</w:t>
      </w:r>
      <w:r>
        <w:rPr>
          <w:rFonts w:hint="eastAsia" w:ascii="仿宋" w:hAnsi="仿宋" w:eastAsia="仿宋" w:cs="仿宋"/>
          <w:b w:val="0"/>
          <w:bCs w:val="0"/>
          <w:caps w:val="0"/>
          <w:color w:val="auto"/>
          <w:kern w:val="2"/>
          <w:sz w:val="32"/>
          <w:szCs w:val="32"/>
          <w:highlight w:val="none"/>
          <w:vertAlign w:val="baseline"/>
          <w:lang w:val="en-US" w:eastAsia="zh-CN" w:bidi="ar"/>
        </w:rPr>
        <w:t>利用</w:t>
      </w:r>
      <w:r>
        <w:rPr>
          <w:rFonts w:hint="eastAsia" w:ascii="仿宋" w:hAnsi="仿宋" w:eastAsia="仿宋" w:cs="仿宋"/>
          <w:bCs/>
          <w:snapToGrid/>
          <w:kern w:val="2"/>
          <w:sz w:val="32"/>
          <w:szCs w:val="32"/>
          <w:lang w:val="en-US" w:eastAsia="zh-CN" w:bidi="ar-SA"/>
        </w:rPr>
        <w:t>“工程建设项目审批制度改革管理系统”新增市政公共服务集联办理流程，实现在原有工程建设流程中嵌套市政公共服务集联办理流程</w:t>
      </w:r>
      <w:r>
        <w:rPr>
          <w:rFonts w:hint="eastAsia" w:ascii="仿宋" w:hAnsi="仿宋" w:eastAsia="仿宋" w:cs="仿宋"/>
          <w:b w:val="0"/>
          <w:bCs w:val="0"/>
          <w:caps w:val="0"/>
          <w:color w:val="auto"/>
          <w:kern w:val="2"/>
          <w:sz w:val="32"/>
          <w:szCs w:val="32"/>
          <w:highlight w:val="none"/>
          <w:vertAlign w:val="baseline"/>
          <w:lang w:val="en-US" w:eastAsia="zh-CN" w:bidi="ar"/>
        </w:rPr>
        <w:t>，同时将水气热报装申请表单整合形成“一张表单”，进行</w:t>
      </w:r>
      <w:r>
        <w:rPr>
          <w:rFonts w:hint="eastAsia" w:ascii="仿宋" w:hAnsi="仿宋" w:eastAsia="仿宋" w:cs="仿宋"/>
          <w:b/>
          <w:bCs/>
          <w:sz w:val="32"/>
          <w:szCs w:val="32"/>
          <w:lang w:val="en-US" w:eastAsia="zh-CN"/>
        </w:rPr>
        <w:t>“一网通办”</w:t>
      </w:r>
      <w:r>
        <w:rPr>
          <w:rFonts w:hint="eastAsia" w:ascii="仿宋" w:hAnsi="仿宋" w:eastAsia="仿宋" w:cs="仿宋"/>
          <w:b w:val="0"/>
          <w:bCs w:val="0"/>
          <w:caps w:val="0"/>
          <w:color w:val="auto"/>
          <w:kern w:val="2"/>
          <w:sz w:val="32"/>
          <w:szCs w:val="32"/>
          <w:highlight w:val="none"/>
          <w:vertAlign w:val="baseline"/>
          <w:lang w:val="en-US" w:eastAsia="zh-CN" w:bidi="ar"/>
        </w:rPr>
        <w:t>；项目在工改平台或大厅窗口提出</w:t>
      </w:r>
      <w:bookmarkStart w:id="0" w:name="_GoBack"/>
      <w:bookmarkEnd w:id="0"/>
      <w:r>
        <w:rPr>
          <w:rFonts w:hint="eastAsia" w:ascii="仿宋" w:hAnsi="仿宋" w:eastAsia="仿宋" w:cs="仿宋"/>
          <w:b w:val="0"/>
          <w:bCs w:val="0"/>
          <w:caps w:val="0"/>
          <w:color w:val="auto"/>
          <w:kern w:val="2"/>
          <w:sz w:val="32"/>
          <w:szCs w:val="32"/>
          <w:highlight w:val="none"/>
          <w:vertAlign w:val="baseline"/>
          <w:lang w:val="en-US" w:eastAsia="zh-CN" w:bidi="ar"/>
        </w:rPr>
        <w:t>申请之后由市城管局综合受理人进行综合受理并按照项目建设实际再推送至相应市政公共服务企业，实现</w:t>
      </w:r>
      <w:r>
        <w:rPr>
          <w:rFonts w:hint="eastAsia" w:ascii="仿宋" w:hAnsi="仿宋" w:eastAsia="仿宋" w:cs="仿宋"/>
          <w:b/>
          <w:bCs/>
          <w:sz w:val="32"/>
          <w:szCs w:val="32"/>
          <w:lang w:val="en-US" w:eastAsia="zh-CN"/>
        </w:rPr>
        <w:t>“一窗综办”</w:t>
      </w:r>
      <w:r>
        <w:rPr>
          <w:rFonts w:hint="eastAsia" w:ascii="仿宋" w:hAnsi="仿宋" w:eastAsia="仿宋" w:cs="仿宋"/>
          <w:sz w:val="32"/>
          <w:szCs w:val="32"/>
          <w:lang w:val="en-US" w:eastAsia="zh-CN"/>
        </w:rPr>
        <w:t>。</w:t>
      </w:r>
    </w:p>
    <w:p>
      <w:pPr>
        <w:pStyle w:val="2"/>
        <w:keepNext w:val="0"/>
        <w:keepLines w:val="0"/>
        <w:pageBreakBefore w:val="0"/>
        <w:widowControl w:val="0"/>
        <w:shd w:val="clear" w:color="auto" w:fill="FFFFFF"/>
        <w:kinsoku/>
        <w:wordWrap/>
        <w:overflowPunct/>
        <w:topLinePunct w:val="0"/>
        <w:autoSpaceDE/>
        <w:autoSpaceDN/>
        <w:bidi w:val="0"/>
        <w:adjustRightInd/>
        <w:spacing w:line="600" w:lineRule="exact"/>
        <w:ind w:firstLine="643" w:firstLineChars="200"/>
        <w:jc w:val="both"/>
        <w:textAlignment w:val="auto"/>
        <w:rPr>
          <w:rFonts w:hint="eastAsia"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2.推行集中联合施工“协同设计”“共同施工”。</w:t>
      </w:r>
      <w:r>
        <w:rPr>
          <w:rFonts w:hint="eastAsia" w:ascii="仿宋" w:hAnsi="仿宋" w:eastAsia="仿宋" w:cs="仿宋"/>
          <w:b w:val="0"/>
          <w:bCs w:val="0"/>
          <w:caps w:val="0"/>
          <w:color w:val="auto"/>
          <w:kern w:val="2"/>
          <w:sz w:val="32"/>
          <w:szCs w:val="32"/>
          <w:highlight w:val="none"/>
          <w:vertAlign w:val="baseline"/>
          <w:lang w:val="en-US" w:eastAsia="zh-CN" w:bidi="ar"/>
        </w:rPr>
        <w:t>同一路段涉及多个接入工程施工的由各市政公共服务企业在城管部门的指导下和满足施工工期计划、工程质量、安全及技术标准等要求的前提下，统筹协调联合，通过共享利用施工沟渠，协同有序同步开挖、同步安装、同步回填，减少施工次数和持续时间，避免道路重复开挖，降低综合建设成本。</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3.推行集中联合审批“联合勘察”“同步反馈”</w:t>
      </w:r>
      <w:r>
        <w:rPr>
          <w:rFonts w:hint="eastAsia" w:ascii="仿宋" w:hAnsi="仿宋" w:eastAsia="仿宋" w:cs="仿宋"/>
          <w:b w:val="0"/>
          <w:bCs w:val="0"/>
          <w:caps w:val="0"/>
          <w:color w:val="auto"/>
          <w:kern w:val="2"/>
          <w:sz w:val="32"/>
          <w:szCs w:val="32"/>
          <w:highlight w:val="none"/>
          <w:vertAlign w:val="baseline"/>
          <w:lang w:val="en-US" w:eastAsia="zh-CN" w:bidi="ar"/>
        </w:rPr>
        <w:t>。</w:t>
      </w:r>
      <w:r>
        <w:rPr>
          <w:rFonts w:hint="eastAsia" w:ascii="仿宋" w:hAnsi="仿宋" w:eastAsia="仿宋" w:cs="仿宋"/>
          <w:caps w:val="0"/>
          <w:color w:val="auto"/>
          <w:kern w:val="2"/>
          <w:sz w:val="32"/>
          <w:szCs w:val="32"/>
          <w:highlight w:val="none"/>
          <w:vertAlign w:val="baseline"/>
          <w:lang w:val="en-US" w:eastAsia="zh-CN" w:bidi="ar"/>
        </w:rPr>
        <w:t>涉及外线工程的项目各审批部门实行联合上门对接、联合勘察现场，提前进行技术指导。</w:t>
      </w:r>
      <w:r>
        <w:rPr>
          <w:rFonts w:hint="eastAsia" w:ascii="楷体" w:hAnsi="楷体" w:eastAsia="楷体" w:cs="楷体"/>
          <w:color w:val="auto"/>
          <w:kern w:val="2"/>
          <w:sz w:val="32"/>
          <w:szCs w:val="32"/>
          <w:lang w:bidi="ar"/>
        </w:rPr>
        <w:t>市城管执法局</w:t>
      </w:r>
      <w:r>
        <w:rPr>
          <w:rFonts w:hint="eastAsia" w:ascii="仿宋" w:hAnsi="仿宋" w:eastAsia="仿宋" w:cs="仿宋"/>
          <w:snapToGrid/>
          <w:color w:val="000000" w:themeColor="text1"/>
          <w:kern w:val="2"/>
          <w:sz w:val="32"/>
          <w:szCs w:val="32"/>
          <w14:textFill>
            <w14:solidFill>
              <w14:schemeClr w14:val="tx1"/>
            </w14:solidFill>
          </w14:textFill>
        </w:rPr>
        <w:t>负责挖掘道路审批的</w:t>
      </w:r>
      <w:r>
        <w:rPr>
          <w:rFonts w:hint="eastAsia" w:ascii="仿宋" w:hAnsi="仿宋" w:eastAsia="仿宋" w:cs="仿宋"/>
          <w:snapToGrid/>
          <w:color w:val="000000" w:themeColor="text1"/>
          <w:kern w:val="2"/>
          <w:sz w:val="32"/>
          <w:szCs w:val="32"/>
          <w:lang w:eastAsia="zh-CN"/>
          <w14:textFill>
            <w14:solidFill>
              <w14:schemeClr w14:val="tx1"/>
            </w14:solidFill>
          </w14:textFill>
        </w:rPr>
        <w:t>联合勘察</w:t>
      </w:r>
      <w:r>
        <w:rPr>
          <w:rFonts w:hint="eastAsia" w:ascii="仿宋" w:hAnsi="仿宋" w:eastAsia="仿宋" w:cs="仿宋"/>
          <w:snapToGrid/>
          <w:color w:val="000000" w:themeColor="text1"/>
          <w:kern w:val="2"/>
          <w:sz w:val="32"/>
          <w:szCs w:val="32"/>
          <w14:textFill>
            <w14:solidFill>
              <w14:schemeClr w14:val="tx1"/>
            </w14:solidFill>
          </w14:textFill>
        </w:rPr>
        <w:t>工作。</w:t>
      </w:r>
      <w:r>
        <w:rPr>
          <w:rFonts w:hint="eastAsia" w:ascii="楷体" w:hAnsi="楷体" w:eastAsia="楷体" w:cs="楷体"/>
          <w:color w:val="auto"/>
          <w:kern w:val="2"/>
          <w:sz w:val="32"/>
          <w:szCs w:val="32"/>
          <w:lang w:bidi="ar"/>
        </w:rPr>
        <w:t>市住建局</w:t>
      </w:r>
      <w:r>
        <w:rPr>
          <w:rFonts w:hint="eastAsia" w:ascii="仿宋" w:hAnsi="仿宋" w:eastAsia="仿宋" w:cs="仿宋"/>
          <w:color w:val="auto"/>
          <w:kern w:val="2"/>
          <w:sz w:val="32"/>
          <w:szCs w:val="32"/>
          <w:lang w:bidi="ar"/>
        </w:rPr>
        <w:t>负责</w:t>
      </w:r>
      <w:r>
        <w:rPr>
          <w:rFonts w:hint="eastAsia" w:ascii="仿宋" w:hAnsi="仿宋" w:eastAsia="仿宋" w:cs="仿宋"/>
          <w:snapToGrid/>
          <w:color w:val="auto"/>
          <w:kern w:val="2"/>
          <w:sz w:val="32"/>
          <w:szCs w:val="32"/>
          <w:lang w:bidi="ar"/>
        </w:rPr>
        <w:t>建筑工程施工许可证核发的</w:t>
      </w:r>
      <w:r>
        <w:rPr>
          <w:rFonts w:hint="eastAsia" w:ascii="仿宋" w:hAnsi="仿宋" w:eastAsia="仿宋" w:cs="仿宋"/>
          <w:snapToGrid/>
          <w:color w:val="auto"/>
          <w:kern w:val="2"/>
          <w:sz w:val="32"/>
          <w:szCs w:val="32"/>
          <w:lang w:eastAsia="zh-CN" w:bidi="ar"/>
        </w:rPr>
        <w:t>联合勘察</w:t>
      </w:r>
      <w:r>
        <w:rPr>
          <w:rFonts w:hint="eastAsia" w:ascii="仿宋" w:hAnsi="仿宋" w:eastAsia="仿宋" w:cs="仿宋"/>
          <w:snapToGrid/>
          <w:color w:val="auto"/>
          <w:kern w:val="2"/>
          <w:sz w:val="32"/>
          <w:szCs w:val="32"/>
          <w:lang w:bidi="ar"/>
        </w:rPr>
        <w:t>工作</w:t>
      </w:r>
      <w:r>
        <w:rPr>
          <w:rFonts w:hint="eastAsia" w:ascii="仿宋" w:hAnsi="仿宋" w:eastAsia="仿宋" w:cs="仿宋"/>
          <w:snapToGrid/>
          <w:color w:val="000000" w:themeColor="text1"/>
          <w:kern w:val="2"/>
          <w:sz w:val="32"/>
          <w:szCs w:val="32"/>
          <w14:textFill>
            <w14:solidFill>
              <w14:schemeClr w14:val="tx1"/>
            </w14:solidFill>
          </w14:textFill>
        </w:rPr>
        <w:t>。</w:t>
      </w:r>
      <w:r>
        <w:rPr>
          <w:rFonts w:hint="eastAsia" w:ascii="楷体" w:hAnsi="楷体" w:eastAsia="楷体" w:cs="楷体"/>
          <w:color w:val="auto"/>
          <w:kern w:val="2"/>
          <w:sz w:val="32"/>
          <w:szCs w:val="32"/>
          <w:lang w:bidi="ar"/>
        </w:rPr>
        <w:t>市自然资源局</w:t>
      </w:r>
      <w:r>
        <w:rPr>
          <w:rFonts w:hint="eastAsia" w:ascii="仿宋" w:hAnsi="仿宋" w:eastAsia="仿宋" w:cs="仿宋"/>
          <w:snapToGrid/>
          <w:color w:val="auto"/>
          <w:kern w:val="2"/>
          <w:sz w:val="32"/>
          <w:szCs w:val="32"/>
          <w:lang w:bidi="ar"/>
        </w:rPr>
        <w:t>建设工程规划许可证核发的</w:t>
      </w:r>
      <w:r>
        <w:rPr>
          <w:rFonts w:hint="eastAsia" w:ascii="仿宋" w:hAnsi="仿宋" w:eastAsia="仿宋" w:cs="仿宋"/>
          <w:snapToGrid/>
          <w:color w:val="auto"/>
          <w:kern w:val="2"/>
          <w:sz w:val="32"/>
          <w:szCs w:val="32"/>
          <w:lang w:eastAsia="zh-CN" w:bidi="ar"/>
        </w:rPr>
        <w:t>联合勘察</w:t>
      </w:r>
      <w:r>
        <w:rPr>
          <w:rFonts w:hint="eastAsia" w:ascii="仿宋" w:hAnsi="仿宋" w:eastAsia="仿宋" w:cs="仿宋"/>
          <w:snapToGrid/>
          <w:color w:val="auto"/>
          <w:kern w:val="2"/>
          <w:sz w:val="32"/>
          <w:szCs w:val="32"/>
          <w:lang w:bidi="ar"/>
        </w:rPr>
        <w:t>工作。</w:t>
      </w:r>
      <w:r>
        <w:rPr>
          <w:rFonts w:hint="eastAsia" w:ascii="楷体" w:hAnsi="楷体" w:eastAsia="楷体" w:cs="楷体"/>
          <w:color w:val="auto"/>
          <w:kern w:val="2"/>
          <w:sz w:val="32"/>
          <w:szCs w:val="32"/>
          <w:lang w:bidi="ar"/>
        </w:rPr>
        <w:t>市公安局交警支队</w:t>
      </w:r>
      <w:r>
        <w:rPr>
          <w:rFonts w:hint="eastAsia" w:ascii="仿宋" w:hAnsi="仿宋" w:eastAsia="仿宋" w:cs="仿宋"/>
          <w:color w:val="auto"/>
          <w:kern w:val="2"/>
          <w:sz w:val="32"/>
          <w:szCs w:val="32"/>
          <w:lang w:bidi="ar"/>
        </w:rPr>
        <w:t>负责</w:t>
      </w:r>
      <w:r>
        <w:rPr>
          <w:rFonts w:hint="eastAsia" w:ascii="仿宋" w:hAnsi="仿宋" w:eastAsia="仿宋" w:cs="仿宋"/>
          <w:snapToGrid/>
          <w:color w:val="auto"/>
          <w:kern w:val="2"/>
          <w:sz w:val="32"/>
          <w:szCs w:val="32"/>
          <w:lang w:bidi="ar"/>
        </w:rPr>
        <w:t>占挖道路影响交通安全的</w:t>
      </w:r>
      <w:r>
        <w:rPr>
          <w:rFonts w:hint="eastAsia" w:ascii="仿宋" w:hAnsi="仿宋" w:eastAsia="仿宋" w:cs="仿宋"/>
          <w:snapToGrid/>
          <w:color w:val="auto"/>
          <w:kern w:val="2"/>
          <w:sz w:val="32"/>
          <w:szCs w:val="32"/>
          <w:lang w:eastAsia="zh-CN" w:bidi="ar"/>
        </w:rPr>
        <w:t>联合勘察</w:t>
      </w:r>
      <w:r>
        <w:rPr>
          <w:rFonts w:hint="eastAsia" w:ascii="仿宋" w:hAnsi="仿宋" w:eastAsia="仿宋" w:cs="仿宋"/>
          <w:snapToGrid/>
          <w:color w:val="auto"/>
          <w:kern w:val="2"/>
          <w:sz w:val="32"/>
          <w:szCs w:val="32"/>
          <w:lang w:bidi="ar"/>
        </w:rPr>
        <w:t>工作。</w:t>
      </w:r>
      <w:r>
        <w:rPr>
          <w:rFonts w:hint="eastAsia" w:ascii="楷体" w:hAnsi="楷体" w:eastAsia="楷体" w:cs="楷体"/>
          <w:color w:val="auto"/>
          <w:kern w:val="2"/>
          <w:sz w:val="32"/>
          <w:szCs w:val="32"/>
          <w:lang w:bidi="ar"/>
        </w:rPr>
        <w:t>地下管线产权</w:t>
      </w:r>
      <w:r>
        <w:rPr>
          <w:rFonts w:hint="eastAsia" w:ascii="楷体" w:hAnsi="楷体" w:eastAsia="楷体" w:cs="楷体"/>
          <w:color w:val="auto"/>
          <w:kern w:val="2"/>
          <w:sz w:val="32"/>
          <w:szCs w:val="32"/>
          <w:lang w:val="en-US" w:eastAsia="zh-CN" w:bidi="ar"/>
        </w:rPr>
        <w:t>相关</w:t>
      </w:r>
      <w:r>
        <w:rPr>
          <w:rFonts w:hint="eastAsia" w:ascii="楷体" w:hAnsi="楷体" w:eastAsia="楷体" w:cs="楷体"/>
          <w:color w:val="auto"/>
          <w:kern w:val="2"/>
          <w:sz w:val="32"/>
          <w:szCs w:val="32"/>
          <w:lang w:bidi="ar"/>
        </w:rPr>
        <w:t>单位</w:t>
      </w:r>
      <w:r>
        <w:rPr>
          <w:rFonts w:hint="eastAsia" w:ascii="仿宋" w:hAnsi="仿宋" w:eastAsia="仿宋" w:cs="仿宋"/>
          <w:color w:val="auto"/>
          <w:kern w:val="2"/>
          <w:sz w:val="32"/>
          <w:szCs w:val="32"/>
          <w:lang w:bidi="ar"/>
        </w:rPr>
        <w:t>负责</w:t>
      </w:r>
      <w:r>
        <w:rPr>
          <w:rFonts w:hint="eastAsia" w:ascii="仿宋" w:hAnsi="仿宋" w:eastAsia="仿宋" w:cs="仿宋"/>
          <w:snapToGrid/>
          <w:color w:val="000000" w:themeColor="text1"/>
          <w:kern w:val="2"/>
          <w:sz w:val="32"/>
          <w:szCs w:val="32"/>
          <w14:textFill>
            <w14:solidFill>
              <w14:schemeClr w14:val="tx1"/>
            </w14:solidFill>
          </w14:textFill>
        </w:rPr>
        <w:t>地下管线路由的</w:t>
      </w:r>
      <w:r>
        <w:rPr>
          <w:rFonts w:hint="eastAsia" w:ascii="仿宋" w:hAnsi="仿宋" w:eastAsia="仿宋" w:cs="仿宋"/>
          <w:snapToGrid/>
          <w:color w:val="auto"/>
          <w:kern w:val="2"/>
          <w:sz w:val="32"/>
          <w:szCs w:val="32"/>
          <w:lang w:eastAsia="zh-CN" w:bidi="ar"/>
        </w:rPr>
        <w:t>联合勘察</w:t>
      </w:r>
      <w:r>
        <w:rPr>
          <w:rFonts w:hint="eastAsia" w:ascii="仿宋" w:hAnsi="仿宋" w:eastAsia="仿宋" w:cs="仿宋"/>
          <w:snapToGrid/>
          <w:color w:val="auto"/>
          <w:kern w:val="2"/>
          <w:sz w:val="32"/>
          <w:szCs w:val="32"/>
          <w:lang w:bidi="ar"/>
        </w:rPr>
        <w:t>工作。</w:t>
      </w:r>
      <w:r>
        <w:rPr>
          <w:rFonts w:hint="eastAsia" w:ascii="楷体" w:hAnsi="楷体" w:eastAsia="楷体" w:cs="楷体"/>
          <w:color w:val="auto"/>
          <w:kern w:val="2"/>
          <w:sz w:val="32"/>
          <w:szCs w:val="32"/>
          <w:lang w:val="en-US" w:eastAsia="zh-CN" w:bidi="ar"/>
        </w:rPr>
        <w:t>各</w:t>
      </w:r>
      <w:r>
        <w:rPr>
          <w:rFonts w:hint="eastAsia" w:ascii="楷体" w:hAnsi="楷体" w:eastAsia="楷体" w:cs="楷体"/>
          <w:color w:val="auto"/>
          <w:kern w:val="2"/>
          <w:sz w:val="32"/>
          <w:szCs w:val="32"/>
          <w:lang w:bidi="ar"/>
        </w:rPr>
        <w:t>区</w:t>
      </w:r>
      <w:r>
        <w:rPr>
          <w:rFonts w:hint="eastAsia" w:ascii="楷体" w:hAnsi="楷体" w:eastAsia="楷体" w:cs="楷体"/>
          <w:color w:val="auto"/>
          <w:kern w:val="2"/>
          <w:sz w:val="32"/>
          <w:szCs w:val="32"/>
          <w:lang w:val="en-US" w:eastAsia="zh-CN" w:bidi="ar"/>
        </w:rPr>
        <w:t>城</w:t>
      </w:r>
      <w:r>
        <w:rPr>
          <w:rFonts w:hint="eastAsia" w:ascii="楷体" w:hAnsi="楷体" w:eastAsia="楷体" w:cs="楷体"/>
          <w:snapToGrid/>
          <w:color w:val="auto"/>
          <w:kern w:val="2"/>
          <w:sz w:val="32"/>
          <w:szCs w:val="32"/>
          <w:lang w:val="en-US" w:eastAsia="zh-CN" w:bidi="ar"/>
        </w:rPr>
        <w:t>管部门负责</w:t>
      </w:r>
      <w:r>
        <w:rPr>
          <w:rFonts w:hint="eastAsia" w:ascii="仿宋" w:hAnsi="仿宋" w:eastAsia="仿宋" w:cs="仿宋"/>
          <w:snapToGrid/>
          <w:color w:val="000000" w:themeColor="text1"/>
          <w:kern w:val="2"/>
          <w:sz w:val="32"/>
          <w:szCs w:val="32"/>
          <w14:textFill>
            <w14:solidFill>
              <w14:schemeClr w14:val="tx1"/>
            </w14:solidFill>
          </w14:textFill>
        </w:rPr>
        <w:t>园林绿化审批和占用道路审批的</w:t>
      </w:r>
      <w:r>
        <w:rPr>
          <w:rFonts w:hint="eastAsia" w:ascii="仿宋" w:hAnsi="仿宋" w:eastAsia="仿宋" w:cs="仿宋"/>
          <w:snapToGrid/>
          <w:color w:val="auto"/>
          <w:kern w:val="2"/>
          <w:sz w:val="32"/>
          <w:szCs w:val="32"/>
          <w:lang w:eastAsia="zh-CN" w:bidi="ar"/>
        </w:rPr>
        <w:t>联合勘察</w:t>
      </w:r>
      <w:r>
        <w:rPr>
          <w:rFonts w:hint="eastAsia" w:ascii="仿宋" w:hAnsi="仿宋" w:eastAsia="仿宋" w:cs="仿宋"/>
          <w:snapToGrid/>
          <w:color w:val="auto"/>
          <w:kern w:val="2"/>
          <w:sz w:val="32"/>
          <w:szCs w:val="32"/>
          <w:lang w:bidi="ar"/>
        </w:rPr>
        <w:t>工作</w:t>
      </w:r>
      <w:r>
        <w:rPr>
          <w:rFonts w:hint="eastAsia" w:ascii="仿宋" w:hAnsi="仿宋" w:eastAsia="仿宋" w:cs="仿宋"/>
          <w:snapToGrid/>
          <w:color w:val="auto"/>
          <w:kern w:val="2"/>
          <w:sz w:val="32"/>
          <w:szCs w:val="32"/>
          <w:lang w:eastAsia="zh-CN" w:bidi="ar"/>
        </w:rPr>
        <w:t>；</w:t>
      </w:r>
      <w:r>
        <w:rPr>
          <w:rFonts w:hint="eastAsia" w:ascii="仿宋" w:hAnsi="仿宋" w:eastAsia="仿宋" w:cs="仿宋"/>
          <w:b/>
          <w:bCs/>
          <w:snapToGrid/>
          <w:color w:val="auto"/>
          <w:kern w:val="2"/>
          <w:sz w:val="32"/>
          <w:szCs w:val="32"/>
          <w:lang w:eastAsia="zh-CN" w:bidi="ar"/>
        </w:rPr>
        <w:t>“</w:t>
      </w:r>
      <w:r>
        <w:rPr>
          <w:rFonts w:hint="eastAsia" w:ascii="仿宋" w:hAnsi="仿宋" w:eastAsia="仿宋" w:cs="仿宋"/>
          <w:b/>
          <w:bCs/>
          <w:snapToGrid/>
          <w:color w:val="auto"/>
          <w:kern w:val="2"/>
          <w:sz w:val="32"/>
          <w:szCs w:val="32"/>
          <w:lang w:val="en-US" w:eastAsia="zh-CN" w:bidi="ar"/>
        </w:rPr>
        <w:t>联合勘察</w:t>
      </w:r>
      <w:r>
        <w:rPr>
          <w:rFonts w:hint="eastAsia" w:ascii="仿宋" w:hAnsi="仿宋" w:eastAsia="仿宋" w:cs="仿宋"/>
          <w:b/>
          <w:bCs/>
          <w:snapToGrid/>
          <w:color w:val="auto"/>
          <w:kern w:val="2"/>
          <w:sz w:val="32"/>
          <w:szCs w:val="32"/>
          <w:lang w:eastAsia="zh-CN" w:bidi="ar"/>
        </w:rPr>
        <w:t>”</w:t>
      </w:r>
      <w:r>
        <w:rPr>
          <w:rFonts w:hint="eastAsia" w:ascii="仿宋" w:hAnsi="仿宋" w:eastAsia="仿宋" w:cs="仿宋"/>
          <w:snapToGrid/>
          <w:color w:val="auto"/>
          <w:kern w:val="2"/>
          <w:sz w:val="32"/>
          <w:szCs w:val="32"/>
          <w:lang w:val="en-US" w:eastAsia="zh-CN" w:bidi="ar"/>
        </w:rPr>
        <w:t>完成后各部门分别形成“占用城市道路审批”、</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lang w:eastAsia="zh-CN" w:bidi="ar"/>
        </w:rPr>
        <w:t>砍伐城市树木审批</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lang w:eastAsia="zh-CN" w:bidi="ar"/>
        </w:rPr>
        <w:t>依附于城市道路建设各种管线、杆线等审批</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lang w:eastAsia="zh-CN" w:bidi="ar"/>
        </w:rPr>
        <w:t>挖掘城市道路审批</w:t>
      </w:r>
      <w:r>
        <w:rPr>
          <w:rFonts w:hint="eastAsia" w:ascii="仿宋" w:hAnsi="仿宋" w:eastAsia="仿宋" w:cs="仿宋"/>
          <w:color w:val="auto"/>
          <w:kern w:val="2"/>
          <w:sz w:val="32"/>
          <w:szCs w:val="32"/>
          <w:lang w:val="en-US" w:eastAsia="zh-CN" w:bidi="ar"/>
        </w:rPr>
        <w:t>”四类审批决定和</w:t>
      </w:r>
      <w:r>
        <w:rPr>
          <w:rFonts w:hint="eastAsia" w:ascii="仿宋" w:hAnsi="仿宋" w:eastAsia="仿宋" w:cs="仿宋"/>
          <w:color w:val="auto"/>
          <w:kern w:val="2"/>
          <w:sz w:val="32"/>
          <w:szCs w:val="32"/>
          <w:lang w:eastAsia="zh-CN" w:bidi="ar"/>
        </w:rPr>
        <w:t>住建、</w:t>
      </w:r>
      <w:r>
        <w:rPr>
          <w:rFonts w:hint="eastAsia" w:ascii="仿宋" w:hAnsi="仿宋" w:eastAsia="仿宋" w:cs="仿宋"/>
          <w:color w:val="auto"/>
          <w:kern w:val="2"/>
          <w:sz w:val="32"/>
          <w:szCs w:val="32"/>
          <w:lang w:val="en-US" w:eastAsia="zh-CN" w:bidi="ar"/>
        </w:rPr>
        <w:t>自然</w:t>
      </w:r>
      <w:r>
        <w:rPr>
          <w:rFonts w:hint="eastAsia" w:ascii="仿宋" w:hAnsi="仿宋" w:eastAsia="仿宋" w:cs="仿宋"/>
          <w:color w:val="auto"/>
          <w:kern w:val="2"/>
          <w:sz w:val="32"/>
          <w:szCs w:val="32"/>
          <w:lang w:eastAsia="zh-CN" w:bidi="ar"/>
        </w:rPr>
        <w:t>部门出具</w:t>
      </w:r>
      <w:r>
        <w:rPr>
          <w:rFonts w:hint="eastAsia" w:ascii="仿宋" w:hAnsi="仿宋" w:eastAsia="仿宋" w:cs="仿宋"/>
          <w:color w:val="auto"/>
          <w:kern w:val="2"/>
          <w:sz w:val="32"/>
          <w:szCs w:val="32"/>
          <w:lang w:val="en-US" w:eastAsia="zh-CN" w:bidi="ar"/>
        </w:rPr>
        <w:t>的</w:t>
      </w:r>
      <w:r>
        <w:rPr>
          <w:rFonts w:hint="eastAsia" w:ascii="仿宋" w:hAnsi="仿宋" w:eastAsia="仿宋" w:cs="仿宋"/>
          <w:color w:val="auto"/>
          <w:kern w:val="2"/>
          <w:sz w:val="32"/>
          <w:szCs w:val="32"/>
          <w:lang w:eastAsia="zh-CN" w:bidi="ar"/>
        </w:rPr>
        <w:t>相关意见，</w:t>
      </w:r>
      <w:r>
        <w:rPr>
          <w:rFonts w:hint="eastAsia" w:ascii="仿宋" w:hAnsi="仿宋" w:eastAsia="仿宋" w:cs="仿宋"/>
          <w:b/>
          <w:bCs/>
          <w:color w:val="auto"/>
          <w:kern w:val="2"/>
          <w:sz w:val="32"/>
          <w:szCs w:val="32"/>
          <w:lang w:eastAsia="zh-CN" w:bidi="ar"/>
        </w:rPr>
        <w:t>“</w:t>
      </w:r>
      <w:r>
        <w:rPr>
          <w:rFonts w:hint="eastAsia" w:ascii="仿宋" w:hAnsi="仿宋" w:eastAsia="仿宋" w:cs="仿宋"/>
          <w:b/>
          <w:bCs/>
          <w:color w:val="auto"/>
          <w:kern w:val="2"/>
          <w:sz w:val="32"/>
          <w:szCs w:val="32"/>
          <w:lang w:val="en-US" w:eastAsia="zh-CN" w:bidi="ar"/>
        </w:rPr>
        <w:t>同步反馈</w:t>
      </w:r>
      <w:r>
        <w:rPr>
          <w:rFonts w:hint="eastAsia" w:ascii="仿宋" w:hAnsi="仿宋" w:eastAsia="仿宋" w:cs="仿宋"/>
          <w:b/>
          <w:bCs/>
          <w:color w:val="auto"/>
          <w:kern w:val="2"/>
          <w:sz w:val="32"/>
          <w:szCs w:val="32"/>
          <w:lang w:eastAsia="zh-CN" w:bidi="ar"/>
        </w:rPr>
        <w:t>”</w:t>
      </w:r>
      <w:r>
        <w:rPr>
          <w:rFonts w:hint="eastAsia" w:ascii="仿宋" w:hAnsi="仿宋" w:eastAsia="仿宋" w:cs="仿宋"/>
          <w:color w:val="auto"/>
          <w:kern w:val="2"/>
          <w:sz w:val="32"/>
          <w:szCs w:val="32"/>
          <w:lang w:val="en-US" w:eastAsia="zh-CN" w:bidi="ar"/>
        </w:rPr>
        <w:t>给各市政公共服务企业。</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4.推行集中联合服务“一支队伍”“联合验收”。</w:t>
      </w:r>
      <w:r>
        <w:rPr>
          <w:rFonts w:hint="eastAsia" w:ascii="仿宋" w:hAnsi="仿宋" w:eastAsia="仿宋" w:cs="仿宋"/>
          <w:b w:val="0"/>
          <w:bCs w:val="0"/>
          <w:caps w:val="0"/>
          <w:color w:val="auto"/>
          <w:kern w:val="2"/>
          <w:sz w:val="32"/>
          <w:szCs w:val="32"/>
          <w:highlight w:val="none"/>
          <w:vertAlign w:val="baseline"/>
          <w:lang w:val="en-US" w:eastAsia="zh-CN" w:bidi="ar"/>
        </w:rPr>
        <w:t>由市城管局、市住建局、市自然资源局、市交警支队、六区城管部门和11家市政公共服务企业组建成为</w:t>
      </w:r>
      <w:r>
        <w:rPr>
          <w:rFonts w:hint="eastAsia" w:ascii="仿宋" w:hAnsi="仿宋" w:eastAsia="仿宋" w:cs="仿宋"/>
          <w:b/>
          <w:bCs/>
          <w:caps w:val="0"/>
          <w:color w:val="auto"/>
          <w:kern w:val="2"/>
          <w:sz w:val="32"/>
          <w:szCs w:val="32"/>
          <w:highlight w:val="none"/>
          <w:vertAlign w:val="baseline"/>
          <w:lang w:val="en-US" w:eastAsia="zh-CN" w:bidi="ar"/>
        </w:rPr>
        <w:t>“一支队伍”</w:t>
      </w:r>
      <w:r>
        <w:rPr>
          <w:rFonts w:hint="eastAsia" w:ascii="仿宋" w:hAnsi="仿宋" w:eastAsia="仿宋" w:cs="仿宋"/>
          <w:b w:val="0"/>
          <w:bCs w:val="0"/>
          <w:caps w:val="0"/>
          <w:color w:val="auto"/>
          <w:kern w:val="2"/>
          <w:sz w:val="32"/>
          <w:szCs w:val="32"/>
          <w:highlight w:val="none"/>
          <w:vertAlign w:val="baseline"/>
          <w:lang w:val="en-US" w:eastAsia="zh-CN" w:bidi="ar"/>
        </w:rPr>
        <w:t>，将原有多个部门多头对接的工作方式转变为</w:t>
      </w:r>
      <w:r>
        <w:rPr>
          <w:rFonts w:hint="eastAsia" w:ascii="仿宋" w:hAnsi="仿宋" w:eastAsia="仿宋" w:cs="仿宋"/>
          <w:b/>
          <w:bCs/>
          <w:caps w:val="0"/>
          <w:color w:val="auto"/>
          <w:kern w:val="2"/>
          <w:sz w:val="32"/>
          <w:szCs w:val="32"/>
          <w:highlight w:val="none"/>
          <w:vertAlign w:val="baseline"/>
          <w:lang w:val="en-US" w:eastAsia="zh-CN" w:bidi="ar"/>
        </w:rPr>
        <w:t>“一站式服务”</w:t>
      </w:r>
      <w:r>
        <w:rPr>
          <w:rFonts w:hint="eastAsia" w:ascii="仿宋" w:hAnsi="仿宋" w:eastAsia="仿宋" w:cs="仿宋"/>
          <w:b w:val="0"/>
          <w:bCs w:val="0"/>
          <w:caps w:val="0"/>
          <w:color w:val="auto"/>
          <w:kern w:val="2"/>
          <w:sz w:val="32"/>
          <w:szCs w:val="32"/>
          <w:highlight w:val="none"/>
          <w:vertAlign w:val="baseline"/>
          <w:lang w:val="en-US" w:eastAsia="zh-CN" w:bidi="ar"/>
        </w:rPr>
        <w:t>。政府部门一站式为各市政公共服务企业服务，各市政公共服务企业一站式向报装企业服务。在验收环节各市政公共服务企业根据用户需求提供预约接通服务，在条件允许的情况下联合上门，主动检测、试压，实行市政公共服务</w:t>
      </w:r>
      <w:r>
        <w:rPr>
          <w:rFonts w:hint="eastAsia" w:ascii="仿宋" w:hAnsi="仿宋" w:eastAsia="仿宋" w:cs="仿宋"/>
          <w:b/>
          <w:bCs/>
          <w:caps w:val="0"/>
          <w:color w:val="auto"/>
          <w:kern w:val="2"/>
          <w:sz w:val="32"/>
          <w:szCs w:val="32"/>
          <w:highlight w:val="none"/>
          <w:vertAlign w:val="baseline"/>
          <w:lang w:val="en-US" w:eastAsia="zh-CN" w:bidi="ar"/>
        </w:rPr>
        <w:t>“联合验收”</w:t>
      </w:r>
      <w:r>
        <w:rPr>
          <w:rFonts w:hint="eastAsia" w:ascii="仿宋" w:hAnsi="仿宋" w:eastAsia="仿宋" w:cs="仿宋"/>
          <w:b w:val="0"/>
          <w:bCs w:val="0"/>
          <w:caps w:val="0"/>
          <w:color w:val="auto"/>
          <w:kern w:val="2"/>
          <w:sz w:val="32"/>
          <w:szCs w:val="32"/>
          <w:highlight w:val="none"/>
          <w:vertAlign w:val="baseline"/>
          <w:lang w:val="en-US" w:eastAsia="zh-CN" w:bidi="ar"/>
        </w:rPr>
        <w:t>。</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caps w:val="0"/>
          <w:color w:val="auto"/>
          <w:kern w:val="2"/>
          <w:sz w:val="32"/>
          <w:szCs w:val="32"/>
          <w:highlight w:val="none"/>
          <w:vertAlign w:val="baseline"/>
          <w:lang w:val="en-US" w:eastAsia="zh-CN" w:bidi="ar"/>
        </w:rPr>
      </w:pPr>
      <w:r>
        <w:rPr>
          <w:rFonts w:hint="eastAsia" w:ascii="黑体" w:hAnsi="黑体" w:eastAsia="黑体" w:cs="黑体"/>
          <w:b w:val="0"/>
          <w:bCs w:val="0"/>
          <w:caps w:val="0"/>
          <w:color w:val="auto"/>
          <w:kern w:val="2"/>
          <w:sz w:val="32"/>
          <w:szCs w:val="32"/>
          <w:highlight w:val="none"/>
          <w:vertAlign w:val="baseline"/>
          <w:lang w:val="en-US" w:eastAsia="zh-CN" w:bidi="ar"/>
        </w:rPr>
        <w:t>三、适用范围</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val="0"/>
          <w:bCs w:val="0"/>
          <w:caps w:val="0"/>
          <w:color w:val="auto"/>
          <w:kern w:val="2"/>
          <w:sz w:val="32"/>
          <w:szCs w:val="32"/>
          <w:highlight w:val="none"/>
          <w:vertAlign w:val="baseline"/>
          <w:lang w:val="en-US" w:eastAsia="zh-CN" w:bidi="ar"/>
        </w:rPr>
        <w:t>全市建成区范围内房屋建筑工程建设领域涉及的</w:t>
      </w:r>
      <w:r>
        <w:rPr>
          <w:rFonts w:hint="eastAsia" w:ascii="仿宋" w:hAnsi="仿宋" w:eastAsia="仿宋" w:cs="仿宋"/>
          <w:sz w:val="32"/>
          <w:szCs w:val="32"/>
        </w:rPr>
        <w:t>供水、供电、供热、供气、排水、通讯</w:t>
      </w:r>
      <w:r>
        <w:rPr>
          <w:rFonts w:hint="eastAsia" w:ascii="仿宋" w:hAnsi="仿宋" w:eastAsia="仿宋" w:cs="仿宋"/>
          <w:sz w:val="32"/>
          <w:szCs w:val="32"/>
          <w:lang w:val="en-US" w:eastAsia="zh-CN"/>
        </w:rPr>
        <w:t>的相关外线工程及其附属的</w:t>
      </w:r>
      <w:r>
        <w:rPr>
          <w:rFonts w:hint="eastAsia" w:ascii="仿宋" w:hAnsi="仿宋" w:eastAsia="仿宋" w:cs="仿宋"/>
          <w:snapToGrid/>
          <w:color w:val="auto"/>
          <w:kern w:val="2"/>
          <w:sz w:val="32"/>
          <w:szCs w:val="32"/>
          <w:lang w:val="en-US" w:eastAsia="zh-CN" w:bidi="ar"/>
        </w:rPr>
        <w:t>“占用城市道路审批”、</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lang w:eastAsia="zh-CN" w:bidi="ar"/>
        </w:rPr>
        <w:t>砍伐城市树木审批</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lang w:eastAsia="zh-CN" w:bidi="ar"/>
        </w:rPr>
        <w:t>依附于城市道路建设各种管线、杆线等审批</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lang w:eastAsia="zh-CN" w:bidi="ar"/>
        </w:rPr>
        <w:t>挖掘城市道路审批</w:t>
      </w:r>
      <w:r>
        <w:rPr>
          <w:rFonts w:hint="eastAsia" w:ascii="仿宋" w:hAnsi="仿宋" w:eastAsia="仿宋" w:cs="仿宋"/>
          <w:color w:val="auto"/>
          <w:kern w:val="2"/>
          <w:sz w:val="32"/>
          <w:szCs w:val="32"/>
          <w:lang w:val="en-US" w:eastAsia="zh-CN" w:bidi="ar"/>
        </w:rPr>
        <w:t>”</w:t>
      </w:r>
      <w:r>
        <w:rPr>
          <w:rFonts w:hint="eastAsia" w:ascii="仿宋" w:hAnsi="仿宋" w:eastAsia="仿宋" w:cs="仿宋"/>
          <w:sz w:val="32"/>
          <w:szCs w:val="32"/>
          <w:lang w:val="en-US" w:eastAsia="zh-CN"/>
        </w:rPr>
        <w:t>；本通知不适用市政基础设施工程。</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caps w:val="0"/>
          <w:color w:val="auto"/>
          <w:kern w:val="2"/>
          <w:sz w:val="32"/>
          <w:szCs w:val="32"/>
          <w:highlight w:val="none"/>
          <w:vertAlign w:val="baseline"/>
          <w:lang w:val="en-US" w:eastAsia="zh-CN" w:bidi="ar"/>
        </w:rPr>
      </w:pPr>
      <w:r>
        <w:rPr>
          <w:rFonts w:hint="eastAsia" w:ascii="黑体" w:hAnsi="黑体" w:eastAsia="黑体" w:cs="黑体"/>
          <w:b w:val="0"/>
          <w:bCs w:val="0"/>
          <w:caps w:val="0"/>
          <w:color w:val="auto"/>
          <w:kern w:val="2"/>
          <w:sz w:val="32"/>
          <w:szCs w:val="32"/>
          <w:highlight w:val="none"/>
          <w:vertAlign w:val="baseline"/>
          <w:lang w:val="en-US" w:eastAsia="zh-CN" w:bidi="ar"/>
        </w:rPr>
        <w:t>集联审批流程</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1.申请受理阶段（即办）。</w:t>
      </w:r>
      <w:r>
        <w:rPr>
          <w:rFonts w:hint="eastAsia" w:ascii="仿宋" w:hAnsi="仿宋" w:eastAsia="仿宋" w:cs="仿宋"/>
          <w:b w:val="0"/>
          <w:bCs w:val="0"/>
          <w:caps w:val="0"/>
          <w:color w:val="auto"/>
          <w:kern w:val="2"/>
          <w:sz w:val="32"/>
          <w:szCs w:val="32"/>
          <w:highlight w:val="none"/>
          <w:vertAlign w:val="baseline"/>
          <w:lang w:val="en-US" w:eastAsia="zh-CN" w:bidi="ar"/>
        </w:rPr>
        <w:t>建设单位在工改平台提出申请或者阶段牵头部门发起集联审批流程后市城管执法局进行综合受理，并推送至相关公共服务企业，由公共服务企业实时受理，进行主动服务并签订委托施工协议。</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pacing w:line="600" w:lineRule="exact"/>
        <w:ind w:firstLine="643" w:firstLineChars="200"/>
        <w:jc w:val="left"/>
        <w:textAlignment w:val="auto"/>
        <w:rPr>
          <w:rFonts w:hint="eastAsia" w:ascii="仿宋" w:hAnsi="仿宋" w:eastAsia="仿宋" w:cs="仿宋"/>
          <w:b/>
          <w:bCs/>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2.联合勘察阶段（1天）。</w:t>
      </w:r>
      <w:r>
        <w:rPr>
          <w:rFonts w:hint="eastAsia" w:ascii="仿宋" w:hAnsi="仿宋" w:eastAsia="仿宋" w:cs="仿宋"/>
          <w:b w:val="0"/>
          <w:bCs w:val="0"/>
          <w:caps w:val="0"/>
          <w:color w:val="auto"/>
          <w:kern w:val="2"/>
          <w:sz w:val="32"/>
          <w:szCs w:val="32"/>
          <w:highlight w:val="none"/>
          <w:vertAlign w:val="baseline"/>
          <w:lang w:val="en-US" w:eastAsia="zh-CN" w:bidi="ar"/>
        </w:rPr>
        <w:t>由市城管执法局牵头联合各政府部门及市政服务企业1天内完成现场联合勘察并出具联合踏勘意见，各市政服务企业在共同确定施工路由。</w:t>
      </w:r>
      <w:r>
        <w:rPr>
          <w:rFonts w:hint="eastAsia" w:ascii="仿宋" w:hAnsi="仿宋" w:eastAsia="仿宋" w:cs="仿宋"/>
          <w:b/>
          <w:bCs/>
          <w:caps w:val="0"/>
          <w:color w:val="auto"/>
          <w:kern w:val="2"/>
          <w:sz w:val="32"/>
          <w:szCs w:val="32"/>
          <w:highlight w:val="none"/>
          <w:vertAlign w:val="baseline"/>
          <w:lang w:val="en-US" w:eastAsia="zh-CN" w:bidi="ar"/>
        </w:rPr>
        <w:t>对于采取承诺制办理的外线工程可以在确定施工方案后先行开工建设，按照承诺制相关要求补办其他审批事项。</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pacing w:line="600" w:lineRule="exact"/>
        <w:ind w:firstLine="643" w:firstLineChars="200"/>
        <w:jc w:val="left"/>
        <w:textAlignment w:val="auto"/>
        <w:rPr>
          <w:rFonts w:hint="default"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3.许可审批阶段（1天）。</w:t>
      </w:r>
      <w:r>
        <w:rPr>
          <w:rFonts w:hint="eastAsia" w:ascii="仿宋" w:hAnsi="仿宋" w:eastAsia="仿宋" w:cs="仿宋"/>
          <w:b w:val="0"/>
          <w:bCs w:val="0"/>
          <w:caps w:val="0"/>
          <w:color w:val="auto"/>
          <w:kern w:val="2"/>
          <w:sz w:val="32"/>
          <w:szCs w:val="32"/>
          <w:highlight w:val="none"/>
          <w:vertAlign w:val="baseline"/>
          <w:lang w:val="en-US" w:eastAsia="zh-CN" w:bidi="ar"/>
        </w:rPr>
        <w:t>按照联合踏勘意见，六区政府、市城管执法局、市交警支队并联完成</w:t>
      </w:r>
      <w:r>
        <w:rPr>
          <w:rFonts w:hint="eastAsia" w:ascii="仿宋" w:hAnsi="仿宋" w:eastAsia="仿宋" w:cs="仿宋"/>
          <w:snapToGrid/>
          <w:color w:val="auto"/>
          <w:kern w:val="2"/>
          <w:sz w:val="32"/>
          <w:szCs w:val="32"/>
          <w:lang w:val="en-US" w:eastAsia="zh-CN" w:bidi="ar"/>
        </w:rPr>
        <w:t>“占用城市道路审批”、</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lang w:eastAsia="zh-CN" w:bidi="ar"/>
        </w:rPr>
        <w:t>砍伐城市树木审批</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lang w:eastAsia="zh-CN" w:bidi="ar"/>
        </w:rPr>
        <w:t>依附于城市道路建设各种管线、杆线等审批</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lang w:eastAsia="zh-CN" w:bidi="ar"/>
        </w:rPr>
        <w:t>挖掘城市道路审批</w:t>
      </w:r>
      <w:r>
        <w:rPr>
          <w:rFonts w:hint="eastAsia" w:ascii="仿宋" w:hAnsi="仿宋" w:eastAsia="仿宋" w:cs="仿宋"/>
          <w:color w:val="auto"/>
          <w:kern w:val="2"/>
          <w:sz w:val="32"/>
          <w:szCs w:val="32"/>
          <w:lang w:val="en-US" w:eastAsia="zh-CN" w:bidi="ar"/>
        </w:rPr>
        <w:t>”四类审批。自然资源局、住建局分别完成建设工程规划意见和建筑工程施工意见。</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pacing w:line="600" w:lineRule="exact"/>
        <w:ind w:firstLine="643" w:firstLineChars="200"/>
        <w:jc w:val="left"/>
        <w:textAlignment w:val="auto"/>
        <w:rPr>
          <w:rFonts w:hint="eastAsia"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4.企业施工阶段（不计时）。</w:t>
      </w:r>
      <w:r>
        <w:rPr>
          <w:rFonts w:hint="eastAsia" w:ascii="仿宋" w:hAnsi="仿宋" w:eastAsia="仿宋" w:cs="仿宋"/>
          <w:b w:val="0"/>
          <w:bCs w:val="0"/>
          <w:caps w:val="0"/>
          <w:color w:val="auto"/>
          <w:kern w:val="2"/>
          <w:sz w:val="32"/>
          <w:szCs w:val="32"/>
          <w:highlight w:val="none"/>
          <w:vertAlign w:val="baseline"/>
          <w:lang w:val="en-US" w:eastAsia="zh-CN" w:bidi="ar"/>
        </w:rPr>
        <w:t>各市政企业按照地下管线的相关管理规定和技术标准和确定的路由采用共同沟、综合管道等方式统一制定施工方案共同施工，在工改平台设置专用施工按钮将项目转入施工阶段。</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pacing w:line="600" w:lineRule="exact"/>
        <w:ind w:firstLine="643" w:firstLineChars="200"/>
        <w:jc w:val="left"/>
        <w:textAlignment w:val="auto"/>
        <w:rPr>
          <w:rFonts w:hint="default" w:ascii="楷体" w:hAnsi="楷体" w:eastAsia="楷体" w:cs="楷体"/>
          <w:b w:val="0"/>
          <w:bCs w:val="0"/>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5.验收服务阶段（1天）。</w:t>
      </w:r>
      <w:r>
        <w:rPr>
          <w:rFonts w:hint="eastAsia" w:ascii="仿宋" w:hAnsi="仿宋" w:eastAsia="仿宋" w:cs="仿宋"/>
          <w:b w:val="0"/>
          <w:bCs w:val="0"/>
          <w:caps w:val="0"/>
          <w:color w:val="auto"/>
          <w:kern w:val="2"/>
          <w:sz w:val="32"/>
          <w:szCs w:val="32"/>
          <w:highlight w:val="none"/>
          <w:vertAlign w:val="baseline"/>
          <w:lang w:val="en-US" w:eastAsia="zh-CN" w:bidi="ar"/>
        </w:rPr>
        <w:t>按照报装用户实际需求和施工情况选择联合验收或单项验收。对有条件联合验收的报装接入项目，进行联合验收，并根据用户需求提供预约接通服务。在条件允许的情况下，联合上门，主动检测、试压，实行联合验收。联合验收完成后市政企业出具联合验收意见上传至工改平台，工改平台自动生成全流程记录表，至此全流程结束。</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pacing w:line="600" w:lineRule="exact"/>
        <w:ind w:firstLine="640" w:firstLineChars="200"/>
        <w:jc w:val="left"/>
        <w:textAlignment w:val="auto"/>
        <w:rPr>
          <w:rFonts w:hint="eastAsia" w:ascii="黑体" w:hAnsi="黑体" w:eastAsia="黑体" w:cs="黑体"/>
          <w:b w:val="0"/>
          <w:bCs w:val="0"/>
          <w:caps w:val="0"/>
          <w:color w:val="auto"/>
          <w:kern w:val="2"/>
          <w:sz w:val="32"/>
          <w:szCs w:val="32"/>
          <w:highlight w:val="none"/>
          <w:vertAlign w:val="baseline"/>
          <w:lang w:val="en-US" w:eastAsia="zh-CN" w:bidi="ar"/>
        </w:rPr>
      </w:pPr>
      <w:r>
        <w:rPr>
          <w:rFonts w:hint="eastAsia" w:ascii="黑体" w:hAnsi="黑体" w:eastAsia="黑体" w:cs="黑体"/>
          <w:b w:val="0"/>
          <w:bCs w:val="0"/>
          <w:caps w:val="0"/>
          <w:color w:val="auto"/>
          <w:kern w:val="2"/>
          <w:sz w:val="32"/>
          <w:szCs w:val="32"/>
          <w:highlight w:val="none"/>
          <w:vertAlign w:val="baseline"/>
          <w:lang w:val="en-US" w:eastAsia="zh-CN" w:bidi="ar"/>
        </w:rPr>
        <w:t>五、工作要求</w:t>
      </w:r>
    </w:p>
    <w:p>
      <w:pPr>
        <w:keepNext w:val="0"/>
        <w:keepLines w:val="0"/>
        <w:pageBreakBefore w:val="0"/>
        <w:widowControl w:val="0"/>
        <w:kinsoku/>
        <w:wordWrap/>
        <w:overflowPunct/>
        <w:topLinePunct w:val="0"/>
        <w:autoSpaceDE/>
        <w:bidi w:val="0"/>
        <w:adjustRightInd/>
        <w:snapToGrid/>
        <w:spacing w:line="5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提高思想认识。</w:t>
      </w:r>
      <w:r>
        <w:rPr>
          <w:rFonts w:hint="eastAsia" w:ascii="仿宋" w:hAnsi="仿宋" w:eastAsia="仿宋" w:cs="仿宋"/>
          <w:sz w:val="32"/>
          <w:szCs w:val="32"/>
        </w:rPr>
        <w:t>推进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水电热气讯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集联审批</w:t>
      </w:r>
      <w:r>
        <w:rPr>
          <w:rFonts w:hint="eastAsia" w:ascii="仿宋" w:hAnsi="仿宋" w:eastAsia="仿宋" w:cs="仿宋"/>
          <w:sz w:val="32"/>
          <w:szCs w:val="32"/>
        </w:rPr>
        <w:t>是落实</w:t>
      </w:r>
      <w:r>
        <w:rPr>
          <w:rFonts w:hint="eastAsia" w:ascii="仿宋" w:hAnsi="仿宋" w:eastAsia="仿宋" w:cs="仿宋"/>
          <w:sz w:val="32"/>
          <w:szCs w:val="32"/>
          <w:lang w:val="en-US" w:eastAsia="zh-CN"/>
        </w:rPr>
        <w:t>优化</w:t>
      </w:r>
      <w:r>
        <w:rPr>
          <w:rFonts w:hint="eastAsia" w:ascii="仿宋" w:hAnsi="仿宋" w:eastAsia="仿宋" w:cs="仿宋"/>
          <w:sz w:val="32"/>
          <w:szCs w:val="32"/>
        </w:rPr>
        <w:t>营商环境的重要内容，各相关单位要切实加强组织领导，提高认识，精心组织实施，狠抓工作落实，各部门间协同联动，推动任务措施落地见效。</w:t>
      </w:r>
    </w:p>
    <w:p>
      <w:pPr>
        <w:pStyle w:val="5"/>
        <w:keepNext w:val="0"/>
        <w:keepLines w:val="0"/>
        <w:pageBreakBefore w:val="0"/>
        <w:widowControl w:val="0"/>
        <w:kinsoku/>
        <w:wordWrap/>
        <w:overflowPunct/>
        <w:topLinePunct w:val="0"/>
        <w:autoSpaceDE/>
        <w:bidi w:val="0"/>
        <w:adjustRightInd/>
        <w:spacing w:beforeAutospacing="0" w:afterAutospacing="0" w:line="560" w:lineRule="exact"/>
        <w:ind w:firstLine="643" w:firstLineChars="200"/>
        <w:jc w:val="both"/>
        <w:textAlignment w:val="auto"/>
        <w:rPr>
          <w:rFonts w:hint="eastAsia" w:ascii="仿宋" w:hAnsi="仿宋" w:eastAsia="仿宋" w:cs="仿宋"/>
          <w:snapToGrid/>
          <w:color w:val="auto"/>
          <w:kern w:val="2"/>
          <w:sz w:val="32"/>
          <w:szCs w:val="32"/>
          <w:lang w:bidi="ar"/>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完善配套政策。</w:t>
      </w:r>
      <w:r>
        <w:rPr>
          <w:rFonts w:hint="eastAsia" w:ascii="仿宋" w:hAnsi="仿宋" w:eastAsia="仿宋" w:cs="仿宋"/>
          <w:snapToGrid/>
          <w:color w:val="auto"/>
          <w:kern w:val="2"/>
          <w:sz w:val="32"/>
          <w:szCs w:val="32"/>
          <w:lang w:bidi="ar"/>
        </w:rPr>
        <w:t>各相关单位应当按照本</w:t>
      </w:r>
      <w:r>
        <w:rPr>
          <w:rFonts w:hint="eastAsia" w:ascii="仿宋" w:hAnsi="仿宋" w:eastAsia="仿宋" w:cs="仿宋"/>
          <w:snapToGrid/>
          <w:color w:val="auto"/>
          <w:kern w:val="2"/>
          <w:sz w:val="32"/>
          <w:szCs w:val="32"/>
          <w:lang w:val="en-US" w:eastAsia="zh-CN" w:bidi="ar"/>
        </w:rPr>
        <w:t>方案</w:t>
      </w:r>
      <w:r>
        <w:rPr>
          <w:rFonts w:hint="eastAsia" w:ascii="仿宋" w:hAnsi="仿宋" w:eastAsia="仿宋" w:cs="仿宋"/>
          <w:snapToGrid/>
          <w:color w:val="auto"/>
          <w:kern w:val="2"/>
          <w:sz w:val="32"/>
          <w:szCs w:val="32"/>
          <w:lang w:bidi="ar"/>
        </w:rPr>
        <w:t>要求，针对优化调整后的</w:t>
      </w:r>
      <w:r>
        <w:rPr>
          <w:rFonts w:hint="eastAsia" w:ascii="仿宋" w:hAnsi="仿宋" w:eastAsia="仿宋" w:cs="仿宋"/>
          <w:snapToGrid/>
          <w:color w:val="auto"/>
          <w:kern w:val="2"/>
          <w:sz w:val="32"/>
          <w:szCs w:val="32"/>
          <w:lang w:val="en-US" w:eastAsia="zh-CN" w:bidi="ar"/>
        </w:rPr>
        <w:t>集联审批流程</w:t>
      </w:r>
      <w:r>
        <w:rPr>
          <w:rFonts w:hint="eastAsia" w:ascii="仿宋" w:hAnsi="仿宋" w:eastAsia="仿宋" w:cs="仿宋"/>
          <w:snapToGrid/>
          <w:color w:val="auto"/>
          <w:kern w:val="2"/>
          <w:sz w:val="32"/>
          <w:szCs w:val="32"/>
          <w:lang w:bidi="ar"/>
        </w:rPr>
        <w:t>及时制定出台相应的配套政策和文件，进一步明确实施流程、办结时限、前置条件等，并进行广泛公示。</w:t>
      </w:r>
    </w:p>
    <w:p>
      <w:pPr>
        <w:pStyle w:val="5"/>
        <w:keepNext w:val="0"/>
        <w:keepLines w:val="0"/>
        <w:pageBreakBefore w:val="0"/>
        <w:widowControl w:val="0"/>
        <w:kinsoku/>
        <w:wordWrap/>
        <w:overflowPunct/>
        <w:topLinePunct w:val="0"/>
        <w:autoSpaceDE/>
        <w:bidi w:val="0"/>
        <w:adjustRightInd/>
        <w:spacing w:beforeAutospacing="0" w:afterAutospacing="0" w:line="560" w:lineRule="exact"/>
        <w:ind w:firstLine="643" w:firstLineChars="200"/>
        <w:jc w:val="both"/>
        <w:textAlignment w:val="auto"/>
        <w:rPr>
          <w:rFonts w:hint="default"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bCs/>
          <w:snapToGrid/>
          <w:color w:val="auto"/>
          <w:kern w:val="2"/>
          <w:sz w:val="32"/>
          <w:szCs w:val="32"/>
          <w:lang w:val="en-US" w:eastAsia="zh-CN" w:bidi="ar"/>
        </w:rPr>
        <w:t>3.建立保障制度。一是</w:t>
      </w:r>
      <w:r>
        <w:rPr>
          <w:rFonts w:hint="eastAsia" w:ascii="仿宋" w:hAnsi="仿宋" w:eastAsia="仿宋" w:cs="仿宋"/>
          <w:b/>
          <w:bCs/>
          <w:caps w:val="0"/>
          <w:color w:val="auto"/>
          <w:kern w:val="2"/>
          <w:sz w:val="32"/>
          <w:szCs w:val="32"/>
          <w:vertAlign w:val="baseline"/>
          <w:lang w:val="en-US" w:eastAsia="zh-CN" w:bidi="ar"/>
        </w:rPr>
        <w:t>建立“负责人制度”。</w:t>
      </w:r>
      <w:r>
        <w:rPr>
          <w:rFonts w:hint="eastAsia" w:ascii="仿宋" w:hAnsi="仿宋" w:eastAsia="仿宋" w:cs="仿宋"/>
          <w:b w:val="0"/>
          <w:bCs w:val="0"/>
          <w:caps w:val="0"/>
          <w:color w:val="auto"/>
          <w:kern w:val="2"/>
          <w:sz w:val="32"/>
          <w:szCs w:val="32"/>
          <w:vertAlign w:val="baseline"/>
          <w:lang w:val="en-US" w:eastAsia="zh-CN" w:bidi="ar"/>
        </w:rPr>
        <w:t>市政市管理执法局明确各市政公共服务报装项目负责人，由项目负责人负责推进协调报装项目实施，跟踪反馈服务户。市政市管理执法局应建立联系制度，负责集联流程的内部群流程沟通协调并主动为用户提供帮办代办服务。</w:t>
      </w:r>
      <w:r>
        <w:rPr>
          <w:rFonts w:hint="eastAsia" w:ascii="仿宋" w:hAnsi="仿宋" w:eastAsia="仿宋" w:cs="仿宋"/>
          <w:b/>
          <w:bCs/>
          <w:caps w:val="0"/>
          <w:color w:val="auto"/>
          <w:kern w:val="2"/>
          <w:sz w:val="32"/>
          <w:szCs w:val="32"/>
          <w:vertAlign w:val="baseline"/>
          <w:lang w:val="en-US" w:eastAsia="zh-CN" w:bidi="ar"/>
        </w:rPr>
        <w:t>二是建立“前置咨询制度”。</w:t>
      </w:r>
      <w:r>
        <w:rPr>
          <w:rFonts w:hint="eastAsia" w:ascii="仿宋" w:hAnsi="仿宋" w:eastAsia="仿宋" w:cs="仿宋"/>
          <w:b w:val="0"/>
          <w:bCs w:val="0"/>
          <w:caps w:val="0"/>
          <w:color w:val="auto"/>
          <w:kern w:val="2"/>
          <w:sz w:val="32"/>
          <w:szCs w:val="32"/>
          <w:vertAlign w:val="baseline"/>
          <w:lang w:val="en-US" w:eastAsia="zh-CN" w:bidi="ar"/>
        </w:rPr>
        <w:t>推行“提前介入、提前指导”的前置咨询服务，实施主动服务、技术咨询。根据项目立项、项目报建等信息，进行主动咨询，提前了解用户需求，介入服务，对于可以提前确定用户需求的工程建设项目，外线工程可以超前建设。</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textAlignment w:val="auto"/>
        <w:rPr>
          <w:rFonts w:hint="eastAsia" w:ascii="黑体" w:hAnsi="黑体" w:eastAsia="黑体" w:cs="黑体"/>
          <w:b w:val="0"/>
          <w:bCs w:val="0"/>
          <w:caps w:val="0"/>
          <w:color w:val="auto"/>
          <w:kern w:val="2"/>
          <w:sz w:val="32"/>
          <w:szCs w:val="32"/>
          <w:highlight w:val="none"/>
          <w:vertAlign w:val="baseline"/>
          <w:lang w:val="en-US" w:eastAsia="zh-CN" w:bidi="ar"/>
        </w:rPr>
      </w:pPr>
      <w:r>
        <w:rPr>
          <w:rFonts w:hint="eastAsia" w:ascii="黑体" w:hAnsi="黑体" w:eastAsia="黑体" w:cs="黑体"/>
          <w:b w:val="0"/>
          <w:bCs w:val="0"/>
          <w:caps w:val="0"/>
          <w:color w:val="auto"/>
          <w:kern w:val="2"/>
          <w:sz w:val="32"/>
          <w:szCs w:val="32"/>
          <w:highlight w:val="none"/>
          <w:vertAlign w:val="baseline"/>
          <w:lang w:val="en-US" w:eastAsia="zh-CN" w:bidi="ar"/>
        </w:rPr>
        <w:t>六、工作安排</w:t>
      </w:r>
    </w:p>
    <w:p>
      <w:pPr>
        <w:pStyle w:val="2"/>
        <w:keepNext w:val="0"/>
        <w:keepLines w:val="0"/>
        <w:pageBreakBefore w:val="0"/>
        <w:widowControl w:val="0"/>
        <w:shd w:val="clear" w:color="auto" w:fill="FFFFFF"/>
        <w:kinsoku/>
        <w:wordWrap/>
        <w:overflowPunct/>
        <w:topLinePunct w:val="0"/>
        <w:autoSpaceDE/>
        <w:autoSpaceDN/>
        <w:bidi w:val="0"/>
        <w:adjustRightInd/>
        <w:spacing w:line="600" w:lineRule="exact"/>
        <w:ind w:firstLine="643" w:firstLineChars="200"/>
        <w:textAlignment w:val="auto"/>
        <w:rPr>
          <w:rFonts w:hint="default"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1.开发阶段。</w:t>
      </w:r>
      <w:r>
        <w:rPr>
          <w:rFonts w:hint="eastAsia" w:ascii="仿宋" w:hAnsi="仿宋" w:eastAsia="仿宋" w:cs="仿宋"/>
          <w:b w:val="0"/>
          <w:bCs w:val="0"/>
          <w:caps w:val="0"/>
          <w:color w:val="auto"/>
          <w:kern w:val="2"/>
          <w:sz w:val="32"/>
          <w:szCs w:val="32"/>
          <w:highlight w:val="none"/>
          <w:vertAlign w:val="baseline"/>
          <w:lang w:val="en-US" w:eastAsia="zh-CN" w:bidi="ar"/>
        </w:rPr>
        <w:t>在现有流程图和相关表单的基础上进行系统开发，利用20天的时间完成系统的功能、人员设置，落实实名制审批、层级审批相关要求，梳理各事项与省工改平台对接逻辑，力争在6月10日前完成系统内测。</w:t>
      </w:r>
    </w:p>
    <w:p>
      <w:pPr>
        <w:pStyle w:val="2"/>
        <w:keepNext w:val="0"/>
        <w:keepLines w:val="0"/>
        <w:pageBreakBefore w:val="0"/>
        <w:widowControl w:val="0"/>
        <w:shd w:val="clear" w:color="auto" w:fill="FFFFFF"/>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aps w:val="0"/>
          <w:color w:val="auto"/>
          <w:kern w:val="2"/>
          <w:sz w:val="32"/>
          <w:szCs w:val="32"/>
          <w:highlight w:val="none"/>
          <w:vertAlign w:val="baseline"/>
          <w:lang w:val="en-US" w:eastAsia="zh-CN" w:bidi="ar"/>
        </w:rPr>
      </w:pPr>
      <w:r>
        <w:rPr>
          <w:rFonts w:hint="eastAsia" w:ascii="仿宋" w:hAnsi="仿宋" w:eastAsia="仿宋" w:cs="仿宋"/>
          <w:b/>
          <w:bCs/>
          <w:caps w:val="0"/>
          <w:color w:val="auto"/>
          <w:kern w:val="2"/>
          <w:sz w:val="32"/>
          <w:szCs w:val="32"/>
          <w:highlight w:val="none"/>
          <w:vertAlign w:val="baseline"/>
          <w:lang w:val="en-US" w:eastAsia="zh-CN" w:bidi="ar"/>
        </w:rPr>
        <w:t>2.试运行阶段。</w:t>
      </w:r>
      <w:r>
        <w:rPr>
          <w:rFonts w:hint="eastAsia" w:ascii="仿宋" w:hAnsi="仿宋" w:eastAsia="仿宋" w:cs="仿宋"/>
          <w:b w:val="0"/>
          <w:bCs w:val="0"/>
          <w:caps w:val="0"/>
          <w:color w:val="auto"/>
          <w:kern w:val="2"/>
          <w:sz w:val="32"/>
          <w:szCs w:val="32"/>
          <w:highlight w:val="none"/>
          <w:vertAlign w:val="baseline"/>
          <w:lang w:val="en-US" w:eastAsia="zh-CN" w:bidi="ar"/>
        </w:rPr>
        <w:t>逐步开展集联服务试运行，在全市建成区范围内新建工程建设项目的企业主体可登陆“工改平台”提交申请，市工改办将协同市城管局、市自然资源局、市交警支队和六区政府等相关部门，以及市政公用服务企业，对从企业申请到接入的全流程、全环节服务的体验进行跟踪问效，进一步优化流程和机制，让企业享受爽心暖心的办事体验。</w:t>
      </w:r>
    </w:p>
    <w:p>
      <w:pPr>
        <w:pStyle w:val="2"/>
        <w:keepNext w:val="0"/>
        <w:keepLines w:val="0"/>
        <w:pageBreakBefore w:val="0"/>
        <w:widowControl w:val="0"/>
        <w:shd w:val="clear" w:color="auto" w:fill="FFFFFF"/>
        <w:kinsoku/>
        <w:wordWrap/>
        <w:overflowPunct/>
        <w:topLinePunct w:val="0"/>
        <w:autoSpaceDE/>
        <w:autoSpaceDN/>
        <w:bidi w:val="0"/>
        <w:adjustRightInd/>
        <w:spacing w:line="600" w:lineRule="exact"/>
        <w:ind w:firstLine="643" w:firstLineChars="200"/>
        <w:textAlignment w:val="auto"/>
        <w:rPr>
          <w:rFonts w:hint="eastAsia"/>
          <w:lang w:val="en-US" w:eastAsia="zh-CN"/>
        </w:rPr>
      </w:pPr>
      <w:r>
        <w:rPr>
          <w:rFonts w:hint="eastAsia" w:ascii="仿宋" w:hAnsi="仿宋" w:eastAsia="仿宋" w:cs="仿宋"/>
          <w:b/>
          <w:bCs/>
          <w:caps w:val="0"/>
          <w:color w:val="auto"/>
          <w:kern w:val="2"/>
          <w:sz w:val="32"/>
          <w:szCs w:val="32"/>
          <w:highlight w:val="none"/>
          <w:vertAlign w:val="baseline"/>
          <w:lang w:val="en-US" w:eastAsia="zh-CN" w:bidi="ar"/>
        </w:rPr>
        <w:t>3.正式运行及推广阶段。</w:t>
      </w:r>
      <w:r>
        <w:rPr>
          <w:rFonts w:hint="eastAsia" w:ascii="仿宋" w:hAnsi="仿宋" w:eastAsia="仿宋" w:cs="仿宋"/>
          <w:b w:val="0"/>
          <w:bCs w:val="0"/>
          <w:caps w:val="0"/>
          <w:color w:val="auto"/>
          <w:kern w:val="2"/>
          <w:sz w:val="32"/>
          <w:szCs w:val="32"/>
          <w:highlight w:val="none"/>
          <w:vertAlign w:val="baseline"/>
          <w:lang w:val="en-US" w:eastAsia="zh-CN" w:bidi="ar"/>
        </w:rPr>
        <w:t>试运行结束后，制定标准化服务流程，指导绥滨县、萝北县在市本级模式基础上，结合各地实际，遵循“统一标准、鼓励创新”原则，推进工程建设领域“水电热气讯”市政公共服务集联办理。宝泉岭地区按照职能承接工作进度适时开展。</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7B6E60"/>
    <w:multiLevelType w:val="singleLevel"/>
    <w:tmpl w:val="6C7B6E6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OWM1NTdmZjU4ZmRjZmMxN2M5ZjUzMDIxNGQxNzIifQ=="/>
  </w:docVars>
  <w:rsids>
    <w:rsidRoot w:val="00000000"/>
    <w:rsid w:val="07E13E57"/>
    <w:rsid w:val="1B3B6519"/>
    <w:rsid w:val="1F9279CD"/>
    <w:rsid w:val="25583947"/>
    <w:rsid w:val="2C0C4867"/>
    <w:rsid w:val="32192513"/>
    <w:rsid w:val="367D17C0"/>
    <w:rsid w:val="3E7C38CA"/>
    <w:rsid w:val="46CB130D"/>
    <w:rsid w:val="62024277"/>
    <w:rsid w:val="6D127688"/>
    <w:rsid w:val="744A44AE"/>
    <w:rsid w:val="7A4D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左 行距: 最小值 28 磅"/>
    <w:basedOn w:val="1"/>
    <w:qFormat/>
    <w:uiPriority w:val="0"/>
    <w:pPr>
      <w:shd w:val="clear" w:color="auto" w:fill="FFFFFF"/>
      <w:spacing w:line="360" w:lineRule="atLeast"/>
      <w:jc w:val="left"/>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pPr>
    <w:rPr>
      <w:rFonts w:cs="Times New Roman"/>
      <w:sz w:val="24"/>
    </w:rPr>
  </w:style>
  <w:style w:type="paragraph" w:customStyle="1" w:styleId="8">
    <w:name w:val="列出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2713</Words>
  <Characters>2734</Characters>
  <Lines>0</Lines>
  <Paragraphs>0</Paragraphs>
  <TotalTime>3</TotalTime>
  <ScaleCrop>false</ScaleCrop>
  <LinksUpToDate>false</LinksUpToDate>
  <CharactersWithSpaces>2734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2023-05-16T06:05:00Z</dcterms:created>
  <dc:creator>Administrator</dc:creator>
  <cp:lastModifiedBy>百万提</cp:lastModifiedBy>
  <cp:lastPrinted>2023-05-22T02:36:00Z</cp:lastPrinted>
  <dcterms:modified xsi:type="dcterms:W3CDTF">2023-06-14T07:46:19Z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71566F657CC94B94B2B10964601E00AB_12</vt:lpwstr>
  </property>
</Properties>
</file>